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8D9FA5">
      <w:pPr>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color w:val="auto"/>
          <w:sz w:val="36"/>
          <w:szCs w:val="36"/>
          <w:highlight w:val="none"/>
          <w:lang w:eastAsia="zh-CN"/>
        </w:rPr>
      </w:pPr>
      <w:bookmarkStart w:id="147" w:name="_GoBack"/>
      <w:bookmarkEnd w:id="147"/>
      <w:r>
        <w:rPr>
          <w:rFonts w:hint="default" w:ascii="Times New Roman" w:hAnsi="Times New Roman" w:eastAsia="宋体" w:cs="Times New Roman"/>
          <w:bCs/>
          <w:color w:val="auto"/>
          <w:sz w:val="72"/>
          <w:szCs w:val="72"/>
          <w:highlight w:val="none"/>
        </w:rPr>
        <w:drawing>
          <wp:anchor distT="0" distB="0" distL="114300" distR="114300" simplePos="0" relativeHeight="251663360" behindDoc="0" locked="0" layoutInCell="1" allowOverlap="1">
            <wp:simplePos x="0" y="0"/>
            <wp:positionH relativeFrom="column">
              <wp:posOffset>1905</wp:posOffset>
            </wp:positionH>
            <wp:positionV relativeFrom="paragraph">
              <wp:posOffset>0</wp:posOffset>
            </wp:positionV>
            <wp:extent cx="6090920" cy="8689340"/>
            <wp:effectExtent l="0" t="0" r="5080" b="16510"/>
            <wp:wrapNone/>
            <wp:docPr id="204" name="图片 204" descr="扫描_20251121_00394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扫描_20251121_003940_01"/>
                    <pic:cNvPicPr>
                      <a:picLocks noChangeAspect="1"/>
                    </pic:cNvPicPr>
                  </pic:nvPicPr>
                  <pic:blipFill>
                    <a:blip r:embed="rId8"/>
                    <a:stretch>
                      <a:fillRect/>
                    </a:stretch>
                  </pic:blipFill>
                  <pic:spPr>
                    <a:xfrm>
                      <a:off x="0" y="0"/>
                      <a:ext cx="6090920" cy="8689340"/>
                    </a:xfrm>
                    <a:prstGeom prst="rect">
                      <a:avLst/>
                    </a:prstGeom>
                  </pic:spPr>
                </pic:pic>
              </a:graphicData>
            </a:graphic>
          </wp:anchor>
        </w:drawing>
      </w:r>
    </w:p>
    <w:p w14:paraId="5022E62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Cs/>
          <w:color w:val="auto"/>
          <w:sz w:val="72"/>
          <w:szCs w:val="72"/>
          <w:highlight w:val="none"/>
        </w:rPr>
      </w:pPr>
      <w:bookmarkStart w:id="0" w:name="_Toc15153"/>
      <w:bookmarkStart w:id="1" w:name="_Toc17132"/>
      <w:bookmarkStart w:id="2" w:name="_Toc2526"/>
      <w:bookmarkStart w:id="3" w:name="_Toc23611"/>
      <w:bookmarkStart w:id="4" w:name="_Toc29571"/>
      <w:bookmarkStart w:id="5" w:name="_Toc13859"/>
      <w:bookmarkStart w:id="6" w:name="_Toc19841"/>
      <w:bookmarkStart w:id="7" w:name="_Toc14623"/>
      <w:bookmarkStart w:id="8" w:name="_Toc9163"/>
      <w:r>
        <w:rPr>
          <w:rFonts w:hint="default" w:ascii="Times New Roman" w:hAnsi="Times New Roman" w:eastAsia="宋体" w:cs="Times New Roman"/>
          <w:bCs/>
          <w:color w:val="auto"/>
          <w:sz w:val="72"/>
          <w:szCs w:val="72"/>
          <w:highlight w:val="none"/>
        </w:rPr>
        <w:t>建设项目环境影响报告表</w:t>
      </w:r>
      <w:bookmarkEnd w:id="0"/>
      <w:bookmarkEnd w:id="1"/>
      <w:bookmarkEnd w:id="2"/>
      <w:bookmarkEnd w:id="3"/>
      <w:bookmarkEnd w:id="4"/>
      <w:bookmarkEnd w:id="5"/>
      <w:bookmarkEnd w:id="6"/>
      <w:bookmarkEnd w:id="7"/>
      <w:bookmarkEnd w:id="8"/>
    </w:p>
    <w:p w14:paraId="55D7FC04">
      <w:pPr>
        <w:keepNext w:val="0"/>
        <w:keepLines w:val="0"/>
        <w:pageBreakBefore w:val="0"/>
        <w:widowControl w:val="0"/>
        <w:kinsoku/>
        <w:wordWrap/>
        <w:overflowPunct/>
        <w:topLinePunct w:val="0"/>
        <w:autoSpaceDE/>
        <w:autoSpaceDN/>
        <w:bidi w:val="0"/>
        <w:adjustRightInd w:val="0"/>
        <w:snapToGrid w:val="0"/>
        <w:spacing w:before="192" w:beforeLines="80" w:line="360" w:lineRule="auto"/>
        <w:jc w:val="center"/>
        <w:textAlignment w:val="auto"/>
        <w:rPr>
          <w:rFonts w:hint="default" w:ascii="Times New Roman" w:hAnsi="Times New Roman" w:eastAsia="宋体" w:cs="Times New Roman"/>
          <w:bCs/>
          <w:color w:val="auto"/>
          <w:sz w:val="48"/>
          <w:szCs w:val="48"/>
          <w:highlight w:val="none"/>
        </w:rPr>
      </w:pPr>
      <w:r>
        <w:rPr>
          <w:rFonts w:hint="default" w:ascii="Times New Roman" w:hAnsi="Times New Roman" w:eastAsia="宋体" w:cs="Times New Roman"/>
          <w:bCs/>
          <w:color w:val="auto"/>
          <w:sz w:val="48"/>
          <w:szCs w:val="48"/>
          <w:highlight w:val="none"/>
        </w:rPr>
        <w:t>（污染影响类）</w:t>
      </w:r>
    </w:p>
    <w:p w14:paraId="656963C2">
      <w:pPr>
        <w:keepNext w:val="0"/>
        <w:keepLines w:val="0"/>
        <w:pageBreakBefore w:val="0"/>
        <w:widowControl w:val="0"/>
        <w:kinsoku/>
        <w:wordWrap/>
        <w:overflowPunct/>
        <w:topLinePunct w:val="0"/>
        <w:autoSpaceDE/>
        <w:autoSpaceDN/>
        <w:bidi w:val="0"/>
        <w:spacing w:line="360" w:lineRule="auto"/>
        <w:ind w:firstLine="1040"/>
        <w:textAlignment w:val="auto"/>
        <w:rPr>
          <w:rFonts w:hint="default" w:ascii="Times New Roman" w:hAnsi="Times New Roman" w:eastAsia="宋体" w:cs="Times New Roman"/>
          <w:color w:val="auto"/>
          <w:sz w:val="44"/>
          <w:szCs w:val="44"/>
          <w:highlight w:val="none"/>
        </w:rPr>
      </w:pPr>
    </w:p>
    <w:p w14:paraId="2BAF7017">
      <w:pPr>
        <w:keepNext w:val="0"/>
        <w:keepLines w:val="0"/>
        <w:pageBreakBefore w:val="0"/>
        <w:widowControl w:val="0"/>
        <w:kinsoku/>
        <w:wordWrap/>
        <w:overflowPunct/>
        <w:topLinePunct w:val="0"/>
        <w:autoSpaceDE/>
        <w:autoSpaceDN/>
        <w:bidi w:val="0"/>
        <w:spacing w:line="360" w:lineRule="auto"/>
        <w:ind w:firstLine="1040"/>
        <w:textAlignment w:val="auto"/>
        <w:rPr>
          <w:rFonts w:hint="default" w:ascii="Times New Roman" w:hAnsi="Times New Roman" w:eastAsia="宋体" w:cs="Times New Roman"/>
          <w:color w:val="auto"/>
          <w:sz w:val="44"/>
          <w:szCs w:val="44"/>
          <w:highlight w:val="none"/>
        </w:rPr>
      </w:pPr>
    </w:p>
    <w:p w14:paraId="7EF449BC">
      <w:pPr>
        <w:keepNext w:val="0"/>
        <w:keepLines w:val="0"/>
        <w:pageBreakBefore w:val="0"/>
        <w:widowControl w:val="0"/>
        <w:kinsoku/>
        <w:wordWrap/>
        <w:overflowPunct/>
        <w:topLinePunct w:val="0"/>
        <w:autoSpaceDE/>
        <w:autoSpaceDN/>
        <w:bidi w:val="0"/>
        <w:spacing w:line="360" w:lineRule="auto"/>
        <w:ind w:firstLine="1040"/>
        <w:textAlignment w:val="auto"/>
        <w:rPr>
          <w:rFonts w:hint="default" w:ascii="Times New Roman" w:hAnsi="Times New Roman" w:eastAsia="宋体" w:cs="Times New Roman"/>
          <w:color w:val="auto"/>
          <w:sz w:val="44"/>
          <w:szCs w:val="44"/>
          <w:highlight w:val="none"/>
        </w:rPr>
      </w:pPr>
    </w:p>
    <w:p w14:paraId="7E1DA220">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4FC5B291">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6C95F58E">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289DC7AB">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17DEBCD3">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523AB0E9">
      <w:pPr>
        <w:keepNext w:val="0"/>
        <w:keepLines w:val="0"/>
        <w:pageBreakBefore w:val="0"/>
        <w:widowControl w:val="0"/>
        <w:kinsoku/>
        <w:wordWrap/>
        <w:overflowPunct/>
        <w:topLinePunct w:val="0"/>
        <w:autoSpaceDE/>
        <w:autoSpaceDN/>
        <w:bidi w:val="0"/>
        <w:adjustRightInd w:val="0"/>
        <w:snapToGrid w:val="0"/>
        <w:spacing w:line="288" w:lineRule="auto"/>
        <w:ind w:left="2159" w:leftChars="171" w:hanging="1800" w:hangingChars="500"/>
        <w:jc w:val="left"/>
        <w:textAlignment w:val="auto"/>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u w:val="none"/>
          <w:lang w:eastAsia="zh-CN"/>
        </w:rPr>
        <w:t>项目名称：</w:t>
      </w:r>
      <w:r>
        <w:rPr>
          <w:rFonts w:hint="eastAsia" w:ascii="宋体" w:hAnsi="宋体" w:cs="宋体"/>
          <w:color w:val="auto"/>
          <w:sz w:val="36"/>
          <w:szCs w:val="36"/>
          <w:u w:val="single"/>
          <w:lang w:eastAsia="zh-CN"/>
        </w:rPr>
        <w:t>福州市闽侯振兴炜业机械有限公司年加工工业连接器300万件、6KV以下工业线缆200万件</w:t>
      </w:r>
      <w:r>
        <w:rPr>
          <w:rFonts w:hint="eastAsia" w:cs="Times New Roman"/>
          <w:color w:val="auto"/>
          <w:sz w:val="36"/>
          <w:szCs w:val="36"/>
          <w:highlight w:val="none"/>
          <w:u w:val="single"/>
          <w:lang w:val="en-US" w:eastAsia="zh-CN"/>
        </w:rPr>
        <w:t xml:space="preserve">             </w:t>
      </w:r>
      <w:r>
        <w:rPr>
          <w:rFonts w:hint="eastAsia" w:ascii="Times New Roman" w:hAnsi="Times New Roman" w:cs="Times New Roman"/>
          <w:color w:val="auto"/>
          <w:sz w:val="36"/>
          <w:szCs w:val="36"/>
          <w:highlight w:val="none"/>
          <w:u w:val="single"/>
          <w:lang w:val="en-US" w:eastAsia="zh-CN"/>
        </w:rPr>
        <w:t xml:space="preserve">  </w:t>
      </w:r>
      <w:r>
        <w:rPr>
          <w:rFonts w:hint="eastAsia" w:cs="Times New Roman"/>
          <w:color w:val="auto"/>
          <w:sz w:val="36"/>
          <w:szCs w:val="36"/>
          <w:highlight w:val="none"/>
          <w:u w:val="single"/>
          <w:lang w:val="en-US" w:eastAsia="zh-CN"/>
        </w:rPr>
        <w:t xml:space="preserve">       </w:t>
      </w:r>
      <w:r>
        <w:rPr>
          <w:rFonts w:hint="eastAsia" w:ascii="Times New Roman" w:hAnsi="Times New Roman" w:cs="Times New Roman"/>
          <w:color w:val="auto"/>
          <w:sz w:val="36"/>
          <w:szCs w:val="36"/>
          <w:highlight w:val="none"/>
          <w:u w:val="single"/>
          <w:lang w:val="en-US" w:eastAsia="zh-CN"/>
        </w:rPr>
        <w:t xml:space="preserve">      </w:t>
      </w:r>
    </w:p>
    <w:p w14:paraId="443BC1AE">
      <w:pPr>
        <w:keepNext w:val="0"/>
        <w:keepLines w:val="0"/>
        <w:pageBreakBefore w:val="0"/>
        <w:widowControl w:val="0"/>
        <w:kinsoku/>
        <w:wordWrap/>
        <w:overflowPunct/>
        <w:topLinePunct w:val="0"/>
        <w:autoSpaceDE/>
        <w:autoSpaceDN/>
        <w:bidi w:val="0"/>
        <w:adjustRightInd w:val="0"/>
        <w:snapToGrid w:val="0"/>
        <w:spacing w:line="288" w:lineRule="auto"/>
        <w:ind w:left="359" w:leftChars="171" w:firstLine="0" w:firstLineChars="0"/>
        <w:jc w:val="left"/>
        <w:textAlignment w:val="auto"/>
        <w:rPr>
          <w:rFonts w:hint="default" w:ascii="Times New Roman" w:hAnsi="Times New Roman" w:eastAsia="宋体" w:cs="Times New Roman"/>
          <w:color w:val="auto"/>
          <w:sz w:val="36"/>
          <w:szCs w:val="36"/>
          <w:highlight w:val="none"/>
          <w:u w:val="single"/>
        </w:rPr>
      </w:pPr>
      <w:r>
        <w:rPr>
          <w:rFonts w:hint="default" w:ascii="Times New Roman" w:hAnsi="Times New Roman" w:eastAsia="宋体" w:cs="Times New Roman"/>
          <w:color w:val="auto"/>
          <w:sz w:val="36"/>
          <w:szCs w:val="36"/>
          <w:highlight w:val="none"/>
        </w:rPr>
        <w:t>建设单位（盖章）：</w:t>
      </w:r>
      <w:r>
        <w:rPr>
          <w:rFonts w:hint="eastAsia" w:ascii="Times New Roman" w:hAnsi="Times New Roman" w:eastAsia="宋体" w:cs="Times New Roman"/>
          <w:color w:val="auto"/>
          <w:sz w:val="36"/>
          <w:szCs w:val="36"/>
          <w:highlight w:val="none"/>
          <w:u w:val="single"/>
          <w:lang w:val="en-US" w:eastAsia="zh-CN"/>
        </w:rPr>
        <w:t xml:space="preserve"> </w:t>
      </w:r>
      <w:r>
        <w:rPr>
          <w:rFonts w:hint="eastAsia" w:ascii="宋体" w:hAnsi="宋体" w:cs="宋体"/>
          <w:color w:val="auto"/>
          <w:sz w:val="36"/>
          <w:szCs w:val="36"/>
          <w:u w:val="single"/>
          <w:lang w:eastAsia="zh-CN"/>
        </w:rPr>
        <w:t>福州市闽侯振兴炜业机械有限公司</w:t>
      </w:r>
      <w:r>
        <w:rPr>
          <w:rFonts w:hint="default" w:ascii="Times New Roman" w:hAnsi="Times New Roman" w:eastAsia="宋体" w:cs="Times New Roman"/>
          <w:color w:val="auto"/>
          <w:sz w:val="36"/>
          <w:szCs w:val="36"/>
          <w:highlight w:val="none"/>
        </w:rPr>
        <w:t>编制日期：</w:t>
      </w:r>
      <w:r>
        <w:rPr>
          <w:rFonts w:hint="default" w:ascii="Times New Roman" w:hAnsi="Times New Roman" w:eastAsia="宋体" w:cs="Times New Roman"/>
          <w:color w:val="auto"/>
          <w:sz w:val="36"/>
          <w:szCs w:val="36"/>
          <w:highlight w:val="none"/>
          <w:u w:val="single"/>
          <w:lang w:val="en-US" w:eastAsia="zh-CN"/>
        </w:rPr>
        <w:t xml:space="preserve">      </w:t>
      </w:r>
      <w:r>
        <w:rPr>
          <w:rFonts w:hint="eastAsia"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lang w:val="en-US" w:eastAsia="zh-CN"/>
        </w:rPr>
        <w:t xml:space="preserve"> 202</w:t>
      </w:r>
      <w:r>
        <w:rPr>
          <w:rFonts w:hint="eastAsia" w:ascii="Times New Roman" w:hAnsi="Times New Roman" w:eastAsia="宋体" w:cs="Times New Roman"/>
          <w:color w:val="auto"/>
          <w:sz w:val="36"/>
          <w:szCs w:val="36"/>
          <w:highlight w:val="none"/>
          <w:u w:val="single"/>
          <w:lang w:val="en-US" w:eastAsia="zh-CN"/>
        </w:rPr>
        <w:t>5</w:t>
      </w:r>
      <w:r>
        <w:rPr>
          <w:rFonts w:hint="default" w:ascii="Times New Roman" w:hAnsi="Times New Roman" w:eastAsia="宋体" w:cs="Times New Roman"/>
          <w:color w:val="auto"/>
          <w:sz w:val="36"/>
          <w:szCs w:val="36"/>
          <w:highlight w:val="none"/>
          <w:u w:val="single"/>
          <w:lang w:val="en-US" w:eastAsia="zh-CN"/>
        </w:rPr>
        <w:t>年</w:t>
      </w:r>
      <w:r>
        <w:rPr>
          <w:rFonts w:hint="eastAsia" w:cs="Times New Roman"/>
          <w:color w:val="auto"/>
          <w:sz w:val="36"/>
          <w:szCs w:val="36"/>
          <w:highlight w:val="none"/>
          <w:u w:val="single"/>
          <w:lang w:val="en-US" w:eastAsia="zh-CN"/>
        </w:rPr>
        <w:t>10</w:t>
      </w:r>
      <w:r>
        <w:rPr>
          <w:rFonts w:hint="default" w:ascii="Times New Roman" w:hAnsi="Times New Roman" w:eastAsia="宋体" w:cs="Times New Roman"/>
          <w:color w:val="auto"/>
          <w:sz w:val="36"/>
          <w:szCs w:val="36"/>
          <w:highlight w:val="none"/>
          <w:u w:val="single"/>
          <w:lang w:val="en-US" w:eastAsia="zh-CN"/>
        </w:rPr>
        <w:t>月</w:t>
      </w:r>
      <w:r>
        <w:rPr>
          <w:rFonts w:hint="default" w:ascii="Times New Roman" w:hAnsi="Times New Roman" w:eastAsia="宋体" w:cs="Times New Roman"/>
          <w:color w:val="auto"/>
          <w:sz w:val="36"/>
          <w:szCs w:val="36"/>
          <w:highlight w:val="none"/>
          <w:u w:val="single"/>
        </w:rPr>
        <w:t xml:space="preserve">     </w:t>
      </w:r>
      <w:r>
        <w:rPr>
          <w:rFonts w:hint="eastAsia"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rPr>
        <w:t xml:space="preserve"> </w:t>
      </w:r>
      <w:r>
        <w:rPr>
          <w:rFonts w:hint="default" w:ascii="Times New Roman" w:hAnsi="Times New Roman" w:eastAsia="宋体" w:cs="Times New Roman"/>
          <w:color w:val="auto"/>
          <w:sz w:val="36"/>
          <w:szCs w:val="36"/>
          <w:highlight w:val="none"/>
          <w:u w:val="single"/>
          <w:lang w:val="en-US" w:eastAsia="zh-CN"/>
        </w:rPr>
        <w:t xml:space="preserve">   </w:t>
      </w:r>
    </w:p>
    <w:p w14:paraId="293F3CA4">
      <w:pPr>
        <w:keepNext w:val="0"/>
        <w:keepLines w:val="0"/>
        <w:pageBreakBefore w:val="0"/>
        <w:widowControl w:val="0"/>
        <w:kinsoku/>
        <w:wordWrap/>
        <w:overflowPunct/>
        <w:topLinePunct w:val="0"/>
        <w:autoSpaceDE/>
        <w:autoSpaceDN/>
        <w:bidi w:val="0"/>
        <w:adjustRightInd w:val="0"/>
        <w:snapToGrid w:val="0"/>
        <w:spacing w:line="360" w:lineRule="auto"/>
        <w:ind w:firstLine="1040"/>
        <w:textAlignment w:val="auto"/>
        <w:rPr>
          <w:rFonts w:hint="default" w:ascii="Times New Roman" w:hAnsi="Times New Roman" w:eastAsia="宋体" w:cs="Times New Roman"/>
          <w:color w:val="auto"/>
          <w:sz w:val="36"/>
          <w:szCs w:val="36"/>
          <w:highlight w:val="none"/>
          <w:u w:val="single"/>
        </w:rPr>
      </w:pPr>
    </w:p>
    <w:p w14:paraId="5EE4E799">
      <w:pPr>
        <w:keepNext w:val="0"/>
        <w:keepLines w:val="0"/>
        <w:pageBreakBefore w:val="0"/>
        <w:widowControl w:val="0"/>
        <w:kinsoku/>
        <w:wordWrap/>
        <w:overflowPunct/>
        <w:topLinePunct w:val="0"/>
        <w:autoSpaceDE/>
        <w:autoSpaceDN/>
        <w:bidi w:val="0"/>
        <w:adjustRightInd w:val="0"/>
        <w:snapToGrid w:val="0"/>
        <w:spacing w:line="360" w:lineRule="auto"/>
        <w:ind w:firstLine="1040"/>
        <w:textAlignment w:val="auto"/>
        <w:rPr>
          <w:rFonts w:hint="default" w:ascii="Times New Roman" w:hAnsi="Times New Roman" w:eastAsia="宋体" w:cs="Times New Roman"/>
          <w:color w:val="auto"/>
          <w:sz w:val="36"/>
          <w:szCs w:val="36"/>
          <w:highlight w:val="none"/>
        </w:rPr>
      </w:pPr>
    </w:p>
    <w:p w14:paraId="7175567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36"/>
          <w:szCs w:val="36"/>
          <w:highlight w:val="none"/>
        </w:rPr>
      </w:pPr>
    </w:p>
    <w:p w14:paraId="075D2745">
      <w:pPr>
        <w:keepNext w:val="0"/>
        <w:keepLines w:val="0"/>
        <w:pageBreakBefore w:val="0"/>
        <w:widowControl w:val="0"/>
        <w:kinsoku/>
        <w:wordWrap/>
        <w:overflowPunct/>
        <w:topLinePunct w:val="0"/>
        <w:autoSpaceDE/>
        <w:autoSpaceDN/>
        <w:bidi w:val="0"/>
        <w:spacing w:line="360" w:lineRule="auto"/>
        <w:textAlignment w:val="auto"/>
        <w:rPr>
          <w:rFonts w:hint="default"/>
          <w:color w:val="auto"/>
          <w:highlight w:val="none"/>
        </w:rPr>
      </w:pPr>
    </w:p>
    <w:p w14:paraId="54971949">
      <w:pPr>
        <w:pStyle w:val="12"/>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36"/>
          <w:szCs w:val="36"/>
          <w:highlight w:val="none"/>
        </w:rPr>
      </w:pPr>
      <w:r>
        <w:rPr>
          <w:rFonts w:hint="default" w:ascii="Times New Roman" w:hAnsi="Times New Roman" w:eastAsia="宋体" w:cs="Times New Roman"/>
          <w:color w:val="auto"/>
          <w:sz w:val="36"/>
          <w:szCs w:val="36"/>
          <w:highlight w:val="none"/>
        </w:rPr>
        <w:t>中华人民共和国生态环境部制</w:t>
      </w:r>
    </w:p>
    <w:p w14:paraId="1E33991E">
      <w:pPr>
        <w:rPr>
          <w:rFonts w:hint="default" w:ascii="Times New Roman" w:hAnsi="Times New Roman" w:eastAsia="宋体" w:cs="Times New Roman"/>
          <w:color w:val="auto"/>
          <w:sz w:val="36"/>
          <w:szCs w:val="36"/>
          <w:highlight w:val="none"/>
        </w:rPr>
      </w:pPr>
      <w:r>
        <w:rPr>
          <w:rFonts w:hint="default" w:ascii="Times New Roman" w:hAnsi="Times New Roman" w:eastAsia="宋体" w:cs="Times New Roman"/>
          <w:color w:val="auto"/>
          <w:sz w:val="36"/>
          <w:szCs w:val="36"/>
          <w:highlight w:val="none"/>
        </w:rPr>
        <w:br w:type="page"/>
      </w:r>
    </w:p>
    <w:p w14:paraId="026BBB1D">
      <w:pPr>
        <w:pStyle w:val="12"/>
        <w:keepNext w:val="0"/>
        <w:keepLines w:val="0"/>
        <w:pageBreakBefore w:val="0"/>
        <w:widowControl w:val="0"/>
        <w:kinsoku/>
        <w:wordWrap/>
        <w:overflowPunct/>
        <w:topLinePunct w:val="0"/>
        <w:autoSpaceDE/>
        <w:autoSpaceDN/>
        <w:bidi w:val="0"/>
        <w:spacing w:line="360" w:lineRule="auto"/>
        <w:jc w:val="center"/>
        <w:textAlignment w:val="auto"/>
        <w:rPr>
          <w:rFonts w:hint="eastAsia" w:ascii="Times New Roman" w:hAnsi="Times New Roman" w:eastAsia="宋体" w:cs="Times New Roman"/>
          <w:color w:val="auto"/>
          <w:sz w:val="36"/>
          <w:szCs w:val="36"/>
          <w:highlight w:val="none"/>
          <w:lang w:eastAsia="zh-CN"/>
        </w:rPr>
      </w:pPr>
      <w:r>
        <w:rPr>
          <w:rFonts w:hint="eastAsia" w:ascii="Times New Roman" w:hAnsi="Times New Roman" w:eastAsia="宋体" w:cs="Times New Roman"/>
          <w:color w:val="auto"/>
          <w:sz w:val="36"/>
          <w:szCs w:val="36"/>
          <w:highlight w:val="none"/>
          <w:lang w:eastAsia="zh-CN"/>
        </w:rPr>
        <w:drawing>
          <wp:inline distT="0" distB="0" distL="114300" distR="114300">
            <wp:extent cx="5759450" cy="8144510"/>
            <wp:effectExtent l="0" t="0" r="12700" b="8890"/>
            <wp:docPr id="209" name="图片 209" descr="doc005181202511240901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doc00518120251124090129_01"/>
                    <pic:cNvPicPr>
                      <a:picLocks noChangeAspect="1"/>
                    </pic:cNvPicPr>
                  </pic:nvPicPr>
                  <pic:blipFill>
                    <a:blip r:embed="rId9"/>
                    <a:stretch>
                      <a:fillRect/>
                    </a:stretch>
                  </pic:blipFill>
                  <pic:spPr>
                    <a:xfrm>
                      <a:off x="0" y="0"/>
                      <a:ext cx="5759450" cy="8144510"/>
                    </a:xfrm>
                    <a:prstGeom prst="rect">
                      <a:avLst/>
                    </a:prstGeom>
                  </pic:spPr>
                </pic:pic>
              </a:graphicData>
            </a:graphic>
          </wp:inline>
        </w:drawing>
      </w:r>
    </w:p>
    <w:p w14:paraId="35E7D62F">
      <w:pPr>
        <w:pStyle w:val="2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u w:val="none"/>
          <w:lang w:val="en-US" w:eastAsia="zh-CN"/>
        </w:rPr>
        <w:sectPr>
          <w:footerReference r:id="rId3" w:type="default"/>
          <w:pgSz w:w="11906" w:h="16838"/>
          <w:pgMar w:top="1587" w:right="1417" w:bottom="1587" w:left="1417" w:header="851" w:footer="992" w:gutter="0"/>
          <w:pgBorders>
            <w:top w:val="none" w:sz="0" w:space="0"/>
            <w:left w:val="none" w:sz="0" w:space="0"/>
            <w:bottom w:val="none" w:sz="0" w:space="0"/>
            <w:right w:val="none" w:sz="0" w:space="0"/>
          </w:pgBorders>
          <w:pgNumType w:fmt="upperRoman" w:start="1"/>
          <w:cols w:space="0" w:num="1"/>
          <w:rtlGutter w:val="0"/>
          <w:docGrid w:type="lines" w:linePitch="318" w:charSpace="0"/>
        </w:sectPr>
      </w:pPr>
      <w:bookmarkStart w:id="9" w:name="_Toc9208"/>
      <w:bookmarkStart w:id="10" w:name="_Toc29265"/>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9450" cy="8144510"/>
            <wp:effectExtent l="0" t="0" r="12700" b="8890"/>
            <wp:docPr id="210" name="图片 210" descr="doc00514620251120170130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doc00514620251120170130_01(1)"/>
                    <pic:cNvPicPr>
                      <a:picLocks noChangeAspect="1"/>
                    </pic:cNvPicPr>
                  </pic:nvPicPr>
                  <pic:blipFill>
                    <a:blip r:embed="rId10"/>
                    <a:stretch>
                      <a:fillRect/>
                    </a:stretch>
                  </pic:blipFill>
                  <pic:spPr>
                    <a:xfrm>
                      <a:off x="0" y="0"/>
                      <a:ext cx="5759450"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9450" cy="8144510"/>
            <wp:effectExtent l="0" t="0" r="12700" b="8890"/>
            <wp:docPr id="211" name="图片 211" descr="doc00514620251120170130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doc00514620251120170130_03(1)"/>
                    <pic:cNvPicPr>
                      <a:picLocks noChangeAspect="1"/>
                    </pic:cNvPicPr>
                  </pic:nvPicPr>
                  <pic:blipFill>
                    <a:blip r:embed="rId11"/>
                    <a:stretch>
                      <a:fillRect/>
                    </a:stretch>
                  </pic:blipFill>
                  <pic:spPr>
                    <a:xfrm>
                      <a:off x="0" y="0"/>
                      <a:ext cx="5759450"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8815" cy="8144510"/>
            <wp:effectExtent l="0" t="0" r="13335" b="8890"/>
            <wp:docPr id="212" name="图片 212" descr="doc00514620251120170130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doc00514620251120170130_04(1)"/>
                    <pic:cNvPicPr>
                      <a:picLocks noChangeAspect="1"/>
                    </pic:cNvPicPr>
                  </pic:nvPicPr>
                  <pic:blipFill>
                    <a:blip r:embed="rId12"/>
                    <a:stretch>
                      <a:fillRect/>
                    </a:stretch>
                  </pic:blipFill>
                  <pic:spPr>
                    <a:xfrm>
                      <a:off x="0" y="0"/>
                      <a:ext cx="5758815"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9450" cy="8144510"/>
            <wp:effectExtent l="0" t="0" r="12700" b="8890"/>
            <wp:docPr id="213" name="图片 213" descr="doc00514620251120170130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doc00514620251120170130_05(1)"/>
                    <pic:cNvPicPr>
                      <a:picLocks noChangeAspect="1"/>
                    </pic:cNvPicPr>
                  </pic:nvPicPr>
                  <pic:blipFill>
                    <a:blip r:embed="rId13"/>
                    <a:stretch>
                      <a:fillRect/>
                    </a:stretch>
                  </pic:blipFill>
                  <pic:spPr>
                    <a:xfrm>
                      <a:off x="0" y="0"/>
                      <a:ext cx="5759450"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9450" cy="8144510"/>
            <wp:effectExtent l="0" t="0" r="12700" b="8890"/>
            <wp:docPr id="214" name="图片 214" descr="doc00514620251120170130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doc00514620251120170130_06(1)"/>
                    <pic:cNvPicPr>
                      <a:picLocks noChangeAspect="1"/>
                    </pic:cNvPicPr>
                  </pic:nvPicPr>
                  <pic:blipFill>
                    <a:blip r:embed="rId14"/>
                    <a:stretch>
                      <a:fillRect/>
                    </a:stretch>
                  </pic:blipFill>
                  <pic:spPr>
                    <a:xfrm>
                      <a:off x="0" y="0"/>
                      <a:ext cx="5759450"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9450" cy="8144510"/>
            <wp:effectExtent l="0" t="0" r="12700" b="8890"/>
            <wp:docPr id="215" name="图片 215" descr="doc00514620251120170130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doc00514620251120170130_07(1)"/>
                    <pic:cNvPicPr>
                      <a:picLocks noChangeAspect="1"/>
                    </pic:cNvPicPr>
                  </pic:nvPicPr>
                  <pic:blipFill>
                    <a:blip r:embed="rId15"/>
                    <a:stretch>
                      <a:fillRect/>
                    </a:stretch>
                  </pic:blipFill>
                  <pic:spPr>
                    <a:xfrm>
                      <a:off x="0" y="0"/>
                      <a:ext cx="5759450"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8815" cy="8144510"/>
            <wp:effectExtent l="0" t="0" r="13335" b="8890"/>
            <wp:docPr id="216" name="图片 216" descr="doc00514620251120170130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doc00514620251120170130_08(1)"/>
                    <pic:cNvPicPr>
                      <a:picLocks noChangeAspect="1"/>
                    </pic:cNvPicPr>
                  </pic:nvPicPr>
                  <pic:blipFill>
                    <a:blip r:embed="rId16"/>
                    <a:stretch>
                      <a:fillRect/>
                    </a:stretch>
                  </pic:blipFill>
                  <pic:spPr>
                    <a:xfrm>
                      <a:off x="0" y="0"/>
                      <a:ext cx="5758815" cy="8144510"/>
                    </a:xfrm>
                    <a:prstGeom prst="rect">
                      <a:avLst/>
                    </a:prstGeom>
                  </pic:spPr>
                </pic:pic>
              </a:graphicData>
            </a:graphic>
          </wp:inline>
        </w:drawing>
      </w:r>
      <w:r>
        <w:rPr>
          <w:rFonts w:hint="default" w:ascii="Times New Roman" w:hAnsi="Times New Roman" w:eastAsia="黑体" w:cs="Times New Roman"/>
          <w:snapToGrid w:val="0"/>
          <w:color w:val="auto"/>
          <w:sz w:val="30"/>
          <w:szCs w:val="30"/>
          <w:u w:val="none"/>
          <w:lang w:val="en-US" w:eastAsia="zh-CN"/>
        </w:rPr>
        <w:drawing>
          <wp:inline distT="0" distB="0" distL="114300" distR="114300">
            <wp:extent cx="5758815" cy="8145145"/>
            <wp:effectExtent l="0" t="0" r="13335" b="8255"/>
            <wp:docPr id="52" name="图片 52" descr="doc00514620251120170130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oc00514620251120170130_09(2)"/>
                    <pic:cNvPicPr>
                      <a:picLocks noChangeAspect="1"/>
                    </pic:cNvPicPr>
                  </pic:nvPicPr>
                  <pic:blipFill>
                    <a:blip r:embed="rId17"/>
                    <a:stretch>
                      <a:fillRect/>
                    </a:stretch>
                  </pic:blipFill>
                  <pic:spPr>
                    <a:xfrm>
                      <a:off x="0" y="0"/>
                      <a:ext cx="5758815" cy="8145145"/>
                    </a:xfrm>
                    <a:prstGeom prst="rect">
                      <a:avLst/>
                    </a:prstGeom>
                  </pic:spPr>
                </pic:pic>
              </a:graphicData>
            </a:graphic>
          </wp:inline>
        </w:drawing>
      </w:r>
    </w:p>
    <w:p w14:paraId="72CFB1CF">
      <w:pPr>
        <w:pStyle w:val="2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u w:val="none"/>
          <w:lang w:val="en-US" w:eastAsia="zh-CN"/>
        </w:rPr>
      </w:pPr>
      <w:bookmarkStart w:id="11" w:name="_Toc31786"/>
      <w:r>
        <w:rPr>
          <w:rFonts w:hint="default" w:ascii="Times New Roman" w:hAnsi="Times New Roman" w:eastAsia="黑体" w:cs="Times New Roman"/>
          <w:snapToGrid w:val="0"/>
          <w:color w:val="auto"/>
          <w:sz w:val="30"/>
          <w:szCs w:val="30"/>
          <w:u w:val="none"/>
          <w:lang w:val="en-US" w:eastAsia="zh-CN"/>
        </w:rPr>
        <w:t>一、建设项目基本情况</w:t>
      </w:r>
      <w:bookmarkEnd w:id="9"/>
      <w:bookmarkEnd w:id="10"/>
      <w:bookmarkEnd w:id="11"/>
    </w:p>
    <w:tbl>
      <w:tblPr>
        <w:tblStyle w:val="2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90"/>
        <w:gridCol w:w="1121"/>
        <w:gridCol w:w="2398"/>
        <w:gridCol w:w="1414"/>
        <w:gridCol w:w="480"/>
        <w:gridCol w:w="2893"/>
      </w:tblGrid>
      <w:tr w14:paraId="2FDB77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1" w:hRule="atLeast"/>
          <w:jc w:val="center"/>
        </w:trPr>
        <w:tc>
          <w:tcPr>
            <w:tcW w:w="1050" w:type="pct"/>
            <w:gridSpan w:val="2"/>
            <w:noWrap w:val="0"/>
            <w:tcMar>
              <w:top w:w="16" w:type="dxa"/>
              <w:left w:w="16" w:type="dxa"/>
              <w:right w:w="16" w:type="dxa"/>
            </w:tcMar>
            <w:vAlign w:val="center"/>
          </w:tcPr>
          <w:p w14:paraId="6A09E3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建设项目名称</w:t>
            </w:r>
          </w:p>
        </w:tc>
        <w:tc>
          <w:tcPr>
            <w:tcW w:w="3949" w:type="pct"/>
            <w:gridSpan w:val="4"/>
            <w:noWrap w:val="0"/>
            <w:vAlign w:val="center"/>
          </w:tcPr>
          <w:p w14:paraId="058444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eastAsia" w:cs="Times New Roman"/>
                <w:color w:val="auto"/>
                <w:sz w:val="24"/>
                <w:szCs w:val="24"/>
                <w:u w:val="none"/>
                <w:lang w:eastAsia="zh-CN"/>
              </w:rPr>
              <w:t>福州市闽侯振兴炜业机械有限公司年加工工业连接器300万件、6KV以下工业线缆200万件</w:t>
            </w:r>
          </w:p>
        </w:tc>
      </w:tr>
      <w:tr w14:paraId="0186D6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1050" w:type="pct"/>
            <w:gridSpan w:val="2"/>
            <w:noWrap w:val="0"/>
            <w:tcMar>
              <w:top w:w="16" w:type="dxa"/>
              <w:left w:w="16" w:type="dxa"/>
              <w:right w:w="16" w:type="dxa"/>
            </w:tcMar>
            <w:vAlign w:val="center"/>
          </w:tcPr>
          <w:p w14:paraId="700F0850">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项目代码</w:t>
            </w:r>
          </w:p>
        </w:tc>
        <w:tc>
          <w:tcPr>
            <w:tcW w:w="3949" w:type="pct"/>
            <w:gridSpan w:val="4"/>
            <w:noWrap w:val="0"/>
            <w:vAlign w:val="center"/>
          </w:tcPr>
          <w:p w14:paraId="6083A941">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2510-350181-04-01-163821</w:t>
            </w:r>
          </w:p>
        </w:tc>
      </w:tr>
      <w:tr w14:paraId="25CD4E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050" w:type="pct"/>
            <w:gridSpan w:val="2"/>
            <w:noWrap w:val="0"/>
            <w:tcMar>
              <w:top w:w="16" w:type="dxa"/>
              <w:left w:w="16" w:type="dxa"/>
              <w:right w:w="16" w:type="dxa"/>
            </w:tcMar>
            <w:vAlign w:val="center"/>
          </w:tcPr>
          <w:p w14:paraId="0F3BAFA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建设单位联系人</w:t>
            </w:r>
          </w:p>
        </w:tc>
        <w:tc>
          <w:tcPr>
            <w:tcW w:w="1318" w:type="pct"/>
            <w:noWrap w:val="0"/>
            <w:vAlign w:val="center"/>
          </w:tcPr>
          <w:p w14:paraId="4C60EBF2">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包</w:t>
            </w:r>
            <w:r>
              <w:rPr>
                <w:rFonts w:hint="eastAsia" w:cs="Times New Roman"/>
                <w:color w:val="auto"/>
                <w:sz w:val="24"/>
                <w:szCs w:val="24"/>
                <w:highlight w:val="none"/>
                <w:u w:val="none"/>
                <w:lang w:val="en-US" w:eastAsia="zh-CN"/>
              </w:rPr>
              <w:t>**</w:t>
            </w:r>
          </w:p>
        </w:tc>
        <w:tc>
          <w:tcPr>
            <w:tcW w:w="1041" w:type="pct"/>
            <w:gridSpan w:val="2"/>
            <w:noWrap w:val="0"/>
            <w:vAlign w:val="center"/>
          </w:tcPr>
          <w:p w14:paraId="5123E7EC">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联系方式</w:t>
            </w:r>
          </w:p>
        </w:tc>
        <w:tc>
          <w:tcPr>
            <w:tcW w:w="1589" w:type="pct"/>
            <w:noWrap w:val="0"/>
            <w:vAlign w:val="center"/>
          </w:tcPr>
          <w:p w14:paraId="650B6389">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159</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018</w:t>
            </w:r>
          </w:p>
        </w:tc>
      </w:tr>
      <w:tr w14:paraId="2449AC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5" w:hRule="atLeast"/>
          <w:jc w:val="center"/>
        </w:trPr>
        <w:tc>
          <w:tcPr>
            <w:tcW w:w="1050" w:type="pct"/>
            <w:gridSpan w:val="2"/>
            <w:noWrap w:val="0"/>
            <w:tcMar>
              <w:top w:w="16" w:type="dxa"/>
              <w:left w:w="16" w:type="dxa"/>
              <w:right w:w="16" w:type="dxa"/>
            </w:tcMar>
            <w:vAlign w:val="center"/>
          </w:tcPr>
          <w:p w14:paraId="6553CEEC">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建设地点</w:t>
            </w:r>
          </w:p>
        </w:tc>
        <w:tc>
          <w:tcPr>
            <w:tcW w:w="3949" w:type="pct"/>
            <w:gridSpan w:val="4"/>
            <w:noWrap w:val="0"/>
            <w:vAlign w:val="center"/>
          </w:tcPr>
          <w:p w14:paraId="123ED800">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福建省福州市福清市阳下街道上亭村</w:t>
            </w:r>
          </w:p>
          <w:p w14:paraId="4902921C">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rPr>
            </w:pPr>
            <w:r>
              <w:rPr>
                <w:rFonts w:hint="default" w:ascii="Times New Roman" w:hAnsi="Times New Roman" w:eastAsia="宋体" w:cs="Times New Roman"/>
                <w:color w:val="auto"/>
                <w:sz w:val="24"/>
                <w:szCs w:val="24"/>
                <w:u w:val="none"/>
                <w:lang w:val="en-US" w:eastAsia="zh-CN"/>
              </w:rPr>
              <w:t>（</w:t>
            </w:r>
            <w:r>
              <w:rPr>
                <w:rFonts w:hint="eastAsia" w:ascii="Times New Roman" w:hAnsi="Times New Roman" w:eastAsia="宋体" w:cs="Times New Roman"/>
                <w:color w:val="auto"/>
                <w:sz w:val="24"/>
                <w:szCs w:val="24"/>
                <w:u w:val="none"/>
                <w:lang w:val="en-US" w:eastAsia="zh-CN"/>
              </w:rPr>
              <w:t>福清市阳下街道均和云谷·福清科技港</w:t>
            </w:r>
            <w:r>
              <w:rPr>
                <w:rFonts w:hint="eastAsia" w:cs="Times New Roman"/>
                <w:color w:val="auto"/>
                <w:sz w:val="24"/>
                <w:szCs w:val="24"/>
                <w:u w:val="none"/>
                <w:lang w:val="en-US" w:eastAsia="zh-CN"/>
              </w:rPr>
              <w:t>39号厂房</w:t>
            </w:r>
            <w:r>
              <w:rPr>
                <w:rFonts w:hint="eastAsia" w:ascii="宋体" w:hAnsi="宋体" w:cs="宋体"/>
                <w:color w:val="auto"/>
                <w:sz w:val="24"/>
                <w:szCs w:val="24"/>
                <w:u w:val="none"/>
                <w:lang w:val="en-US" w:eastAsia="zh-CN"/>
              </w:rPr>
              <w:t>）</w:t>
            </w:r>
          </w:p>
        </w:tc>
      </w:tr>
      <w:tr w14:paraId="4755C7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50" w:type="pct"/>
            <w:gridSpan w:val="2"/>
            <w:noWrap w:val="0"/>
            <w:tcMar>
              <w:top w:w="16" w:type="dxa"/>
              <w:left w:w="16" w:type="dxa"/>
              <w:right w:w="16" w:type="dxa"/>
            </w:tcMar>
            <w:vAlign w:val="center"/>
          </w:tcPr>
          <w:p w14:paraId="5B3FFFBF">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地理坐标</w:t>
            </w:r>
          </w:p>
        </w:tc>
        <w:tc>
          <w:tcPr>
            <w:tcW w:w="3949" w:type="pct"/>
            <w:gridSpan w:val="4"/>
            <w:noWrap w:val="0"/>
            <w:vAlign w:val="center"/>
          </w:tcPr>
          <w:p w14:paraId="7C6B7B8C">
            <w:pPr>
              <w:keepNext w:val="0"/>
              <w:keepLines w:val="0"/>
              <w:pageBreakBefore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eastAsia="zh-CN"/>
              </w:rPr>
            </w:pPr>
            <w:r>
              <w:rPr>
                <w:sz w:val="24"/>
              </w:rPr>
              <w:t>（</w:t>
            </w:r>
            <w:r>
              <w:rPr>
                <w:sz w:val="24"/>
                <w:u w:val="single"/>
              </w:rPr>
              <w:t>119</w:t>
            </w:r>
            <w:r>
              <w:rPr>
                <w:sz w:val="24"/>
              </w:rPr>
              <w:t>度</w:t>
            </w:r>
            <w:r>
              <w:rPr>
                <w:rFonts w:hint="eastAsia"/>
                <w:sz w:val="24"/>
                <w:u w:val="single"/>
                <w:lang w:val="en-US" w:eastAsia="zh-CN"/>
              </w:rPr>
              <w:t>25</w:t>
            </w:r>
            <w:r>
              <w:rPr>
                <w:sz w:val="24"/>
              </w:rPr>
              <w:t>分</w:t>
            </w:r>
            <w:r>
              <w:rPr>
                <w:rFonts w:hint="eastAsia"/>
                <w:sz w:val="24"/>
                <w:u w:val="single"/>
                <w:lang w:val="en-US" w:eastAsia="zh-CN"/>
              </w:rPr>
              <w:t>45.97</w:t>
            </w:r>
            <w:r>
              <w:rPr>
                <w:sz w:val="24"/>
              </w:rPr>
              <w:t>秒，</w:t>
            </w:r>
            <w:r>
              <w:rPr>
                <w:sz w:val="24"/>
                <w:u w:val="single"/>
              </w:rPr>
              <w:t>2</w:t>
            </w:r>
            <w:r>
              <w:rPr>
                <w:rFonts w:hint="eastAsia"/>
                <w:sz w:val="24"/>
                <w:u w:val="single"/>
              </w:rPr>
              <w:t>5</w:t>
            </w:r>
            <w:r>
              <w:rPr>
                <w:sz w:val="24"/>
              </w:rPr>
              <w:t>度</w:t>
            </w:r>
            <w:r>
              <w:rPr>
                <w:rFonts w:hint="eastAsia"/>
                <w:sz w:val="24"/>
                <w:u w:val="single"/>
                <w:lang w:val="en-US" w:eastAsia="zh-CN"/>
              </w:rPr>
              <w:t>46</w:t>
            </w:r>
            <w:r>
              <w:rPr>
                <w:sz w:val="24"/>
              </w:rPr>
              <w:t>分</w:t>
            </w:r>
            <w:r>
              <w:rPr>
                <w:rFonts w:hint="eastAsia"/>
                <w:sz w:val="24"/>
                <w:u w:val="single"/>
                <w:lang w:val="en-US" w:eastAsia="zh-CN"/>
              </w:rPr>
              <w:t>5.07</w:t>
            </w:r>
            <w:r>
              <w:rPr>
                <w:sz w:val="24"/>
              </w:rPr>
              <w:t>秒）</w:t>
            </w:r>
          </w:p>
          <w:p w14:paraId="07B0CC60">
            <w:pPr>
              <w:keepNext w:val="0"/>
              <w:keepLines w:val="0"/>
              <w:pageBreakBefore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highlight w:val="none"/>
                <w:u w:val="none"/>
                <w:lang w:eastAsia="zh-CN"/>
              </w:rPr>
              <w:t>地理位置图详见附图</w:t>
            </w:r>
            <w:r>
              <w:rPr>
                <w:rFonts w:hint="eastAsia" w:cs="Times New Roman"/>
                <w:color w:val="auto"/>
                <w:sz w:val="24"/>
                <w:szCs w:val="24"/>
                <w:highlight w:val="none"/>
                <w:u w:val="none"/>
                <w:lang w:val="en-US" w:eastAsia="zh-CN"/>
              </w:rPr>
              <w:t>一</w:t>
            </w:r>
          </w:p>
        </w:tc>
      </w:tr>
      <w:tr w14:paraId="6F4CD7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50" w:type="pct"/>
            <w:gridSpan w:val="2"/>
            <w:noWrap w:val="0"/>
            <w:tcMar>
              <w:top w:w="16" w:type="dxa"/>
              <w:left w:w="16" w:type="dxa"/>
              <w:right w:w="16" w:type="dxa"/>
            </w:tcMar>
            <w:vAlign w:val="center"/>
          </w:tcPr>
          <w:p w14:paraId="368E0916">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国民经济</w:t>
            </w:r>
          </w:p>
          <w:p w14:paraId="41E9A017">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行业类别</w:t>
            </w:r>
          </w:p>
        </w:tc>
        <w:tc>
          <w:tcPr>
            <w:tcW w:w="1318" w:type="pct"/>
            <w:noWrap w:val="0"/>
            <w:vAlign w:val="center"/>
          </w:tcPr>
          <w:p w14:paraId="31C627A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C3989 其他电子元件制造；</w:t>
            </w:r>
          </w:p>
          <w:p w14:paraId="722EDF02">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cs="Times New Roman"/>
                <w:color w:val="auto"/>
                <w:sz w:val="24"/>
                <w:szCs w:val="24"/>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C3831 电线、电缆制造</w:t>
            </w:r>
            <w:r>
              <w:rPr>
                <w:rFonts w:hint="eastAsia" w:cs="Times New Roman"/>
                <w:color w:val="auto"/>
                <w:sz w:val="24"/>
                <w:szCs w:val="24"/>
                <w:u w:val="none"/>
                <w:lang w:val="en-US" w:eastAsia="zh-CN"/>
              </w:rPr>
              <w:t>；</w:t>
            </w:r>
          </w:p>
          <w:p w14:paraId="263D4502">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lang w:val="en-US"/>
              </w:rPr>
            </w:pPr>
            <w:r>
              <w:rPr>
                <w:rFonts w:hint="default" w:ascii="Times New Roman" w:hAnsi="Times New Roman" w:eastAsia="宋体" w:cs="Times New Roman"/>
                <w:b w:val="0"/>
                <w:bCs w:val="0"/>
                <w:color w:val="auto"/>
                <w:sz w:val="24"/>
                <w:szCs w:val="24"/>
                <w:highlight w:val="none"/>
                <w:u w:val="none"/>
                <w:lang w:val="en-US" w:eastAsia="zh-CN"/>
              </w:rPr>
              <w:t>C2929</w:t>
            </w:r>
            <w:r>
              <w:rPr>
                <w:rFonts w:hint="eastAsia" w:cs="Times New Roman"/>
                <w:b w:val="0"/>
                <w:bCs w:val="0"/>
                <w:color w:val="auto"/>
                <w:sz w:val="24"/>
                <w:szCs w:val="24"/>
                <w:highlight w:val="none"/>
                <w:u w:val="none"/>
                <w:lang w:val="en-US" w:eastAsia="zh-CN"/>
              </w:rPr>
              <w:t xml:space="preserve"> </w:t>
            </w:r>
            <w:r>
              <w:rPr>
                <w:rFonts w:hint="default" w:ascii="Times New Roman" w:hAnsi="Times New Roman" w:eastAsia="宋体" w:cs="Times New Roman"/>
                <w:b w:val="0"/>
                <w:bCs w:val="0"/>
                <w:color w:val="auto"/>
                <w:sz w:val="24"/>
                <w:szCs w:val="24"/>
                <w:highlight w:val="none"/>
                <w:u w:val="none"/>
                <w:lang w:val="en-US" w:eastAsia="zh-CN"/>
              </w:rPr>
              <w:t>塑料零件及其他塑料制品制造</w:t>
            </w:r>
          </w:p>
        </w:tc>
        <w:tc>
          <w:tcPr>
            <w:tcW w:w="777" w:type="pct"/>
            <w:noWrap w:val="0"/>
            <w:vAlign w:val="center"/>
          </w:tcPr>
          <w:p w14:paraId="4520CC07">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建设项目</w:t>
            </w:r>
          </w:p>
          <w:p w14:paraId="7BA7B33F">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行业类别</w:t>
            </w:r>
          </w:p>
        </w:tc>
        <w:tc>
          <w:tcPr>
            <w:tcW w:w="1852" w:type="pct"/>
            <w:gridSpan w:val="2"/>
            <w:noWrap w:val="0"/>
            <w:vAlign w:val="center"/>
          </w:tcPr>
          <w:p w14:paraId="13D35D92">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三十六、计算机、通信和其他电子设备制造业39</w:t>
            </w:r>
            <w:r>
              <w:rPr>
                <w:rFonts w:hint="eastAsia" w:cs="Times New Roman"/>
                <w:color w:val="auto"/>
                <w:sz w:val="24"/>
                <w:szCs w:val="24"/>
                <w:u w:val="none"/>
                <w:lang w:val="en-US" w:eastAsia="zh-CN"/>
              </w:rPr>
              <w:t>-81</w:t>
            </w:r>
            <w:r>
              <w:rPr>
                <w:rFonts w:hint="default" w:ascii="Times New Roman" w:hAnsi="Times New Roman" w:eastAsia="宋体" w:cs="Times New Roman"/>
                <w:color w:val="auto"/>
                <w:sz w:val="24"/>
                <w:szCs w:val="24"/>
                <w:u w:val="none"/>
                <w:lang w:val="en-US" w:eastAsia="zh-CN"/>
              </w:rPr>
              <w:t>电子元件及电子专用材料制造398</w:t>
            </w:r>
            <w:r>
              <w:rPr>
                <w:rFonts w:hint="default" w:ascii="Times New Roman" w:hAnsi="Times New Roman" w:eastAsia="宋体" w:cs="Times New Roman"/>
                <w:color w:val="auto"/>
                <w:sz w:val="24"/>
                <w:szCs w:val="24"/>
                <w:u w:val="none"/>
                <w:lang w:val="en-US" w:eastAsia="zh-CN"/>
              </w:rPr>
              <w:br w:type="textWrapping"/>
            </w:r>
            <w:r>
              <w:rPr>
                <w:rFonts w:hint="default" w:ascii="Times New Roman" w:hAnsi="Times New Roman" w:eastAsia="宋体" w:cs="Times New Roman"/>
                <w:color w:val="auto"/>
                <w:sz w:val="24"/>
                <w:szCs w:val="24"/>
                <w:u w:val="none"/>
                <w:lang w:val="en-US" w:eastAsia="zh-CN"/>
              </w:rPr>
              <w:t>三十五、电气机械和器材制造业38</w:t>
            </w:r>
            <w:r>
              <w:rPr>
                <w:rFonts w:hint="eastAsia" w:cs="Times New Roman"/>
                <w:color w:val="auto"/>
                <w:sz w:val="24"/>
                <w:szCs w:val="24"/>
                <w:u w:val="none"/>
                <w:lang w:val="en-US" w:eastAsia="zh-CN"/>
              </w:rPr>
              <w:t>-77</w:t>
            </w:r>
            <w:r>
              <w:rPr>
                <w:rFonts w:hint="default" w:ascii="Times New Roman" w:hAnsi="Times New Roman" w:eastAsia="宋体" w:cs="Times New Roman"/>
                <w:color w:val="auto"/>
                <w:sz w:val="24"/>
                <w:szCs w:val="24"/>
                <w:u w:val="none"/>
                <w:lang w:val="en-US" w:eastAsia="zh-CN"/>
              </w:rPr>
              <w:t>电线、电缆、光缆及电工器材制造383</w:t>
            </w:r>
          </w:p>
          <w:p w14:paraId="799BA5A7">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二十六、橡胶和塑料制品业 29</w:t>
            </w:r>
          </w:p>
          <w:p w14:paraId="7FEB6E5B">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53 塑料制品业 292</w:t>
            </w:r>
          </w:p>
        </w:tc>
      </w:tr>
      <w:tr w14:paraId="4C91E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50" w:type="pct"/>
            <w:gridSpan w:val="2"/>
            <w:noWrap w:val="0"/>
            <w:tcMar>
              <w:top w:w="16" w:type="dxa"/>
              <w:left w:w="16" w:type="dxa"/>
              <w:right w:w="16" w:type="dxa"/>
            </w:tcMar>
            <w:vAlign w:val="center"/>
          </w:tcPr>
          <w:p w14:paraId="6810F692">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建设性质</w:t>
            </w:r>
          </w:p>
        </w:tc>
        <w:tc>
          <w:tcPr>
            <w:tcW w:w="1318" w:type="pct"/>
            <w:noWrap w:val="0"/>
            <w:vAlign w:val="center"/>
          </w:tcPr>
          <w:p w14:paraId="0872F43F">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新建（迁建）</w:t>
            </w:r>
          </w:p>
          <w:p w14:paraId="1CD1B56A">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改建</w:t>
            </w:r>
          </w:p>
          <w:p w14:paraId="05FA07AB">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扩建</w:t>
            </w:r>
          </w:p>
          <w:p w14:paraId="1B78F16E">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技术改造</w:t>
            </w:r>
          </w:p>
        </w:tc>
        <w:tc>
          <w:tcPr>
            <w:tcW w:w="777" w:type="pct"/>
            <w:noWrap w:val="0"/>
            <w:vAlign w:val="center"/>
          </w:tcPr>
          <w:p w14:paraId="68D1AF14">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建设项目</w:t>
            </w:r>
          </w:p>
          <w:p w14:paraId="32EF88AA">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申报情形</w:t>
            </w:r>
          </w:p>
        </w:tc>
        <w:tc>
          <w:tcPr>
            <w:tcW w:w="1852" w:type="pct"/>
            <w:gridSpan w:val="2"/>
            <w:noWrap w:val="0"/>
            <w:vAlign w:val="center"/>
          </w:tcPr>
          <w:p w14:paraId="235E1007">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首次申报项目</w:t>
            </w:r>
          </w:p>
          <w:p w14:paraId="2FABE2CE">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不予批准后再次申报项目</w:t>
            </w:r>
          </w:p>
          <w:p w14:paraId="003A8DF0">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超五年重新审核项目</w:t>
            </w:r>
          </w:p>
          <w:p w14:paraId="7CA2D396">
            <w:pPr>
              <w:keepNext w:val="0"/>
              <w:keepLines w:val="0"/>
              <w:pageBreakBefore w:val="0"/>
              <w:kinsoku/>
              <w:wordWrap/>
              <w:overflowPunct/>
              <w:topLinePunct w:val="0"/>
              <w:autoSpaceDE/>
              <w:autoSpaceDN/>
              <w:bidi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重大变动重新报批项目</w:t>
            </w:r>
          </w:p>
        </w:tc>
      </w:tr>
      <w:tr w14:paraId="17446A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50" w:type="pct"/>
            <w:gridSpan w:val="2"/>
            <w:noWrap w:val="0"/>
            <w:tcMar>
              <w:top w:w="16" w:type="dxa"/>
              <w:left w:w="16" w:type="dxa"/>
              <w:right w:w="16" w:type="dxa"/>
            </w:tcMar>
            <w:vAlign w:val="center"/>
          </w:tcPr>
          <w:p w14:paraId="4FED4DA6">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项目审批（核准/</w:t>
            </w:r>
          </w:p>
          <w:p w14:paraId="19437D2F">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备案）部门（选填）</w:t>
            </w:r>
          </w:p>
        </w:tc>
        <w:tc>
          <w:tcPr>
            <w:tcW w:w="1318" w:type="pct"/>
            <w:noWrap w:val="0"/>
            <w:vAlign w:val="center"/>
          </w:tcPr>
          <w:p w14:paraId="29F94A8B">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eastAsia="zh-CN"/>
              </w:rPr>
            </w:pPr>
            <w:r>
              <w:rPr>
                <w:rFonts w:hint="eastAsia" w:cs="Times New Roman"/>
                <w:color w:val="auto"/>
                <w:sz w:val="24"/>
                <w:szCs w:val="24"/>
                <w:u w:val="none"/>
                <w:lang w:val="en-US" w:eastAsia="zh-CN"/>
              </w:rPr>
              <w:t>福清</w:t>
            </w:r>
            <w:r>
              <w:rPr>
                <w:rFonts w:hint="default" w:ascii="Times New Roman" w:hAnsi="Times New Roman" w:eastAsia="宋体" w:cs="Times New Roman"/>
                <w:color w:val="auto"/>
                <w:sz w:val="24"/>
                <w:szCs w:val="24"/>
                <w:u w:val="none"/>
                <w:lang w:eastAsia="zh-CN"/>
              </w:rPr>
              <w:t>市发展和改革局</w:t>
            </w:r>
          </w:p>
        </w:tc>
        <w:tc>
          <w:tcPr>
            <w:tcW w:w="1041" w:type="pct"/>
            <w:gridSpan w:val="2"/>
            <w:noWrap w:val="0"/>
            <w:vAlign w:val="center"/>
          </w:tcPr>
          <w:p w14:paraId="69CA6A5A">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项目审批（核准/</w:t>
            </w:r>
          </w:p>
          <w:p w14:paraId="2E2FBD09">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备案）文号（选填）</w:t>
            </w:r>
          </w:p>
        </w:tc>
        <w:tc>
          <w:tcPr>
            <w:tcW w:w="1589" w:type="pct"/>
            <w:noWrap w:val="0"/>
            <w:vAlign w:val="center"/>
          </w:tcPr>
          <w:p w14:paraId="59AC1A9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eastAsia="zh-CN"/>
              </w:rPr>
              <w:t>闽发改备</w:t>
            </w:r>
            <w:r>
              <w:rPr>
                <w:rFonts w:hint="eastAsia" w:cs="Times New Roman"/>
                <w:color w:val="auto"/>
                <w:sz w:val="24"/>
                <w:szCs w:val="24"/>
                <w:u w:val="none"/>
                <w:lang w:eastAsia="zh-CN"/>
              </w:rPr>
              <w:t>〔2025〕A060387</w:t>
            </w:r>
            <w:r>
              <w:rPr>
                <w:rFonts w:hint="default" w:ascii="Times New Roman" w:hAnsi="Times New Roman" w:eastAsia="宋体" w:cs="Times New Roman"/>
                <w:color w:val="auto"/>
                <w:sz w:val="24"/>
                <w:szCs w:val="24"/>
                <w:u w:val="none"/>
                <w:lang w:eastAsia="zh-CN"/>
              </w:rPr>
              <w:t>号</w:t>
            </w:r>
          </w:p>
        </w:tc>
      </w:tr>
      <w:tr w14:paraId="039F23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50" w:type="pct"/>
            <w:gridSpan w:val="2"/>
            <w:noWrap w:val="0"/>
            <w:tcMar>
              <w:top w:w="16" w:type="dxa"/>
              <w:left w:w="16" w:type="dxa"/>
              <w:right w:w="16" w:type="dxa"/>
            </w:tcMar>
            <w:vAlign w:val="center"/>
          </w:tcPr>
          <w:p w14:paraId="683C29D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总投资（万元）</w:t>
            </w:r>
          </w:p>
        </w:tc>
        <w:tc>
          <w:tcPr>
            <w:tcW w:w="1318" w:type="pct"/>
            <w:noWrap w:val="0"/>
            <w:vAlign w:val="center"/>
          </w:tcPr>
          <w:p w14:paraId="0EDC3F68">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1500</w:t>
            </w:r>
          </w:p>
        </w:tc>
        <w:tc>
          <w:tcPr>
            <w:tcW w:w="1041" w:type="pct"/>
            <w:gridSpan w:val="2"/>
            <w:noWrap w:val="0"/>
            <w:tcMar>
              <w:top w:w="16" w:type="dxa"/>
              <w:left w:w="16" w:type="dxa"/>
              <w:right w:w="16" w:type="dxa"/>
            </w:tcMar>
            <w:vAlign w:val="center"/>
          </w:tcPr>
          <w:p w14:paraId="45E6775B">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环保投资（万元）</w:t>
            </w:r>
          </w:p>
        </w:tc>
        <w:tc>
          <w:tcPr>
            <w:tcW w:w="1589" w:type="pct"/>
            <w:noWrap w:val="0"/>
            <w:vAlign w:val="center"/>
          </w:tcPr>
          <w:p w14:paraId="426BA594">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1</w:t>
            </w:r>
            <w:r>
              <w:rPr>
                <w:rFonts w:hint="eastAsia" w:cs="Times New Roman"/>
                <w:color w:val="auto"/>
                <w:sz w:val="24"/>
                <w:szCs w:val="24"/>
                <w:u w:val="none"/>
                <w:lang w:val="en-US" w:eastAsia="zh-CN"/>
              </w:rPr>
              <w:t>5</w:t>
            </w:r>
          </w:p>
        </w:tc>
      </w:tr>
      <w:tr w14:paraId="65E029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50" w:type="pct"/>
            <w:gridSpan w:val="2"/>
            <w:noWrap w:val="0"/>
            <w:tcMar>
              <w:top w:w="16" w:type="dxa"/>
              <w:left w:w="16" w:type="dxa"/>
              <w:right w:w="16" w:type="dxa"/>
            </w:tcMar>
            <w:vAlign w:val="center"/>
          </w:tcPr>
          <w:p w14:paraId="0C54B3D3">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环保投资占比（%）</w:t>
            </w:r>
          </w:p>
        </w:tc>
        <w:tc>
          <w:tcPr>
            <w:tcW w:w="1318" w:type="pct"/>
            <w:noWrap w:val="0"/>
            <w:vAlign w:val="center"/>
          </w:tcPr>
          <w:p w14:paraId="75027428">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highlight w:val="none"/>
                <w:u w:val="none"/>
                <w:lang w:val="en-US" w:eastAsia="zh-CN"/>
              </w:rPr>
              <w:t>1</w:t>
            </w:r>
            <w:r>
              <w:rPr>
                <w:rFonts w:hint="eastAsia" w:ascii="Times New Roman" w:hAnsi="Times New Roman" w:eastAsia="宋体" w:cs="Times New Roman"/>
                <w:color w:val="auto"/>
                <w:sz w:val="24"/>
                <w:szCs w:val="24"/>
                <w:highlight w:val="none"/>
                <w:u w:val="none"/>
                <w:lang w:val="en-US" w:eastAsia="zh-CN"/>
              </w:rPr>
              <w:t>%</w:t>
            </w:r>
          </w:p>
        </w:tc>
        <w:tc>
          <w:tcPr>
            <w:tcW w:w="1041" w:type="pct"/>
            <w:gridSpan w:val="2"/>
            <w:noWrap w:val="0"/>
            <w:tcMar>
              <w:top w:w="16" w:type="dxa"/>
              <w:left w:w="16" w:type="dxa"/>
              <w:right w:w="16" w:type="dxa"/>
            </w:tcMar>
            <w:vAlign w:val="center"/>
          </w:tcPr>
          <w:p w14:paraId="01C6757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施工工期</w:t>
            </w:r>
          </w:p>
        </w:tc>
        <w:tc>
          <w:tcPr>
            <w:tcW w:w="1589" w:type="pct"/>
            <w:noWrap w:val="0"/>
            <w:vAlign w:val="center"/>
          </w:tcPr>
          <w:p w14:paraId="19F6668D">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12个月</w:t>
            </w:r>
          </w:p>
        </w:tc>
      </w:tr>
      <w:tr w14:paraId="1B5310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50" w:type="pct"/>
            <w:gridSpan w:val="2"/>
            <w:noWrap w:val="0"/>
            <w:tcMar>
              <w:top w:w="16" w:type="dxa"/>
              <w:left w:w="16" w:type="dxa"/>
              <w:right w:w="16" w:type="dxa"/>
            </w:tcMar>
            <w:vAlign w:val="center"/>
          </w:tcPr>
          <w:p w14:paraId="192EBA33">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是否开工建设</w:t>
            </w:r>
          </w:p>
        </w:tc>
        <w:tc>
          <w:tcPr>
            <w:tcW w:w="1318" w:type="pct"/>
            <w:noWrap w:val="0"/>
            <w:vAlign w:val="center"/>
          </w:tcPr>
          <w:p w14:paraId="1DA7E0C5">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否</w:t>
            </w:r>
          </w:p>
          <w:p w14:paraId="2104D1E3">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是：</w:t>
            </w:r>
          </w:p>
        </w:tc>
        <w:tc>
          <w:tcPr>
            <w:tcW w:w="1041" w:type="pct"/>
            <w:gridSpan w:val="2"/>
            <w:noWrap w:val="0"/>
            <w:tcMar>
              <w:top w:w="16" w:type="dxa"/>
              <w:left w:w="16" w:type="dxa"/>
              <w:right w:w="16" w:type="dxa"/>
            </w:tcMar>
            <w:vAlign w:val="center"/>
          </w:tcPr>
          <w:p w14:paraId="3E999BF7">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6"/>
                <w:sz w:val="24"/>
                <w:szCs w:val="24"/>
                <w:u w:val="none"/>
              </w:rPr>
            </w:pPr>
            <w:r>
              <w:rPr>
                <w:rFonts w:hint="default" w:ascii="Times New Roman" w:hAnsi="Times New Roman" w:eastAsia="宋体" w:cs="Times New Roman"/>
                <w:color w:val="auto"/>
                <w:spacing w:val="-6"/>
                <w:sz w:val="24"/>
                <w:szCs w:val="24"/>
                <w:u w:val="none"/>
              </w:rPr>
              <w:t>用地（用海）</w:t>
            </w:r>
          </w:p>
          <w:p w14:paraId="0F03E1F9">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pacing w:val="-6"/>
                <w:sz w:val="24"/>
                <w:szCs w:val="24"/>
                <w:u w:val="none"/>
              </w:rPr>
              <w:t>面积（m</w:t>
            </w:r>
            <w:r>
              <w:rPr>
                <w:rFonts w:hint="default" w:ascii="Times New Roman" w:hAnsi="Times New Roman" w:eastAsia="宋体" w:cs="Times New Roman"/>
                <w:color w:val="auto"/>
                <w:spacing w:val="-6"/>
                <w:sz w:val="24"/>
                <w:szCs w:val="24"/>
                <w:u w:val="none"/>
                <w:vertAlign w:val="superscript"/>
              </w:rPr>
              <w:t>2</w:t>
            </w:r>
            <w:r>
              <w:rPr>
                <w:rFonts w:hint="default" w:ascii="Times New Roman" w:hAnsi="Times New Roman" w:eastAsia="宋体" w:cs="Times New Roman"/>
                <w:color w:val="auto"/>
                <w:spacing w:val="-6"/>
                <w:sz w:val="24"/>
                <w:szCs w:val="24"/>
                <w:u w:val="none"/>
              </w:rPr>
              <w:t>）</w:t>
            </w:r>
          </w:p>
        </w:tc>
        <w:tc>
          <w:tcPr>
            <w:tcW w:w="1589" w:type="pct"/>
            <w:noWrap w:val="0"/>
            <w:vAlign w:val="center"/>
          </w:tcPr>
          <w:p w14:paraId="41CCC33A">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highlight w:val="none"/>
                <w:u w:val="none"/>
                <w:lang w:eastAsia="zh-CN"/>
              </w:rPr>
              <w:t>面积</w:t>
            </w:r>
            <w:r>
              <w:rPr>
                <w:rFonts w:hint="eastAsia" w:cs="Times New Roman"/>
                <w:color w:val="auto"/>
                <w:sz w:val="24"/>
                <w:szCs w:val="24"/>
                <w:highlight w:val="none"/>
                <w:u w:val="none"/>
                <w:lang w:val="en-US" w:eastAsia="zh-CN"/>
              </w:rPr>
              <w:t>4188.94</w:t>
            </w:r>
            <w:r>
              <w:rPr>
                <w:rFonts w:hint="default" w:ascii="Times New Roman" w:hAnsi="Times New Roman" w:eastAsia="宋体" w:cs="Times New Roman"/>
                <w:color w:val="auto"/>
                <w:sz w:val="24"/>
                <w:szCs w:val="24"/>
                <w:highlight w:val="none"/>
                <w:u w:val="none"/>
                <w:lang w:val="en-US" w:eastAsia="zh-CN"/>
              </w:rPr>
              <w:t>m</w:t>
            </w:r>
            <w:r>
              <w:rPr>
                <w:rFonts w:hint="default" w:ascii="Times New Roman" w:hAnsi="Times New Roman" w:eastAsia="宋体" w:cs="Times New Roman"/>
                <w:color w:val="auto"/>
                <w:sz w:val="24"/>
                <w:szCs w:val="24"/>
                <w:highlight w:val="none"/>
                <w:u w:val="none"/>
                <w:vertAlign w:val="superscript"/>
                <w:lang w:val="en-US" w:eastAsia="zh-CN"/>
              </w:rPr>
              <w:t>2</w:t>
            </w:r>
          </w:p>
        </w:tc>
      </w:tr>
      <w:tr w14:paraId="52362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34" w:type="pct"/>
            <w:noWrap w:val="0"/>
            <w:vAlign w:val="center"/>
          </w:tcPr>
          <w:p w14:paraId="7307D5C2">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专项评价设置情况</w:t>
            </w:r>
          </w:p>
        </w:tc>
        <w:tc>
          <w:tcPr>
            <w:tcW w:w="4565" w:type="pct"/>
            <w:gridSpan w:val="5"/>
            <w:noWrap w:val="0"/>
            <w:vAlign w:val="center"/>
          </w:tcPr>
          <w:p w14:paraId="3F63624E">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0" w:firstLineChars="0"/>
              <w:jc w:val="left"/>
              <w:textAlignment w:val="auto"/>
              <w:rPr>
                <w:rFonts w:hint="default" w:ascii="Times New Roman" w:hAnsi="Times New Roman" w:eastAsia="宋体" w:cs="Times New Roman"/>
                <w:color w:val="auto"/>
                <w:kern w:val="0"/>
                <w:sz w:val="24"/>
                <w:szCs w:val="24"/>
                <w:u w:val="none"/>
                <w:lang w:bidi="ar"/>
              </w:rPr>
            </w:pPr>
            <w:r>
              <w:rPr>
                <w:rFonts w:hint="default" w:ascii="Times New Roman" w:hAnsi="Times New Roman" w:eastAsia="宋体" w:cs="Times New Roman"/>
                <w:color w:val="auto"/>
                <w:kern w:val="0"/>
                <w:sz w:val="24"/>
                <w:szCs w:val="24"/>
                <w:u w:val="none"/>
                <w:lang w:eastAsia="zh-CN" w:bidi="ar"/>
              </w:rPr>
              <w:t>根据《</w:t>
            </w:r>
            <w:r>
              <w:rPr>
                <w:rFonts w:hint="default" w:ascii="Times New Roman" w:hAnsi="Times New Roman" w:eastAsia="宋体" w:cs="Times New Roman"/>
                <w:color w:val="auto"/>
                <w:kern w:val="0"/>
                <w:sz w:val="24"/>
                <w:szCs w:val="24"/>
                <w:u w:val="none"/>
                <w:lang w:val="en-US" w:eastAsia="zh-CN" w:bidi="ar"/>
              </w:rPr>
              <w:t>建设项目环境影响报告表编制技术指南（污染影响类）（试行）</w:t>
            </w:r>
            <w:r>
              <w:rPr>
                <w:rFonts w:hint="default" w:ascii="Times New Roman" w:hAnsi="Times New Roman" w:eastAsia="宋体" w:cs="Times New Roman"/>
                <w:color w:val="auto"/>
                <w:kern w:val="0"/>
                <w:sz w:val="24"/>
                <w:szCs w:val="24"/>
                <w:u w:val="none"/>
                <w:lang w:eastAsia="zh-CN" w:bidi="ar"/>
              </w:rPr>
              <w:t>》</w:t>
            </w:r>
            <w:r>
              <w:rPr>
                <w:rFonts w:hint="default" w:ascii="Times New Roman" w:hAnsi="Times New Roman" w:eastAsia="宋体" w:cs="Times New Roman"/>
                <w:color w:val="auto"/>
                <w:kern w:val="0"/>
                <w:sz w:val="24"/>
                <w:szCs w:val="24"/>
                <w:u w:val="none"/>
                <w:lang w:val="en-US" w:eastAsia="zh-CN" w:bidi="ar"/>
              </w:rPr>
              <w:t>项目工程专项设置情况参照表1</w:t>
            </w:r>
            <w:r>
              <w:rPr>
                <w:rFonts w:hint="eastAsia" w:cs="Times New Roman"/>
                <w:color w:val="auto"/>
                <w:kern w:val="0"/>
                <w:sz w:val="24"/>
                <w:szCs w:val="24"/>
                <w:u w:val="none"/>
                <w:lang w:val="en-US" w:eastAsia="zh-CN" w:bidi="ar"/>
              </w:rPr>
              <w:t>.1-1</w:t>
            </w:r>
            <w:r>
              <w:rPr>
                <w:rFonts w:hint="default" w:ascii="Times New Roman" w:hAnsi="Times New Roman" w:eastAsia="宋体" w:cs="Times New Roman"/>
                <w:color w:val="auto"/>
                <w:kern w:val="0"/>
                <w:sz w:val="24"/>
                <w:szCs w:val="24"/>
                <w:u w:val="none"/>
                <w:lang w:val="en-US" w:eastAsia="zh-CN" w:bidi="ar"/>
              </w:rPr>
              <w:t>专项评价设置原则表，具体详见下表：</w:t>
            </w:r>
          </w:p>
          <w:p w14:paraId="375B69DF">
            <w:pPr>
              <w:keepNext w:val="0"/>
              <w:keepLines w:val="0"/>
              <w:pageBreakBefore w:val="0"/>
              <w:widowControl w:val="0"/>
              <w:kinsoku/>
              <w:wordWrap/>
              <w:overflowPunct/>
              <w:topLinePunct w:val="0"/>
              <w:autoSpaceDE w:val="0"/>
              <w:autoSpaceDN w:val="0"/>
              <w:bidi w:val="0"/>
              <w:adjustRightInd w:val="0"/>
              <w:snapToGrid w:val="0"/>
              <w:spacing w:before="160" w:beforeLines="50" w:line="240" w:lineRule="auto"/>
              <w:ind w:left="0" w:right="0" w:firstLine="0" w:firstLineChars="0"/>
              <w:jc w:val="center"/>
              <w:textAlignment w:val="auto"/>
              <w:rPr>
                <w:rFonts w:hint="default" w:ascii="Times New Roman" w:hAnsi="Times New Roman" w:eastAsia="宋体" w:cs="Times New Roman"/>
                <w:b/>
                <w:bCs/>
                <w:color w:val="auto"/>
                <w:kern w:val="0"/>
                <w:sz w:val="24"/>
                <w:szCs w:val="24"/>
                <w:u w:val="none"/>
                <w:lang w:eastAsia="zh-CN" w:bidi="ar"/>
              </w:rPr>
            </w:pPr>
            <w:r>
              <w:rPr>
                <w:rFonts w:hint="default" w:ascii="Times New Roman" w:hAnsi="Times New Roman" w:eastAsia="宋体" w:cs="Times New Roman"/>
                <w:b/>
                <w:bCs/>
                <w:color w:val="auto"/>
                <w:kern w:val="0"/>
                <w:sz w:val="24"/>
                <w:szCs w:val="24"/>
                <w:u w:val="none"/>
                <w:lang w:eastAsia="zh-CN" w:bidi="ar"/>
              </w:rPr>
              <w:t>表1.1</w:t>
            </w:r>
            <w:r>
              <w:rPr>
                <w:rFonts w:hint="eastAsia" w:cs="Times New Roman"/>
                <w:b/>
                <w:bCs/>
                <w:color w:val="auto"/>
                <w:kern w:val="0"/>
                <w:sz w:val="24"/>
                <w:szCs w:val="24"/>
                <w:u w:val="none"/>
                <w:lang w:val="en-US" w:eastAsia="zh-CN" w:bidi="ar"/>
              </w:rPr>
              <w:t>-1</w:t>
            </w:r>
            <w:r>
              <w:rPr>
                <w:rFonts w:hint="default" w:ascii="Times New Roman" w:hAnsi="Times New Roman" w:eastAsia="宋体" w:cs="Times New Roman"/>
                <w:b/>
                <w:bCs/>
                <w:color w:val="auto"/>
                <w:kern w:val="0"/>
                <w:sz w:val="24"/>
                <w:szCs w:val="24"/>
                <w:u w:val="none"/>
                <w:lang w:eastAsia="zh-CN" w:bidi="ar"/>
              </w:rPr>
              <w:t xml:space="preserve">  项目专项评价设置表</w:t>
            </w:r>
          </w:p>
          <w:tbl>
            <w:tblPr>
              <w:tblStyle w:val="24"/>
              <w:tblW w:w="492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4"/>
              <w:gridCol w:w="3491"/>
              <w:gridCol w:w="2381"/>
              <w:gridCol w:w="908"/>
            </w:tblGrid>
            <w:tr w14:paraId="70D91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3" w:type="pct"/>
                  <w:tcBorders>
                    <w:top w:val="single" w:color="auto" w:sz="12" w:space="0"/>
                    <w:left w:val="nil"/>
                  </w:tcBorders>
                  <w:noWrap w:val="0"/>
                  <w:vAlign w:val="center"/>
                </w:tcPr>
                <w:p w14:paraId="7D3D53C8">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kern w:val="0"/>
                      <w:sz w:val="21"/>
                      <w:szCs w:val="21"/>
                      <w:u w:val="none"/>
                      <w:lang w:val="en-US" w:eastAsia="zh-CN" w:bidi="ar"/>
                    </w:rPr>
                    <w:t>专项评价的类别</w:t>
                  </w:r>
                </w:p>
              </w:tc>
              <w:tc>
                <w:tcPr>
                  <w:tcW w:w="2191" w:type="pct"/>
                  <w:tcBorders>
                    <w:top w:val="single" w:color="auto" w:sz="12" w:space="0"/>
                  </w:tcBorders>
                  <w:noWrap w:val="0"/>
                  <w:vAlign w:val="center"/>
                </w:tcPr>
                <w:p w14:paraId="4E0E4598">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kern w:val="0"/>
                      <w:sz w:val="21"/>
                      <w:szCs w:val="21"/>
                      <w:u w:val="none"/>
                      <w:lang w:val="en-US" w:eastAsia="zh-CN" w:bidi="ar"/>
                    </w:rPr>
                    <w:t>设置原则</w:t>
                  </w:r>
                </w:p>
              </w:tc>
              <w:tc>
                <w:tcPr>
                  <w:tcW w:w="1494" w:type="pct"/>
                  <w:tcBorders>
                    <w:top w:val="single" w:color="auto" w:sz="12" w:space="0"/>
                  </w:tcBorders>
                  <w:noWrap w:val="0"/>
                  <w:vAlign w:val="center"/>
                </w:tcPr>
                <w:p w14:paraId="44E0D28D">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lang w:eastAsia="zh-CN"/>
                    </w:rPr>
                    <w:t>本项目情况</w:t>
                  </w:r>
                </w:p>
              </w:tc>
              <w:tc>
                <w:tcPr>
                  <w:tcW w:w="570" w:type="pct"/>
                  <w:tcBorders>
                    <w:top w:val="single" w:color="auto" w:sz="12" w:space="0"/>
                    <w:right w:val="nil"/>
                  </w:tcBorders>
                  <w:noWrap w:val="0"/>
                  <w:vAlign w:val="center"/>
                </w:tcPr>
                <w:p w14:paraId="6F3938B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lang w:eastAsia="zh-CN"/>
                    </w:rPr>
                    <w:t>是否设置专项</w:t>
                  </w:r>
                </w:p>
              </w:tc>
            </w:tr>
            <w:tr w14:paraId="59D2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1" w:hRule="atLeast"/>
              </w:trPr>
              <w:tc>
                <w:tcPr>
                  <w:tcW w:w="743" w:type="pct"/>
                  <w:tcBorders>
                    <w:left w:val="nil"/>
                  </w:tcBorders>
                  <w:noWrap w:val="0"/>
                  <w:vAlign w:val="center"/>
                </w:tcPr>
                <w:p w14:paraId="4144E3DE">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大气</w:t>
                  </w:r>
                </w:p>
              </w:tc>
              <w:tc>
                <w:tcPr>
                  <w:tcW w:w="2191" w:type="pct"/>
                  <w:noWrap w:val="0"/>
                  <w:vAlign w:val="center"/>
                </w:tcPr>
                <w:p w14:paraId="5DCFC7EF">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lang w:val="en-US" w:eastAsia="zh-CN"/>
                    </w:rPr>
                    <w:t>排放废气含有毒有害污染物、二噁英、苯并[a]芘、氰化物、氯气且厂界外500米范围内有环境空气保护目标的建设项目。</w:t>
                  </w:r>
                </w:p>
              </w:tc>
              <w:tc>
                <w:tcPr>
                  <w:tcW w:w="1494" w:type="pct"/>
                  <w:noWrap w:val="0"/>
                  <w:vAlign w:val="center"/>
                </w:tcPr>
                <w:p w14:paraId="5A89156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lang w:val="en-US" w:eastAsia="zh-CN"/>
                    </w:rPr>
                    <w:t>本项目排放的废气污染物不涉及左列大气污染物。</w:t>
                  </w:r>
                </w:p>
              </w:tc>
              <w:tc>
                <w:tcPr>
                  <w:tcW w:w="570" w:type="pct"/>
                  <w:tcBorders>
                    <w:right w:val="nil"/>
                  </w:tcBorders>
                  <w:noWrap w:val="0"/>
                  <w:vAlign w:val="center"/>
                </w:tcPr>
                <w:p w14:paraId="44CBA15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eastAsia="zh-CN"/>
                    </w:rPr>
                  </w:pPr>
                  <w:r>
                    <w:rPr>
                      <w:rFonts w:hint="eastAsia" w:ascii="Times New Roman" w:hAnsi="Times New Roman" w:eastAsia="宋体" w:cs="Times New Roman"/>
                      <w:color w:val="auto"/>
                      <w:sz w:val="21"/>
                      <w:szCs w:val="21"/>
                      <w:u w:val="none"/>
                      <w:vertAlign w:val="baseline"/>
                      <w:lang w:eastAsia="zh-CN"/>
                    </w:rPr>
                    <w:t>否</w:t>
                  </w:r>
                </w:p>
              </w:tc>
            </w:tr>
            <w:tr w14:paraId="11603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3" w:type="pct"/>
                  <w:tcBorders>
                    <w:left w:val="nil"/>
                  </w:tcBorders>
                  <w:noWrap w:val="0"/>
                  <w:vAlign w:val="center"/>
                </w:tcPr>
                <w:p w14:paraId="2A39D9EF">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地表水</w:t>
                  </w:r>
                </w:p>
              </w:tc>
              <w:tc>
                <w:tcPr>
                  <w:tcW w:w="2191" w:type="pct"/>
                  <w:noWrap w:val="0"/>
                  <w:vAlign w:val="center"/>
                </w:tcPr>
                <w:p w14:paraId="3DBA3825">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新增工业废水直排建设项目（槽罐车外送污水处理厂的除外）；新增废水直排的污水集中处理厂</w:t>
                  </w:r>
                </w:p>
              </w:tc>
              <w:tc>
                <w:tcPr>
                  <w:tcW w:w="1494" w:type="pct"/>
                  <w:noWrap w:val="0"/>
                  <w:vAlign w:val="center"/>
                </w:tcPr>
                <w:p w14:paraId="4FF2C7F5">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eastAsia="zh-CN"/>
                    </w:rPr>
                    <w:t>运营期</w:t>
                  </w:r>
                  <w:r>
                    <w:rPr>
                      <w:rFonts w:hint="eastAsia" w:cs="Times New Roman"/>
                      <w:color w:val="auto"/>
                      <w:sz w:val="21"/>
                      <w:szCs w:val="21"/>
                      <w:u w:val="none"/>
                      <w:vertAlign w:val="baseline"/>
                      <w:lang w:val="en-US" w:eastAsia="zh-CN"/>
                    </w:rPr>
                    <w:t>冷却水循环使用不外排；喷粉前清洗水经过自建废水处理设施处理后回用于清洗工序，不外排；</w:t>
                  </w:r>
                  <w:r>
                    <w:rPr>
                      <w:rFonts w:hint="default" w:ascii="Times New Roman" w:hAnsi="Times New Roman" w:eastAsia="宋体" w:cs="Times New Roman"/>
                      <w:color w:val="auto"/>
                      <w:sz w:val="21"/>
                      <w:szCs w:val="21"/>
                      <w:u w:val="none"/>
                      <w:vertAlign w:val="baseline"/>
                      <w:lang w:eastAsia="zh-CN"/>
                    </w:rPr>
                    <w:t>生活污水经化粪池预处理后，排入</w:t>
                  </w:r>
                  <w:r>
                    <w:rPr>
                      <w:rFonts w:hint="default" w:ascii="Times New Roman" w:hAnsi="Times New Roman" w:eastAsia="宋体" w:cs="Times New Roman"/>
                      <w:color w:val="auto"/>
                      <w:sz w:val="21"/>
                      <w:szCs w:val="21"/>
                      <w:highlight w:val="none"/>
                      <w:u w:val="none"/>
                      <w:vertAlign w:val="baseline"/>
                      <w:lang w:eastAsia="zh-CN"/>
                    </w:rPr>
                    <w:t>市政污水管网纳入福清市</w:t>
                  </w:r>
                  <w:r>
                    <w:rPr>
                      <w:rFonts w:hint="eastAsia" w:cs="Times New Roman"/>
                      <w:color w:val="auto"/>
                      <w:sz w:val="21"/>
                      <w:szCs w:val="21"/>
                      <w:highlight w:val="none"/>
                      <w:u w:val="none"/>
                      <w:vertAlign w:val="baseline"/>
                      <w:lang w:val="en-US" w:eastAsia="zh-CN"/>
                    </w:rPr>
                    <w:t>融元</w:t>
                  </w:r>
                  <w:r>
                    <w:rPr>
                      <w:rFonts w:hint="default" w:ascii="Times New Roman" w:hAnsi="Times New Roman" w:eastAsia="宋体" w:cs="Times New Roman"/>
                      <w:color w:val="auto"/>
                      <w:sz w:val="21"/>
                      <w:szCs w:val="21"/>
                      <w:highlight w:val="none"/>
                      <w:u w:val="none"/>
                      <w:vertAlign w:val="baseline"/>
                      <w:lang w:eastAsia="zh-CN"/>
                    </w:rPr>
                    <w:t>污水处理厂</w:t>
                  </w:r>
                </w:p>
              </w:tc>
              <w:tc>
                <w:tcPr>
                  <w:tcW w:w="570" w:type="pct"/>
                  <w:tcBorders>
                    <w:right w:val="nil"/>
                  </w:tcBorders>
                  <w:noWrap w:val="0"/>
                  <w:vAlign w:val="center"/>
                </w:tcPr>
                <w:p w14:paraId="66EA81B8">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lang w:eastAsia="zh-CN"/>
                    </w:rPr>
                    <w:t>否</w:t>
                  </w:r>
                </w:p>
              </w:tc>
            </w:tr>
            <w:tr w14:paraId="5A337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 w:hRule="atLeast"/>
              </w:trPr>
              <w:tc>
                <w:tcPr>
                  <w:tcW w:w="743" w:type="pct"/>
                  <w:tcBorders>
                    <w:left w:val="nil"/>
                  </w:tcBorders>
                  <w:noWrap w:val="0"/>
                  <w:vAlign w:val="center"/>
                </w:tcPr>
                <w:p w14:paraId="6EAFEF48">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环境风险</w:t>
                  </w:r>
                </w:p>
              </w:tc>
              <w:tc>
                <w:tcPr>
                  <w:tcW w:w="2191" w:type="pct"/>
                  <w:noWrap w:val="0"/>
                  <w:vAlign w:val="center"/>
                </w:tcPr>
                <w:p w14:paraId="52FE669C">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有毒有害和易燃易爆危险物质存储量超过临界量的建设项目</w:t>
                  </w:r>
                </w:p>
              </w:tc>
              <w:tc>
                <w:tcPr>
                  <w:tcW w:w="1494" w:type="pct"/>
                  <w:noWrap w:val="0"/>
                  <w:vAlign w:val="center"/>
                </w:tcPr>
                <w:p w14:paraId="001D42A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sz w:val="21"/>
                      <w:szCs w:val="21"/>
                      <w:u w:val="none"/>
                      <w:vertAlign w:val="baseline"/>
                      <w:lang w:eastAsia="zh-CN"/>
                    </w:rPr>
                    <w:t>本项目</w:t>
                  </w:r>
                  <w:r>
                    <w:rPr>
                      <w:rFonts w:hint="eastAsia" w:cs="Times New Roman"/>
                      <w:color w:val="auto"/>
                      <w:sz w:val="21"/>
                      <w:szCs w:val="21"/>
                      <w:u w:val="none"/>
                      <w:vertAlign w:val="baseline"/>
                      <w:lang w:eastAsia="zh-CN"/>
                    </w:rPr>
                    <w:t>涉及</w:t>
                  </w:r>
                  <w:r>
                    <w:rPr>
                      <w:rFonts w:hint="default" w:ascii="Times New Roman" w:hAnsi="Times New Roman" w:eastAsia="宋体" w:cs="Times New Roman"/>
                      <w:color w:val="auto"/>
                      <w:sz w:val="21"/>
                      <w:szCs w:val="21"/>
                      <w:u w:val="none"/>
                      <w:vertAlign w:val="baseline"/>
                      <w:lang w:eastAsia="zh-CN"/>
                    </w:rPr>
                    <w:t>危险物质为</w:t>
                  </w:r>
                  <w:r>
                    <w:rPr>
                      <w:rFonts w:hint="eastAsia" w:ascii="Times New Roman" w:hAnsi="Times New Roman" w:eastAsia="宋体" w:cs="Times New Roman"/>
                      <w:color w:val="auto"/>
                      <w:sz w:val="21"/>
                      <w:szCs w:val="21"/>
                      <w:u w:val="none"/>
                      <w:vertAlign w:val="baseline"/>
                      <w:lang w:eastAsia="zh-CN"/>
                    </w:rPr>
                    <w:t>油类物质</w:t>
                  </w:r>
                  <w:r>
                    <w:rPr>
                      <w:rFonts w:hint="default" w:ascii="Times New Roman" w:hAnsi="Times New Roman" w:eastAsia="宋体" w:cs="Times New Roman"/>
                      <w:color w:val="auto"/>
                      <w:sz w:val="21"/>
                      <w:szCs w:val="21"/>
                      <w:u w:val="none"/>
                      <w:vertAlign w:val="baseline"/>
                      <w:lang w:eastAsia="zh-CN"/>
                    </w:rPr>
                    <w:t>，储量未超过临界量</w:t>
                  </w:r>
                  <w:r>
                    <w:rPr>
                      <w:rFonts w:hint="default"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val="en-US" w:eastAsia="zh-CN"/>
                    </w:rPr>
                    <w:t>Q＜1。</w:t>
                  </w:r>
                </w:p>
              </w:tc>
              <w:tc>
                <w:tcPr>
                  <w:tcW w:w="570" w:type="pct"/>
                  <w:tcBorders>
                    <w:right w:val="nil"/>
                  </w:tcBorders>
                  <w:noWrap w:val="0"/>
                  <w:vAlign w:val="center"/>
                </w:tcPr>
                <w:p w14:paraId="100EABCD">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lang w:eastAsia="zh-CN"/>
                    </w:rPr>
                    <w:t>否</w:t>
                  </w:r>
                </w:p>
              </w:tc>
            </w:tr>
            <w:tr w14:paraId="7D96B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3" w:type="pct"/>
                  <w:tcBorders>
                    <w:left w:val="nil"/>
                  </w:tcBorders>
                  <w:noWrap w:val="0"/>
                  <w:vAlign w:val="center"/>
                </w:tcPr>
                <w:p w14:paraId="0E1BD518">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生态</w:t>
                  </w:r>
                </w:p>
              </w:tc>
              <w:tc>
                <w:tcPr>
                  <w:tcW w:w="2191" w:type="pct"/>
                  <w:noWrap w:val="0"/>
                  <w:vAlign w:val="center"/>
                </w:tcPr>
                <w:p w14:paraId="1FEFBB35">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取水口下游500米范围内有重要水生生物的自然产卵场、索饵场、越冬场和洄游通道的新增河道取水的污染类建设项目</w:t>
                  </w:r>
                </w:p>
              </w:tc>
              <w:tc>
                <w:tcPr>
                  <w:tcW w:w="1494" w:type="pct"/>
                  <w:noWrap w:val="0"/>
                  <w:vAlign w:val="center"/>
                </w:tcPr>
                <w:p w14:paraId="43AB6784">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sz w:val="21"/>
                      <w:szCs w:val="21"/>
                      <w:u w:val="none"/>
                      <w:vertAlign w:val="baseline"/>
                      <w:lang w:eastAsia="zh-CN"/>
                    </w:rPr>
                    <w:t>本项目不涉及</w:t>
                  </w:r>
                </w:p>
              </w:tc>
              <w:tc>
                <w:tcPr>
                  <w:tcW w:w="570" w:type="pct"/>
                  <w:tcBorders>
                    <w:right w:val="nil"/>
                  </w:tcBorders>
                  <w:noWrap w:val="0"/>
                  <w:vAlign w:val="center"/>
                </w:tcPr>
                <w:p w14:paraId="416AB098">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lang w:eastAsia="zh-CN"/>
                    </w:rPr>
                    <w:t>否</w:t>
                  </w:r>
                </w:p>
              </w:tc>
            </w:tr>
            <w:tr w14:paraId="67F6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3" w:type="pct"/>
                  <w:tcBorders>
                    <w:left w:val="nil"/>
                    <w:bottom w:val="single" w:color="auto" w:sz="12" w:space="0"/>
                  </w:tcBorders>
                  <w:noWrap w:val="0"/>
                  <w:vAlign w:val="center"/>
                </w:tcPr>
                <w:p w14:paraId="223A738B">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海洋</w:t>
                  </w:r>
                </w:p>
              </w:tc>
              <w:tc>
                <w:tcPr>
                  <w:tcW w:w="2191" w:type="pct"/>
                  <w:tcBorders>
                    <w:bottom w:val="single" w:color="auto" w:sz="12" w:space="0"/>
                  </w:tcBorders>
                  <w:noWrap w:val="0"/>
                  <w:vAlign w:val="center"/>
                </w:tcPr>
                <w:p w14:paraId="04354604">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kern w:val="0"/>
                      <w:sz w:val="21"/>
                      <w:szCs w:val="21"/>
                      <w:u w:val="none"/>
                      <w:lang w:val="en-US" w:eastAsia="zh-CN" w:bidi="ar"/>
                    </w:rPr>
                    <w:t>直接向海排放污染物的海洋工程建设项目</w:t>
                  </w:r>
                </w:p>
              </w:tc>
              <w:tc>
                <w:tcPr>
                  <w:tcW w:w="1494" w:type="pct"/>
                  <w:tcBorders>
                    <w:bottom w:val="single" w:color="auto" w:sz="12" w:space="0"/>
                  </w:tcBorders>
                  <w:noWrap w:val="0"/>
                  <w:vAlign w:val="center"/>
                </w:tcPr>
                <w:p w14:paraId="5B99DAF2">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sz w:val="21"/>
                      <w:szCs w:val="21"/>
                      <w:u w:val="none"/>
                      <w:vertAlign w:val="baseline"/>
                      <w:lang w:eastAsia="zh-CN"/>
                    </w:rPr>
                    <w:t>本项目不涉及</w:t>
                  </w:r>
                </w:p>
              </w:tc>
              <w:tc>
                <w:tcPr>
                  <w:tcW w:w="570" w:type="pct"/>
                  <w:tcBorders>
                    <w:bottom w:val="single" w:color="auto" w:sz="12" w:space="0"/>
                    <w:right w:val="nil"/>
                  </w:tcBorders>
                  <w:noWrap w:val="0"/>
                  <w:vAlign w:val="center"/>
                </w:tcPr>
                <w:p w14:paraId="66CABE8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lang w:eastAsia="zh-CN"/>
                    </w:rPr>
                    <w:t>否</w:t>
                  </w:r>
                </w:p>
              </w:tc>
            </w:tr>
          </w:tbl>
          <w:p w14:paraId="74F1473A">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lang w:eastAsia="zh-CN"/>
              </w:rPr>
            </w:pPr>
            <w:r>
              <w:rPr>
                <w:rFonts w:hint="default" w:ascii="Times New Roman" w:hAnsi="Times New Roman" w:eastAsia="宋体" w:cs="Times New Roman"/>
                <w:color w:val="auto"/>
                <w:sz w:val="24"/>
                <w:szCs w:val="24"/>
              </w:rPr>
              <w:t>经判定，本项目</w:t>
            </w:r>
            <w:r>
              <w:rPr>
                <w:rFonts w:hint="eastAsia" w:cs="Times New Roman"/>
                <w:color w:val="auto"/>
                <w:sz w:val="24"/>
                <w:szCs w:val="24"/>
                <w:lang w:eastAsia="zh-CN"/>
              </w:rPr>
              <w:t>无须设置</w:t>
            </w:r>
            <w:r>
              <w:rPr>
                <w:rFonts w:hint="default" w:ascii="Times New Roman" w:hAnsi="Times New Roman" w:eastAsia="宋体" w:cs="Times New Roman"/>
                <w:color w:val="auto"/>
                <w:sz w:val="24"/>
                <w:szCs w:val="24"/>
              </w:rPr>
              <w:t>专项评价。</w:t>
            </w:r>
          </w:p>
        </w:tc>
      </w:tr>
      <w:tr w14:paraId="086216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34" w:type="pct"/>
            <w:noWrap w:val="0"/>
            <w:vAlign w:val="center"/>
          </w:tcPr>
          <w:p w14:paraId="50E486A0">
            <w:pPr>
              <w:keepLines w:val="0"/>
              <w:pageBreakBefore w:val="0"/>
              <w:wordWrap/>
              <w:topLinePunct w:val="0"/>
              <w:autoSpaceDE w:val="0"/>
              <w:autoSpaceDN w:val="0"/>
              <w:bidi w:val="0"/>
              <w:adjustRightInd w:val="0"/>
              <w:snapToGrid w:val="0"/>
              <w:spacing w:line="360" w:lineRule="auto"/>
              <w:ind w:left="0" w:right="0" w:firstLine="0" w:firstLineChars="0"/>
              <w:jc w:val="left"/>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sz w:val="24"/>
                <w:szCs w:val="24"/>
                <w:u w:val="none"/>
              </w:rPr>
              <w:t>规划情况</w:t>
            </w:r>
          </w:p>
        </w:tc>
        <w:tc>
          <w:tcPr>
            <w:tcW w:w="4565" w:type="pct"/>
            <w:gridSpan w:val="5"/>
            <w:noWrap w:val="0"/>
            <w:vAlign w:val="center"/>
          </w:tcPr>
          <w:p w14:paraId="1911DF5A">
            <w:pPr>
              <w:keepLines w:val="0"/>
              <w:pageBreakBefore w:val="0"/>
              <w:widowControl/>
              <w:wordWrap/>
              <w:topLinePunct w:val="0"/>
              <w:autoSpaceDE/>
              <w:autoSpaceDN/>
              <w:bidi w:val="0"/>
              <w:adjustRightInd/>
              <w:snapToGrid/>
              <w:spacing w:line="360" w:lineRule="auto"/>
              <w:ind w:left="0" w:right="0" w:firstLine="0" w:firstLineChars="0"/>
              <w:jc w:val="left"/>
              <w:rPr>
                <w:rFonts w:hint="eastAsia" w:ascii="Times New Roman" w:hAnsi="Times New Roman" w:eastAsia="宋体" w:cs="Times New Roman"/>
                <w:b/>
                <w:bCs/>
                <w:color w:val="auto"/>
                <w:kern w:val="0"/>
                <w:sz w:val="24"/>
                <w:szCs w:val="24"/>
                <w:u w:val="none"/>
                <w:lang w:eastAsia="zh-CN"/>
              </w:rPr>
            </w:pPr>
            <w:r>
              <w:rPr>
                <w:rFonts w:hint="eastAsia" w:cs="Times New Roman"/>
                <w:b/>
                <w:bCs/>
                <w:color w:val="auto"/>
                <w:kern w:val="0"/>
                <w:sz w:val="24"/>
                <w:szCs w:val="24"/>
                <w:u w:val="none"/>
                <w:lang w:eastAsia="zh-CN"/>
              </w:rPr>
              <w:t>一、</w:t>
            </w:r>
            <w:r>
              <w:rPr>
                <w:rFonts w:hint="default" w:ascii="Times New Roman" w:hAnsi="Times New Roman" w:eastAsia="宋体" w:cs="Times New Roman"/>
                <w:b/>
                <w:bCs/>
                <w:color w:val="auto"/>
                <w:kern w:val="0"/>
                <w:sz w:val="24"/>
                <w:szCs w:val="24"/>
                <w:u w:val="none"/>
                <w:lang w:val="en-US" w:eastAsia="zh-CN" w:bidi="ar"/>
              </w:rPr>
              <w:t>《福清融侨经济技术开发区总体规划</w:t>
            </w:r>
            <w:r>
              <w:rPr>
                <w:rFonts w:hint="eastAsia" w:cs="Times New Roman"/>
                <w:b/>
                <w:bCs/>
                <w:color w:val="auto"/>
                <w:kern w:val="0"/>
                <w:sz w:val="24"/>
                <w:szCs w:val="24"/>
                <w:u w:val="none"/>
                <w:lang w:val="en-US" w:eastAsia="zh-CN" w:bidi="ar"/>
              </w:rPr>
              <w:t>（</w:t>
            </w:r>
            <w:r>
              <w:rPr>
                <w:rFonts w:hint="default" w:ascii="Times New Roman" w:hAnsi="Times New Roman" w:eastAsia="宋体" w:cs="Times New Roman"/>
                <w:b/>
                <w:bCs/>
                <w:color w:val="auto"/>
                <w:kern w:val="0"/>
                <w:sz w:val="24"/>
                <w:szCs w:val="24"/>
                <w:u w:val="none"/>
                <w:lang w:val="en-US" w:eastAsia="zh-CN" w:bidi="ar"/>
              </w:rPr>
              <w:t>2018-2035年</w:t>
            </w:r>
            <w:r>
              <w:rPr>
                <w:rFonts w:hint="eastAsia" w:cs="Times New Roman"/>
                <w:b/>
                <w:bCs/>
                <w:color w:val="auto"/>
                <w:kern w:val="0"/>
                <w:sz w:val="24"/>
                <w:szCs w:val="24"/>
                <w:u w:val="none"/>
                <w:lang w:val="en-US" w:eastAsia="zh-CN" w:bidi="ar"/>
              </w:rPr>
              <w:t>）</w:t>
            </w:r>
            <w:r>
              <w:rPr>
                <w:rFonts w:hint="default" w:ascii="Times New Roman" w:hAnsi="Times New Roman" w:eastAsia="宋体" w:cs="Times New Roman"/>
                <w:b/>
                <w:bCs/>
                <w:color w:val="auto"/>
                <w:kern w:val="0"/>
                <w:sz w:val="24"/>
                <w:szCs w:val="24"/>
                <w:u w:val="none"/>
                <w:lang w:val="en-US" w:eastAsia="zh-CN" w:bidi="ar"/>
              </w:rPr>
              <w:t>》</w:t>
            </w:r>
          </w:p>
          <w:p w14:paraId="7FF9FDE7">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default" w:ascii="Times New Roman" w:hAnsi="Times New Roman" w:eastAsia="宋体" w:cs="Times New Roman"/>
                <w:b w:val="0"/>
                <w:bCs w:val="0"/>
                <w:color w:val="auto"/>
                <w:kern w:val="0"/>
                <w:sz w:val="24"/>
                <w:szCs w:val="24"/>
                <w:u w:val="none"/>
              </w:rPr>
              <w:t>①</w:t>
            </w:r>
            <w:r>
              <w:rPr>
                <w:rFonts w:hint="default" w:ascii="Times New Roman" w:hAnsi="Times New Roman" w:eastAsia="宋体" w:cs="Times New Roman"/>
                <w:b w:val="0"/>
                <w:color w:val="auto"/>
                <w:kern w:val="0"/>
                <w:sz w:val="24"/>
                <w:szCs w:val="24"/>
                <w:u w:val="none"/>
                <w:lang w:val="en-US" w:eastAsia="zh-CN" w:bidi="ar"/>
              </w:rPr>
              <w:t>规划名称：《福清融侨经济技术开发区总体规划</w:t>
            </w:r>
            <w:r>
              <w:rPr>
                <w:rFonts w:hint="eastAsia"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2018-2035年</w:t>
            </w:r>
            <w:r>
              <w:rPr>
                <w:rFonts w:hint="eastAsia"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w:t>
            </w:r>
          </w:p>
          <w:p w14:paraId="4D19DA1C">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default" w:ascii="Times New Roman" w:hAnsi="Times New Roman" w:eastAsia="宋体" w:cs="Times New Roman"/>
                <w:b w:val="0"/>
                <w:color w:val="auto"/>
                <w:kern w:val="0"/>
                <w:sz w:val="24"/>
                <w:szCs w:val="24"/>
                <w:u w:val="none"/>
                <w:lang w:val="en-US" w:eastAsia="zh-CN" w:bidi="ar"/>
              </w:rPr>
              <w:t>②审批机关：福清市人民政府</w:t>
            </w:r>
          </w:p>
          <w:p w14:paraId="6B8DF9BB">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default" w:ascii="Times New Roman" w:hAnsi="Times New Roman" w:eastAsia="宋体" w:cs="Times New Roman"/>
                <w:b w:val="0"/>
                <w:color w:val="auto"/>
                <w:kern w:val="0"/>
                <w:sz w:val="24"/>
                <w:szCs w:val="24"/>
                <w:u w:val="none"/>
                <w:lang w:val="en-US" w:eastAsia="zh-CN" w:bidi="ar"/>
              </w:rPr>
              <w:t>③审批文件名称及文号：《福清市人民政府关于同意融侨经济技术开发区总体规划</w:t>
            </w:r>
            <w:r>
              <w:rPr>
                <w:rFonts w:hint="eastAsia"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2018-2035年</w:t>
            </w:r>
            <w:r>
              <w:rPr>
                <w:rFonts w:hint="eastAsia"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编制范围的批复》</w:t>
            </w:r>
            <w:r>
              <w:rPr>
                <w:rFonts w:hint="eastAsia"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融政综〔2019〕189号</w:t>
            </w:r>
            <w:r>
              <w:rPr>
                <w:rFonts w:hint="eastAsia" w:cs="Times New Roman"/>
                <w:b w:val="0"/>
                <w:color w:val="auto"/>
                <w:kern w:val="0"/>
                <w:sz w:val="24"/>
                <w:szCs w:val="24"/>
                <w:u w:val="none"/>
                <w:lang w:val="en-US" w:eastAsia="zh-CN" w:bidi="ar"/>
              </w:rPr>
              <w:t>）</w:t>
            </w:r>
          </w:p>
          <w:p w14:paraId="7ABA47B9">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bCs/>
                <w:color w:val="auto"/>
                <w:kern w:val="0"/>
                <w:sz w:val="24"/>
                <w:szCs w:val="24"/>
                <w:u w:val="none"/>
                <w:lang w:val="en-US" w:eastAsia="zh-CN" w:bidi="ar"/>
              </w:rPr>
            </w:pPr>
            <w:r>
              <w:rPr>
                <w:rFonts w:hint="eastAsia" w:ascii="Times New Roman" w:hAnsi="Times New Roman" w:eastAsia="宋体" w:cs="Times New Roman"/>
                <w:b/>
                <w:bCs/>
                <w:color w:val="auto"/>
                <w:kern w:val="0"/>
                <w:sz w:val="24"/>
                <w:szCs w:val="24"/>
                <w:u w:val="none"/>
                <w:lang w:val="en-US" w:eastAsia="zh-CN" w:bidi="ar"/>
              </w:rPr>
              <w:t>二、</w:t>
            </w:r>
            <w:r>
              <w:rPr>
                <w:rFonts w:hint="default" w:ascii="Times New Roman" w:hAnsi="Times New Roman" w:eastAsia="宋体" w:cs="Times New Roman"/>
                <w:b/>
                <w:bCs/>
                <w:color w:val="auto"/>
                <w:kern w:val="0"/>
                <w:sz w:val="24"/>
                <w:szCs w:val="24"/>
                <w:u w:val="none"/>
                <w:lang w:val="en-US" w:eastAsia="zh-CN" w:bidi="ar"/>
              </w:rPr>
              <w:t>《福清市国土空间总体规划（2021—2035年）》</w:t>
            </w:r>
          </w:p>
          <w:p w14:paraId="7902F8AD">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eastAsia" w:ascii="Times New Roman" w:hAnsi="Times New Roman" w:eastAsia="宋体" w:cs="Times New Roman"/>
                <w:b w:val="0"/>
                <w:color w:val="auto"/>
                <w:kern w:val="0"/>
                <w:sz w:val="24"/>
                <w:szCs w:val="24"/>
                <w:u w:val="none"/>
                <w:lang w:val="en-US" w:eastAsia="zh-CN" w:bidi="ar"/>
              </w:rPr>
              <w:t>①规划名称：</w:t>
            </w:r>
            <w:r>
              <w:rPr>
                <w:rFonts w:hint="default" w:ascii="Times New Roman" w:hAnsi="Times New Roman" w:eastAsia="宋体" w:cs="Times New Roman"/>
                <w:b w:val="0"/>
                <w:color w:val="auto"/>
                <w:kern w:val="0"/>
                <w:sz w:val="24"/>
                <w:szCs w:val="24"/>
                <w:u w:val="none"/>
                <w:lang w:val="en-US" w:eastAsia="zh-CN" w:bidi="ar"/>
              </w:rPr>
              <w:t>《福清市国土空间总体规划（2021—2035年）》</w:t>
            </w:r>
            <w:r>
              <w:rPr>
                <w:rFonts w:hint="eastAsia" w:ascii="Times New Roman" w:hAnsi="Times New Roman" w:eastAsia="宋体" w:cs="Times New Roman"/>
                <w:b w:val="0"/>
                <w:color w:val="auto"/>
                <w:kern w:val="0"/>
                <w:sz w:val="24"/>
                <w:szCs w:val="24"/>
                <w:u w:val="none"/>
                <w:lang w:val="en-US" w:eastAsia="zh-CN" w:bidi="ar"/>
              </w:rPr>
              <w:t>；</w:t>
            </w:r>
          </w:p>
          <w:p w14:paraId="0B1C6F70">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eastAsia" w:ascii="Times New Roman" w:hAnsi="Times New Roman" w:eastAsia="宋体" w:cs="Times New Roman"/>
                <w:b w:val="0"/>
                <w:color w:val="auto"/>
                <w:kern w:val="0"/>
                <w:sz w:val="24"/>
                <w:szCs w:val="24"/>
                <w:u w:val="none"/>
                <w:lang w:val="en-US" w:eastAsia="zh-CN" w:bidi="ar"/>
              </w:rPr>
              <w:t>②</w:t>
            </w:r>
            <w:r>
              <w:rPr>
                <w:rFonts w:hint="default" w:ascii="Times New Roman" w:hAnsi="Times New Roman" w:eastAsia="宋体" w:cs="Times New Roman"/>
                <w:b w:val="0"/>
                <w:color w:val="auto"/>
                <w:kern w:val="0"/>
                <w:sz w:val="24"/>
                <w:szCs w:val="24"/>
                <w:u w:val="none"/>
                <w:lang w:val="en-US" w:eastAsia="zh-CN" w:bidi="ar"/>
              </w:rPr>
              <w:t>审批机关：福建省人民政府</w:t>
            </w:r>
            <w:r>
              <w:rPr>
                <w:rFonts w:hint="eastAsia" w:ascii="Times New Roman" w:hAnsi="Times New Roman" w:eastAsia="宋体" w:cs="Times New Roman"/>
                <w:b w:val="0"/>
                <w:color w:val="auto"/>
                <w:kern w:val="0"/>
                <w:sz w:val="24"/>
                <w:szCs w:val="24"/>
                <w:u w:val="none"/>
                <w:lang w:val="en-US" w:eastAsia="zh-CN" w:bidi="ar"/>
              </w:rPr>
              <w:t>；</w:t>
            </w:r>
          </w:p>
          <w:p w14:paraId="4BAAB201">
            <w:pPr>
              <w:keepLines w:val="0"/>
              <w:pageBreakBefore w:val="0"/>
              <w:widowControl/>
              <w:wordWrap/>
              <w:topLinePunct w:val="0"/>
              <w:autoSpaceDE/>
              <w:autoSpaceDN/>
              <w:bidi w:val="0"/>
              <w:adjustRightInd/>
              <w:snapToGrid/>
              <w:spacing w:line="360" w:lineRule="auto"/>
              <w:ind w:left="0" w:right="0" w:firstLine="0" w:firstLineChars="0"/>
              <w:jc w:val="left"/>
              <w:rPr>
                <w:rFonts w:hint="default"/>
              </w:rPr>
            </w:pPr>
            <w:r>
              <w:rPr>
                <w:rFonts w:hint="eastAsia" w:ascii="Times New Roman" w:hAnsi="Times New Roman" w:eastAsia="宋体" w:cs="Times New Roman"/>
                <w:b w:val="0"/>
                <w:color w:val="auto"/>
                <w:kern w:val="0"/>
                <w:sz w:val="24"/>
                <w:szCs w:val="24"/>
                <w:u w:val="none"/>
                <w:lang w:val="en-US" w:eastAsia="zh-CN" w:bidi="ar"/>
              </w:rPr>
              <w:t>③</w:t>
            </w:r>
            <w:r>
              <w:rPr>
                <w:rFonts w:hint="default" w:ascii="Times New Roman" w:hAnsi="Times New Roman" w:eastAsia="宋体" w:cs="Times New Roman"/>
                <w:b w:val="0"/>
                <w:color w:val="auto"/>
                <w:kern w:val="0"/>
                <w:sz w:val="24"/>
                <w:szCs w:val="24"/>
                <w:u w:val="none"/>
                <w:lang w:val="en-US" w:eastAsia="zh-CN" w:bidi="ar"/>
              </w:rPr>
              <w:t>审批文件名称及文号：福建省人民政府关于福州市所辖6个县（市）国土空间总体规划（2021—2035年）的批复</w:t>
            </w:r>
            <w:r>
              <w:rPr>
                <w:rFonts w:hint="eastAsia" w:ascii="Times New Roman" w:hAnsi="Times New Roman" w:eastAsia="宋体" w:cs="Times New Roman"/>
                <w:b w:val="0"/>
                <w:color w:val="auto"/>
                <w:kern w:val="0"/>
                <w:sz w:val="24"/>
                <w:szCs w:val="24"/>
                <w:u w:val="none"/>
                <w:lang w:val="en-US" w:eastAsia="zh-CN" w:bidi="ar"/>
              </w:rPr>
              <w:t>（</w:t>
            </w:r>
            <w:r>
              <w:rPr>
                <w:rFonts w:hint="default" w:ascii="Times New Roman" w:hAnsi="Times New Roman" w:eastAsia="宋体" w:cs="Times New Roman"/>
                <w:b w:val="0"/>
                <w:color w:val="auto"/>
                <w:kern w:val="0"/>
                <w:sz w:val="24"/>
                <w:szCs w:val="24"/>
                <w:u w:val="none"/>
                <w:lang w:val="en-US" w:eastAsia="zh-CN" w:bidi="ar"/>
              </w:rPr>
              <w:t>闽政文〔2024〕420号</w:t>
            </w:r>
            <w:r>
              <w:rPr>
                <w:rFonts w:hint="eastAsia" w:ascii="Times New Roman" w:hAnsi="Times New Roman" w:eastAsia="宋体" w:cs="Times New Roman"/>
                <w:b w:val="0"/>
                <w:color w:val="auto"/>
                <w:kern w:val="0"/>
                <w:sz w:val="24"/>
                <w:szCs w:val="24"/>
                <w:u w:val="none"/>
                <w:lang w:val="en-US" w:eastAsia="zh-CN" w:bidi="ar"/>
              </w:rPr>
              <w:t>）</w:t>
            </w:r>
          </w:p>
        </w:tc>
      </w:tr>
      <w:tr w14:paraId="12D11D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4" w:type="pct"/>
            <w:noWrap w:val="0"/>
            <w:vAlign w:val="center"/>
          </w:tcPr>
          <w:p w14:paraId="7E50365D">
            <w:pPr>
              <w:keepLines w:val="0"/>
              <w:pageBreakBefore w:val="0"/>
              <w:wordWrap/>
              <w:topLinePunct w:val="0"/>
              <w:bidi w:val="0"/>
              <w:adjustRightInd w:val="0"/>
              <w:snapToGrid w:val="0"/>
              <w:spacing w:line="360" w:lineRule="auto"/>
              <w:ind w:left="0" w:right="0" w:firstLine="0" w:firstLineChars="0"/>
              <w:jc w:val="left"/>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规划环境影响</w:t>
            </w:r>
          </w:p>
          <w:p w14:paraId="2B0F0C0E">
            <w:pPr>
              <w:keepLines w:val="0"/>
              <w:pageBreakBefore w:val="0"/>
              <w:wordWrap/>
              <w:topLinePunct w:val="0"/>
              <w:bidi w:val="0"/>
              <w:adjustRightInd w:val="0"/>
              <w:snapToGrid w:val="0"/>
              <w:spacing w:line="360" w:lineRule="auto"/>
              <w:ind w:left="0" w:right="0" w:firstLine="0" w:firstLineChars="0"/>
              <w:jc w:val="left"/>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sz w:val="24"/>
                <w:szCs w:val="24"/>
                <w:u w:val="none"/>
              </w:rPr>
              <w:t>评价情况</w:t>
            </w:r>
          </w:p>
        </w:tc>
        <w:tc>
          <w:tcPr>
            <w:tcW w:w="4565" w:type="pct"/>
            <w:gridSpan w:val="5"/>
            <w:noWrap w:val="0"/>
            <w:vAlign w:val="center"/>
          </w:tcPr>
          <w:p w14:paraId="377D96BD">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default" w:ascii="Times New Roman" w:hAnsi="Times New Roman" w:eastAsia="宋体" w:cs="Times New Roman"/>
                <w:b w:val="0"/>
                <w:bCs w:val="0"/>
                <w:color w:val="auto"/>
                <w:kern w:val="0"/>
                <w:sz w:val="24"/>
                <w:szCs w:val="24"/>
                <w:u w:val="none"/>
              </w:rPr>
              <w:t>①</w:t>
            </w:r>
            <w:r>
              <w:rPr>
                <w:rFonts w:hint="default" w:ascii="Times New Roman" w:hAnsi="Times New Roman" w:eastAsia="宋体" w:cs="Times New Roman"/>
                <w:b w:val="0"/>
                <w:color w:val="auto"/>
                <w:kern w:val="0"/>
                <w:sz w:val="24"/>
                <w:szCs w:val="24"/>
                <w:u w:val="none"/>
                <w:lang w:val="en-US" w:eastAsia="zh-CN" w:bidi="ar"/>
              </w:rPr>
              <w:t>文件名称：福清融侨经济技术开发区总体规划（2018-2035年）环境影响报告书</w:t>
            </w:r>
          </w:p>
          <w:p w14:paraId="3D79FF5B">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b w:val="0"/>
                <w:color w:val="auto"/>
                <w:kern w:val="0"/>
                <w:sz w:val="24"/>
                <w:szCs w:val="24"/>
                <w:u w:val="none"/>
                <w:lang w:val="en-US" w:eastAsia="zh-CN" w:bidi="ar"/>
              </w:rPr>
            </w:pPr>
            <w:r>
              <w:rPr>
                <w:rFonts w:hint="default" w:ascii="Times New Roman" w:hAnsi="Times New Roman" w:eastAsia="宋体" w:cs="Times New Roman"/>
                <w:b w:val="0"/>
                <w:color w:val="auto"/>
                <w:kern w:val="0"/>
                <w:sz w:val="24"/>
                <w:szCs w:val="24"/>
                <w:u w:val="none"/>
                <w:lang w:val="en-US" w:eastAsia="zh-CN" w:bidi="ar"/>
              </w:rPr>
              <w:t>②审查机关：</w:t>
            </w:r>
            <w:r>
              <w:rPr>
                <w:rFonts w:hint="eastAsia" w:cs="Times New Roman"/>
                <w:b w:val="0"/>
                <w:color w:val="auto"/>
                <w:kern w:val="0"/>
                <w:sz w:val="24"/>
                <w:szCs w:val="24"/>
                <w:u w:val="none"/>
                <w:lang w:val="en-US" w:eastAsia="zh-CN" w:bidi="ar"/>
              </w:rPr>
              <w:t>中华人民共和国</w:t>
            </w:r>
            <w:r>
              <w:rPr>
                <w:rFonts w:hint="default" w:ascii="Times New Roman" w:hAnsi="Times New Roman" w:eastAsia="宋体" w:cs="Times New Roman"/>
                <w:b w:val="0"/>
                <w:color w:val="auto"/>
                <w:kern w:val="0"/>
                <w:sz w:val="24"/>
                <w:szCs w:val="24"/>
                <w:u w:val="none"/>
                <w:lang w:val="en-US" w:eastAsia="zh-CN" w:bidi="ar"/>
              </w:rPr>
              <w:t>生态环境部</w:t>
            </w:r>
          </w:p>
          <w:p w14:paraId="41F1F185">
            <w:pPr>
              <w:keepLines w:val="0"/>
              <w:pageBreakBefore w:val="0"/>
              <w:widowControl/>
              <w:wordWrap/>
              <w:topLinePunct w:val="0"/>
              <w:autoSpaceDE/>
              <w:autoSpaceDN/>
              <w:bidi w:val="0"/>
              <w:adjustRightInd/>
              <w:snapToGrid/>
              <w:spacing w:line="360" w:lineRule="auto"/>
              <w:ind w:left="0" w:right="0" w:firstLine="0" w:firstLineChars="0"/>
              <w:jc w:val="left"/>
              <w:rPr>
                <w:rFonts w:hint="default" w:ascii="Times New Roman" w:hAnsi="Times New Roman" w:eastAsia="宋体" w:cs="Times New Roman"/>
                <w:color w:val="auto"/>
                <w:kern w:val="0"/>
                <w:sz w:val="24"/>
                <w:szCs w:val="24"/>
                <w:u w:val="none"/>
                <w:lang w:eastAsia="zh-CN"/>
              </w:rPr>
            </w:pPr>
            <w:r>
              <w:rPr>
                <w:rFonts w:hint="default" w:ascii="Times New Roman" w:hAnsi="Times New Roman" w:eastAsia="宋体" w:cs="Times New Roman"/>
                <w:b w:val="0"/>
                <w:color w:val="auto"/>
                <w:kern w:val="0"/>
                <w:sz w:val="24"/>
                <w:szCs w:val="24"/>
                <w:u w:val="none"/>
                <w:lang w:val="en-US" w:eastAsia="zh-CN" w:bidi="ar"/>
              </w:rPr>
              <w:t>③</w:t>
            </w:r>
            <w:r>
              <w:rPr>
                <w:rFonts w:hint="default" w:ascii="Times New Roman" w:hAnsi="Times New Roman" w:eastAsia="宋体" w:cs="Times New Roman"/>
                <w:color w:val="auto"/>
                <w:kern w:val="0"/>
                <w:sz w:val="24"/>
                <w:szCs w:val="24"/>
                <w:u w:val="none"/>
                <w:lang w:val="en-US" w:eastAsia="zh-CN" w:bidi="ar"/>
              </w:rPr>
              <w:t>审批文件名称及文号：关于《</w:t>
            </w:r>
            <w:r>
              <w:rPr>
                <w:rFonts w:hint="default" w:ascii="Times New Roman" w:hAnsi="Times New Roman" w:eastAsia="宋体" w:cs="Times New Roman"/>
                <w:b w:val="0"/>
                <w:color w:val="auto"/>
                <w:kern w:val="0"/>
                <w:sz w:val="24"/>
                <w:szCs w:val="24"/>
                <w:u w:val="none"/>
                <w:lang w:val="en-US" w:eastAsia="zh-CN" w:bidi="ar"/>
              </w:rPr>
              <w:t>福清融侨经济技术开发区总体规划（2018-2035 年）环境影响报告书</w:t>
            </w:r>
            <w:r>
              <w:rPr>
                <w:rFonts w:hint="default" w:ascii="Times New Roman" w:hAnsi="Times New Roman" w:eastAsia="宋体" w:cs="Times New Roman"/>
                <w:color w:val="auto"/>
                <w:kern w:val="0"/>
                <w:sz w:val="24"/>
                <w:szCs w:val="24"/>
                <w:u w:val="none"/>
                <w:lang w:val="en-US" w:eastAsia="zh-CN" w:bidi="ar"/>
              </w:rPr>
              <w:t>》的审查意见</w:t>
            </w:r>
            <w:r>
              <w:rPr>
                <w:rFonts w:hint="eastAsia" w:cs="Times New Roman"/>
                <w:color w:val="auto"/>
                <w:kern w:val="0"/>
                <w:sz w:val="24"/>
                <w:szCs w:val="24"/>
                <w:u w:val="none"/>
                <w:lang w:val="en-US" w:eastAsia="zh-CN" w:bidi="ar"/>
              </w:rPr>
              <w:t>（</w:t>
            </w:r>
            <w:r>
              <w:rPr>
                <w:rFonts w:hint="default" w:ascii="Times New Roman" w:hAnsi="Times New Roman" w:eastAsia="宋体" w:cs="Times New Roman"/>
                <w:color w:val="auto"/>
                <w:kern w:val="0"/>
                <w:sz w:val="24"/>
                <w:szCs w:val="24"/>
                <w:u w:val="none"/>
                <w:lang w:val="en-US" w:eastAsia="zh-CN" w:bidi="ar"/>
              </w:rPr>
              <w:t>环审</w:t>
            </w:r>
            <w:r>
              <w:rPr>
                <w:rFonts w:hint="eastAsia" w:cs="Times New Roman"/>
                <w:color w:val="auto"/>
                <w:kern w:val="0"/>
                <w:sz w:val="24"/>
                <w:szCs w:val="24"/>
                <w:u w:val="none"/>
                <w:lang w:val="en-US" w:eastAsia="zh-CN" w:bidi="ar"/>
              </w:rPr>
              <w:t>〔2020〕80号）</w:t>
            </w:r>
          </w:p>
        </w:tc>
      </w:tr>
      <w:tr w14:paraId="2A0A7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3" w:hRule="atLeast"/>
          <w:jc w:val="center"/>
        </w:trPr>
        <w:tc>
          <w:tcPr>
            <w:tcW w:w="434" w:type="pct"/>
            <w:noWrap w:val="0"/>
            <w:vAlign w:val="center"/>
          </w:tcPr>
          <w:p w14:paraId="01078B0F">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规划及规划环境影响评价符合性分析</w:t>
            </w:r>
          </w:p>
        </w:tc>
        <w:tc>
          <w:tcPr>
            <w:tcW w:w="4565" w:type="pct"/>
            <w:gridSpan w:val="5"/>
            <w:noWrap w:val="0"/>
            <w:vAlign w:val="center"/>
          </w:tcPr>
          <w:p w14:paraId="4F9B250A">
            <w:pPr>
              <w:pStyle w:val="31"/>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jc w:val="left"/>
              <w:textAlignment w:val="auto"/>
              <w:rPr>
                <w:rFonts w:hint="default" w:ascii="Times New Roman" w:hAnsi="Times New Roman" w:eastAsia="宋体" w:cs="Times New Roman"/>
                <w:b/>
                <w:bCs/>
                <w:color w:val="auto"/>
                <w:sz w:val="24"/>
                <w:szCs w:val="24"/>
                <w:u w:val="none"/>
                <w:lang w:val="en-US" w:eastAsia="zh-CN"/>
              </w:rPr>
            </w:pPr>
            <w:r>
              <w:rPr>
                <w:rFonts w:hint="eastAsia" w:cs="Times New Roman"/>
                <w:color w:val="auto"/>
                <w:sz w:val="24"/>
                <w:szCs w:val="24"/>
                <w:highlight w:val="none"/>
                <w:u w:val="none"/>
                <w:lang w:val="en-US" w:eastAsia="zh-CN"/>
              </w:rPr>
              <w:t>一</w:t>
            </w:r>
            <w:r>
              <w:rPr>
                <w:rFonts w:hint="default" w:ascii="Times New Roman" w:hAnsi="Times New Roman" w:eastAsia="宋体" w:cs="Times New Roman"/>
                <w:color w:val="auto"/>
                <w:sz w:val="24"/>
                <w:szCs w:val="24"/>
                <w:highlight w:val="none"/>
                <w:u w:val="none"/>
                <w:lang w:val="en-US" w:eastAsia="zh-CN"/>
              </w:rPr>
              <w:t>、</w:t>
            </w:r>
            <w:r>
              <w:rPr>
                <w:rFonts w:hint="default" w:ascii="Times New Roman" w:hAnsi="Times New Roman" w:eastAsia="宋体" w:cs="Times New Roman"/>
                <w:b/>
                <w:bCs/>
                <w:color w:val="auto"/>
                <w:sz w:val="24"/>
                <w:szCs w:val="24"/>
                <w:u w:val="none"/>
                <w:lang w:val="en-US" w:eastAsia="zh-CN"/>
              </w:rPr>
              <w:t>与《福清融侨经济技术开发区总体规划</w:t>
            </w:r>
            <w:r>
              <w:rPr>
                <w:rFonts w:hint="eastAsia" w:cs="Times New Roman"/>
                <w:b/>
                <w:bCs/>
                <w:color w:val="auto"/>
                <w:sz w:val="24"/>
                <w:szCs w:val="24"/>
                <w:u w:val="none"/>
                <w:lang w:val="en-US" w:eastAsia="zh-CN"/>
              </w:rPr>
              <w:t>（</w:t>
            </w:r>
            <w:r>
              <w:rPr>
                <w:rFonts w:hint="default" w:ascii="Times New Roman" w:hAnsi="Times New Roman" w:eastAsia="宋体" w:cs="Times New Roman"/>
                <w:b/>
                <w:bCs/>
                <w:color w:val="auto"/>
                <w:sz w:val="24"/>
                <w:szCs w:val="24"/>
                <w:u w:val="none"/>
                <w:lang w:val="en-US" w:eastAsia="zh-CN"/>
              </w:rPr>
              <w:t>2018-2035年</w:t>
            </w:r>
            <w:r>
              <w:rPr>
                <w:rFonts w:hint="eastAsia" w:cs="Times New Roman"/>
                <w:b/>
                <w:bCs/>
                <w:color w:val="auto"/>
                <w:sz w:val="24"/>
                <w:szCs w:val="24"/>
                <w:u w:val="none"/>
                <w:lang w:val="en-US" w:eastAsia="zh-CN"/>
              </w:rPr>
              <w:t>）</w:t>
            </w:r>
            <w:r>
              <w:rPr>
                <w:rFonts w:hint="default" w:ascii="Times New Roman" w:hAnsi="Times New Roman" w:eastAsia="宋体" w:cs="Times New Roman"/>
                <w:b/>
                <w:bCs/>
                <w:color w:val="auto"/>
                <w:sz w:val="24"/>
                <w:szCs w:val="24"/>
                <w:u w:val="none"/>
                <w:lang w:val="en-US" w:eastAsia="zh-CN"/>
              </w:rPr>
              <w:t>》符合性分析</w:t>
            </w:r>
          </w:p>
          <w:p w14:paraId="562D6351">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b w:val="0"/>
                <w:bCs w:val="0"/>
                <w:i w:val="0"/>
                <w:iCs w:val="0"/>
                <w:color w:val="auto"/>
                <w:sz w:val="24"/>
                <w:szCs w:val="24"/>
                <w:u w:val="none"/>
                <w:lang w:val="en-US" w:eastAsia="zh-CN"/>
              </w:rPr>
            </w:pPr>
            <w:r>
              <w:rPr>
                <w:rFonts w:hint="default" w:ascii="Times New Roman" w:hAnsi="Times New Roman" w:eastAsia="宋体" w:cs="Times New Roman"/>
                <w:color w:val="auto"/>
                <w:sz w:val="24"/>
                <w:szCs w:val="24"/>
                <w:highlight w:val="none"/>
                <w:u w:val="none"/>
                <w:lang w:val="en-US" w:eastAsia="zh-CN"/>
              </w:rPr>
              <w:t>根据总体规划内容可知，开发区</w:t>
            </w:r>
            <w:r>
              <w:rPr>
                <w:rFonts w:hint="default" w:ascii="Times New Roman" w:hAnsi="Times New Roman" w:eastAsia="宋体" w:cs="Times New Roman"/>
                <w:color w:val="auto"/>
                <w:sz w:val="24"/>
                <w:szCs w:val="24"/>
                <w:u w:val="none"/>
                <w:lang w:val="en-US" w:eastAsia="zh-CN"/>
              </w:rPr>
              <w:t>为理顺与中心城区的发展关系，建立健全</w:t>
            </w:r>
            <w:r>
              <w:rPr>
                <w:rFonts w:hint="eastAsia"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多规合一</w:t>
            </w:r>
            <w:r>
              <w:rPr>
                <w:rFonts w:hint="eastAsia"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体制机制，突出开发区核心产业优势，强调龙头企业引领，通过</w:t>
            </w:r>
            <w:r>
              <w:rPr>
                <w:rFonts w:hint="eastAsia"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组团式</w:t>
            </w:r>
            <w:r>
              <w:rPr>
                <w:rFonts w:hint="default"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布局，着力营造融侨经济技术开发区</w:t>
            </w:r>
            <w:r>
              <w:rPr>
                <w:rFonts w:hint="default"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现代生态开发区</w:t>
            </w:r>
            <w:r>
              <w:rPr>
                <w:rFonts w:hint="default" w:ascii="宋体" w:hAnsi="宋体" w:eastAsia="宋体" w:cs="宋体"/>
                <w:color w:val="auto"/>
                <w:sz w:val="24"/>
                <w:szCs w:val="24"/>
                <w:u w:val="none"/>
                <w:lang w:val="en-US" w:eastAsia="zh-CN"/>
              </w:rPr>
              <w:t>”的</w:t>
            </w:r>
            <w:r>
              <w:rPr>
                <w:rFonts w:hint="default" w:ascii="Times New Roman" w:hAnsi="Times New Roman" w:eastAsia="宋体" w:cs="Times New Roman"/>
                <w:color w:val="auto"/>
                <w:sz w:val="24"/>
                <w:szCs w:val="24"/>
                <w:u w:val="none"/>
                <w:lang w:val="en-US" w:eastAsia="zh-CN"/>
              </w:rPr>
              <w:t>空间特色，规划整体形成</w:t>
            </w:r>
            <w:r>
              <w:rPr>
                <w:rFonts w:hint="default"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一区三园多组团</w:t>
            </w:r>
            <w:r>
              <w:rPr>
                <w:rFonts w:hint="default"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的空间结构。</w:t>
            </w:r>
            <w:r>
              <w:rPr>
                <w:rFonts w:hint="default" w:ascii="宋体" w:hAnsi="宋体" w:eastAsia="宋体" w:cs="宋体"/>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一区</w:t>
            </w:r>
            <w:r>
              <w:rPr>
                <w:rFonts w:hint="default" w:ascii="宋体" w:hAnsi="宋体" w:eastAsia="宋体" w:cs="宋体"/>
                <w:color w:val="auto"/>
                <w:sz w:val="24"/>
                <w:szCs w:val="24"/>
                <w:u w:val="none"/>
                <w:lang w:val="en-US" w:eastAsia="zh-CN"/>
              </w:rPr>
              <w:t>”</w:t>
            </w:r>
            <w:r>
              <w:rPr>
                <w:rFonts w:hint="eastAsia" w:cs="Times New Roman"/>
                <w:color w:val="auto"/>
                <w:sz w:val="24"/>
                <w:szCs w:val="24"/>
                <w:u w:val="none"/>
                <w:lang w:val="en-US" w:eastAsia="zh-CN"/>
              </w:rPr>
              <w:t>即</w:t>
            </w:r>
            <w:r>
              <w:rPr>
                <w:rFonts w:hint="default" w:ascii="Times New Roman" w:hAnsi="Times New Roman" w:eastAsia="宋体" w:cs="Times New Roman"/>
                <w:color w:val="auto"/>
                <w:sz w:val="24"/>
                <w:szCs w:val="24"/>
                <w:u w:val="none"/>
                <w:lang w:val="en-US" w:eastAsia="zh-CN"/>
              </w:rPr>
              <w:t>融侨经济技术开发区。利用国家级开发区品牌，充分释放</w:t>
            </w:r>
            <w:r>
              <w:rPr>
                <w:rFonts w:hint="default" w:ascii="宋体" w:hAnsi="宋体" w:eastAsia="宋体" w:cs="宋体"/>
                <w:color w:val="auto"/>
                <w:sz w:val="24"/>
                <w:szCs w:val="24"/>
                <w:u w:val="none"/>
                <w:lang w:val="en-US" w:eastAsia="zh-CN"/>
              </w:rPr>
              <w:t>“五区叠加、一区毗邻”政</w:t>
            </w:r>
            <w:r>
              <w:rPr>
                <w:rFonts w:hint="default" w:ascii="Times New Roman" w:hAnsi="Times New Roman" w:eastAsia="宋体" w:cs="Times New Roman"/>
                <w:color w:val="auto"/>
                <w:sz w:val="24"/>
                <w:szCs w:val="24"/>
                <w:u w:val="none"/>
                <w:lang w:val="en-US" w:eastAsia="zh-CN"/>
              </w:rPr>
              <w:t>策优势，以空间转型引领开发区的新一轮跨越发展。</w:t>
            </w:r>
            <w:r>
              <w:rPr>
                <w:rFonts w:hint="default" w:ascii="宋体" w:hAnsi="宋体" w:eastAsia="宋体" w:cs="宋体"/>
                <w:color w:val="auto"/>
                <w:sz w:val="24"/>
                <w:szCs w:val="24"/>
                <w:u w:val="none"/>
                <w:lang w:val="en-US" w:eastAsia="zh-CN"/>
              </w:rPr>
              <w:t>“三园”</w:t>
            </w:r>
            <w:r>
              <w:rPr>
                <w:rFonts w:hint="eastAsia" w:ascii="宋体" w:hAnsi="宋体" w:cs="宋体"/>
                <w:color w:val="auto"/>
                <w:sz w:val="24"/>
                <w:szCs w:val="24"/>
                <w:u w:val="none"/>
                <w:lang w:val="en-US" w:eastAsia="zh-CN"/>
              </w:rPr>
              <w:t>即</w:t>
            </w:r>
            <w:r>
              <w:rPr>
                <w:rFonts w:hint="default" w:ascii="Times New Roman" w:hAnsi="Times New Roman" w:eastAsia="宋体" w:cs="Times New Roman"/>
                <w:color w:val="auto"/>
                <w:sz w:val="24"/>
                <w:szCs w:val="24"/>
                <w:u w:val="none"/>
                <w:lang w:val="en-US" w:eastAsia="zh-CN"/>
              </w:rPr>
              <w:t>中心产业园、城北产业园和南部产业园。其中中心产业园：重点发展电子信息、精密汽车部件等产业，配套创新研发、文化会展、商务金融、经贸交流等具有高附加值的现代服务业功能，打造成为开发区内电子信息、先进制造业核心产业基地，</w:t>
            </w:r>
            <w:r>
              <w:rPr>
                <w:rFonts w:hint="default" w:ascii="宋体" w:hAnsi="宋体" w:eastAsia="宋体" w:cs="宋体"/>
                <w:color w:val="auto"/>
                <w:sz w:val="24"/>
                <w:szCs w:val="24"/>
                <w:u w:val="none"/>
                <w:lang w:val="en-US" w:eastAsia="zh-CN"/>
              </w:rPr>
              <w:t>“双创”平</w:t>
            </w:r>
            <w:r>
              <w:rPr>
                <w:rFonts w:hint="default" w:ascii="Times New Roman" w:hAnsi="Times New Roman" w:eastAsia="宋体" w:cs="Times New Roman"/>
                <w:color w:val="auto"/>
                <w:sz w:val="24"/>
                <w:szCs w:val="24"/>
                <w:u w:val="none"/>
                <w:lang w:val="en-US" w:eastAsia="zh-CN"/>
              </w:rPr>
              <w:t>台、现代服务业建设核心区，形成福清市极具影响力、辐射力和竞争力的大福</w:t>
            </w:r>
            <w:r>
              <w:rPr>
                <w:rFonts w:hint="default" w:ascii="宋体" w:hAnsi="宋体" w:eastAsia="宋体" w:cs="宋体"/>
                <w:color w:val="auto"/>
                <w:sz w:val="24"/>
                <w:szCs w:val="24"/>
                <w:u w:val="none"/>
                <w:lang w:val="en-US" w:eastAsia="zh-CN"/>
              </w:rPr>
              <w:t>清“副中心”。</w:t>
            </w:r>
            <w:r>
              <w:rPr>
                <w:rFonts w:hint="default" w:ascii="Times New Roman" w:hAnsi="Times New Roman" w:eastAsia="宋体" w:cs="Times New Roman"/>
                <w:b w:val="0"/>
                <w:bCs w:val="0"/>
                <w:i w:val="0"/>
                <w:iCs w:val="0"/>
                <w:color w:val="auto"/>
                <w:sz w:val="24"/>
                <w:szCs w:val="24"/>
                <w:u w:val="none"/>
                <w:lang w:val="en-US" w:eastAsia="zh-CN"/>
              </w:rPr>
              <w:t>城北产业园：依托京东方等电子信息龙头企业优势，以电子信息、光学、机械电气为主导</w:t>
            </w:r>
            <w:r>
              <w:rPr>
                <w:rFonts w:hint="eastAsia" w:cs="Times New Roman"/>
                <w:b w:val="0"/>
                <w:bCs w:val="0"/>
                <w:i w:val="0"/>
                <w:iCs w:val="0"/>
                <w:color w:val="auto"/>
                <w:sz w:val="24"/>
                <w:szCs w:val="24"/>
                <w:u w:val="none"/>
                <w:lang w:val="en-US" w:eastAsia="zh-CN"/>
              </w:rPr>
              <w:t>，以</w:t>
            </w:r>
            <w:r>
              <w:rPr>
                <w:rFonts w:hint="default" w:ascii="Times New Roman" w:hAnsi="Times New Roman" w:eastAsia="宋体" w:cs="Times New Roman"/>
                <w:b w:val="0"/>
                <w:bCs w:val="0"/>
                <w:i w:val="0"/>
                <w:iCs w:val="0"/>
                <w:color w:val="auto"/>
                <w:sz w:val="24"/>
                <w:szCs w:val="24"/>
                <w:u w:val="none"/>
                <w:lang w:val="en-US" w:eastAsia="zh-CN"/>
              </w:rPr>
              <w:t>科技研发为支撑，突出转型升级、创新驱动、品牌带动和对台合作，建成高聚集效应、高技术水平、高带动力的高端科技创新产业园。南部产业园：依托龙头企业的强劲动力，以及沈海高速、324国道的交通区位，重点发展与电子信息、精密汽车部件、光学相关配套上下游产业，通过校企联合、企业自主创新等方式推动园区内产业转型升级。</w:t>
            </w:r>
          </w:p>
          <w:p w14:paraId="7A909A19">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本规划分为核心区和协调区2个层次。其中：</w:t>
            </w:r>
          </w:p>
          <w:p w14:paraId="67CF0572">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lang w:val="en-US" w:eastAsia="zh-CN"/>
              </w:rPr>
              <w:t>核心区</w:t>
            </w:r>
            <w:r>
              <w:rPr>
                <w:rFonts w:hint="eastAsia" w:cs="Times New Roman"/>
                <w:color w:val="auto"/>
                <w:sz w:val="24"/>
                <w:szCs w:val="24"/>
                <w:highlight w:val="none"/>
                <w:u w:val="none"/>
                <w:lang w:val="en-US" w:eastAsia="zh-CN"/>
              </w:rPr>
              <w:t>即</w:t>
            </w:r>
            <w:r>
              <w:rPr>
                <w:rFonts w:hint="default" w:ascii="Times New Roman" w:hAnsi="Times New Roman" w:eastAsia="宋体" w:cs="Times New Roman"/>
                <w:color w:val="auto"/>
                <w:sz w:val="24"/>
                <w:szCs w:val="24"/>
                <w:highlight w:val="none"/>
                <w:u w:val="none"/>
                <w:lang w:val="en-US" w:eastAsia="zh-CN"/>
              </w:rPr>
              <w:t>国家批复的融侨经济技术开发区范围。土地面积9.19平方公里，其中宏路中心区6.4平方公里，洪宽工业村2.79平方公里。</w:t>
            </w:r>
          </w:p>
          <w:p w14:paraId="6D4BF0F1">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lang w:val="en-US" w:eastAsia="zh-CN"/>
              </w:rPr>
              <w:t>（2）</w:t>
            </w:r>
            <w:r>
              <w:rPr>
                <w:rFonts w:hint="default" w:ascii="Times New Roman" w:hAnsi="Times New Roman" w:eastAsia="宋体" w:cs="Times New Roman"/>
                <w:color w:val="auto"/>
                <w:sz w:val="24"/>
                <w:szCs w:val="24"/>
                <w:highlight w:val="none"/>
                <w:u w:val="none"/>
                <w:lang w:val="en-US" w:eastAsia="zh-CN"/>
              </w:rPr>
              <w:t>协调区：考虑到开发区与福清城区一体化发展，结合开发区委托代管范围</w:t>
            </w:r>
            <w:r>
              <w:rPr>
                <w:rFonts w:hint="eastAsia" w:cs="Times New Roman"/>
                <w:color w:val="auto"/>
                <w:sz w:val="24"/>
                <w:szCs w:val="24"/>
                <w:highlight w:val="none"/>
                <w:u w:val="none"/>
                <w:lang w:val="en-US" w:eastAsia="zh-CN"/>
              </w:rPr>
              <w:t>，以</w:t>
            </w:r>
            <w:r>
              <w:rPr>
                <w:rFonts w:hint="default" w:ascii="Times New Roman" w:hAnsi="Times New Roman" w:eastAsia="宋体" w:cs="Times New Roman"/>
                <w:color w:val="auto"/>
                <w:sz w:val="24"/>
                <w:szCs w:val="24"/>
                <w:highlight w:val="none"/>
                <w:u w:val="none"/>
                <w:lang w:val="en-US" w:eastAsia="zh-CN"/>
              </w:rPr>
              <w:t>规划《福清市城市总体规划（2017-2035）》为依据，进一步将规划范围向外围扩展。协调区西至福厦高速，东依福长高速，北邻作坊村，南靠纵一路环线，土地面积53.2平方公里。本规划深度按协调区进行控制。</w:t>
            </w:r>
          </w:p>
          <w:p w14:paraId="7454A65E">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根据《福清融侨经济技术开发区总体规划</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2018-2035年</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》的</w:t>
            </w:r>
            <w:r>
              <w:rPr>
                <w:rFonts w:hint="eastAsia" w:ascii="宋体" w:hAnsi="宋体" w:eastAsia="宋体" w:cs="宋体"/>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产业发展-第二十二条构建</w:t>
            </w:r>
            <w:r>
              <w:rPr>
                <w:rFonts w:hint="eastAsia" w:ascii="Times New Roman" w:hAnsi="Times New Roman"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3+1</w:t>
            </w:r>
            <w:r>
              <w:rPr>
                <w:rFonts w:hint="eastAsia" w:ascii="Times New Roman" w:hAnsi="Times New Roman"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的产业体系：</w:t>
            </w:r>
          </w:p>
          <w:p w14:paraId="5CB7F14F">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lang w:val="en-US" w:eastAsia="zh-CN"/>
              </w:rPr>
              <w:t>三大支柱产业</w:t>
            </w:r>
          </w:p>
          <w:p w14:paraId="12FA16FB">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电子信息产业：显示科技、云计算、</w:t>
            </w:r>
            <w:r>
              <w:rPr>
                <w:rFonts w:hint="default" w:ascii="Times New Roman" w:hAnsi="Times New Roman" w:eastAsia="宋体" w:cs="Times New Roman"/>
                <w:b/>
                <w:bCs/>
                <w:color w:val="auto"/>
                <w:sz w:val="24"/>
                <w:szCs w:val="24"/>
                <w:highlight w:val="none"/>
                <w:u w:val="none"/>
                <w:lang w:val="en-US" w:eastAsia="zh-CN"/>
              </w:rPr>
              <w:t>电子元器件</w:t>
            </w:r>
            <w:r>
              <w:rPr>
                <w:rFonts w:hint="default" w:ascii="Times New Roman" w:hAnsi="Times New Roman" w:eastAsia="宋体" w:cs="Times New Roman"/>
                <w:color w:val="auto"/>
                <w:sz w:val="24"/>
                <w:szCs w:val="24"/>
                <w:highlight w:val="none"/>
                <w:u w:val="none"/>
                <w:lang w:val="en-US" w:eastAsia="zh-CN"/>
              </w:rPr>
              <w:t>、光电科技、计算机与智能终端设备等。</w:t>
            </w:r>
          </w:p>
          <w:p w14:paraId="46DA6161">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精密汽车部件产业：汽车电气电子装置、动力传动装置、汽车轴承、新能源动力电池等。</w:t>
            </w:r>
          </w:p>
          <w:p w14:paraId="6E793AFE">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光学产业：光学部件、光通讯技术、电子光学、虚拟现实装置等。</w:t>
            </w:r>
          </w:p>
          <w:p w14:paraId="4710D4DF">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在三大支柱产业基础之上，完善与其相关的配套产业。</w:t>
            </w:r>
          </w:p>
          <w:p w14:paraId="00380F4B">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2.</w:t>
            </w:r>
            <w:r>
              <w:rPr>
                <w:rFonts w:hint="default" w:ascii="Times New Roman" w:hAnsi="Times New Roman" w:eastAsia="宋体" w:cs="Times New Roman"/>
                <w:color w:val="auto"/>
                <w:sz w:val="24"/>
                <w:szCs w:val="24"/>
                <w:highlight w:val="none"/>
                <w:u w:val="none"/>
                <w:lang w:val="en-US" w:eastAsia="zh-CN"/>
              </w:rPr>
              <w:t>一项新兴产业</w:t>
            </w:r>
          </w:p>
          <w:p w14:paraId="3EFE5814">
            <w:pPr>
              <w:pStyle w:val="31"/>
              <w:keepNext w:val="0"/>
              <w:keepLines w:val="0"/>
              <w:pageBreakBefore w:val="0"/>
              <w:kinsoku/>
              <w:wordWrap/>
              <w:overflowPunct/>
              <w:topLinePunct w:val="0"/>
              <w:autoSpaceDE/>
              <w:autoSpaceDN/>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现代服务业：金融商务、总部经济、科技研发、文化创意、物流展销都市型产业与服务型制造业。</w:t>
            </w:r>
          </w:p>
          <w:p w14:paraId="11F3DA2E">
            <w:pPr>
              <w:pStyle w:val="3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w:t>
            </w:r>
            <w:r>
              <w:rPr>
                <w:rFonts w:hint="default" w:ascii="Times New Roman" w:hAnsi="Times New Roman" w:eastAsia="宋体" w:cs="Times New Roman"/>
                <w:color w:val="auto"/>
                <w:sz w:val="24"/>
                <w:szCs w:val="24"/>
                <w:highlight w:val="none"/>
                <w:u w:val="none"/>
                <w:lang w:val="en-US" w:eastAsia="zh-CN"/>
              </w:rPr>
              <w:t>，《关于</w:t>
            </w:r>
            <w:r>
              <w:rPr>
                <w:rFonts w:hint="eastAsia" w:ascii="Times New Roman" w:hAnsi="Times New Roman" w:cs="Times New Roman"/>
                <w:color w:val="auto"/>
                <w:sz w:val="24"/>
                <w:szCs w:val="24"/>
                <w:highlight w:val="none"/>
                <w:u w:val="none"/>
                <w:lang w:val="en-US" w:eastAsia="zh-CN"/>
              </w:rPr>
              <w:t>均和云谷</w:t>
            </w:r>
            <w:r>
              <w:rPr>
                <w:rFonts w:hint="eastAsia" w:ascii="Times New Roman" w:hAnsi="Times New Roman" w:eastAsia="宋体" w:cs="Times New Roman"/>
                <w:color w:val="auto"/>
                <w:sz w:val="24"/>
                <w:szCs w:val="24"/>
                <w:highlight w:val="none"/>
                <w:u w:val="none"/>
                <w:lang w:val="en-US" w:eastAsia="zh-CN"/>
              </w:rPr>
              <w:t>·福清科技港</w:t>
            </w:r>
            <w:r>
              <w:rPr>
                <w:rFonts w:hint="eastAsia" w:ascii="Times New Roman" w:hAnsi="Times New Roman" w:cs="Times New Roman"/>
                <w:color w:val="auto"/>
                <w:sz w:val="24"/>
                <w:szCs w:val="24"/>
                <w:highlight w:val="none"/>
                <w:u w:val="none"/>
                <w:lang w:val="en-US" w:eastAsia="zh-CN"/>
              </w:rPr>
              <w:t>入园企业申请办理环评手续的函</w:t>
            </w:r>
            <w:r>
              <w:rPr>
                <w:rFonts w:hint="default" w:ascii="Times New Roman" w:hAnsi="Times New Roman" w:eastAsia="宋体" w:cs="Times New Roman"/>
                <w:color w:val="auto"/>
                <w:sz w:val="24"/>
                <w:szCs w:val="24"/>
                <w:highlight w:val="none"/>
                <w:u w:val="none"/>
                <w:lang w:val="en-US" w:eastAsia="zh-CN"/>
              </w:rPr>
              <w:t>》：</w:t>
            </w:r>
            <w:r>
              <w:rPr>
                <w:rFonts w:hint="eastAsia" w:ascii="Times New Roman" w:hAnsi="Times New Roman" w:cs="Times New Roman"/>
                <w:color w:val="auto"/>
                <w:sz w:val="24"/>
                <w:szCs w:val="24"/>
                <w:highlight w:val="none"/>
                <w:u w:val="none"/>
                <w:lang w:val="en-US" w:eastAsia="zh-CN"/>
              </w:rPr>
              <w:t>“均和云谷</w:t>
            </w:r>
            <w:r>
              <w:rPr>
                <w:rFonts w:hint="eastAsia" w:ascii="Times New Roman" w:hAnsi="Times New Roman" w:eastAsia="宋体" w:cs="Times New Roman"/>
                <w:color w:val="auto"/>
                <w:sz w:val="24"/>
                <w:szCs w:val="24"/>
                <w:highlight w:val="none"/>
                <w:u w:val="none"/>
                <w:lang w:val="en-US" w:eastAsia="zh-CN"/>
              </w:rPr>
              <w:t>·福清科技港</w:t>
            </w:r>
            <w:r>
              <w:rPr>
                <w:rFonts w:hint="eastAsia" w:ascii="Times New Roman" w:hAnsi="Times New Roman" w:cs="Times New Roman"/>
                <w:color w:val="auto"/>
                <w:sz w:val="24"/>
                <w:szCs w:val="24"/>
                <w:highlight w:val="none"/>
                <w:u w:val="none"/>
                <w:lang w:val="en-US" w:eastAsia="zh-CN"/>
              </w:rPr>
              <w:t>项目占地面积143.9亩，总建筑面积157370.99m</w:t>
            </w:r>
            <w:r>
              <w:rPr>
                <w:rFonts w:hint="eastAsia" w:ascii="Times New Roman" w:hAnsi="Times New Roman" w:cs="Times New Roman"/>
                <w:color w:val="auto"/>
                <w:sz w:val="24"/>
                <w:szCs w:val="24"/>
                <w:highlight w:val="none"/>
                <w:u w:val="none"/>
                <w:vertAlign w:val="superscript"/>
                <w:lang w:val="en-US" w:eastAsia="zh-CN"/>
              </w:rPr>
              <w:t>2</w:t>
            </w:r>
            <w:r>
              <w:rPr>
                <w:rFonts w:hint="eastAsia" w:ascii="Times New Roman" w:hAnsi="Times New Roman" w:cs="Times New Roman"/>
                <w:color w:val="auto"/>
                <w:sz w:val="24"/>
                <w:szCs w:val="24"/>
                <w:highlight w:val="none"/>
                <w:u w:val="none"/>
                <w:lang w:val="en-US" w:eastAsia="zh-CN"/>
              </w:rPr>
              <w:t>，共建设40栋标准厂房及1栋综合配套。目前有福建聚望新材料科技有限公司、福州市尚康工贸有限公司、福州福顺来新材料有限公司、</w:t>
            </w:r>
            <w:r>
              <w:rPr>
                <w:rFonts w:hint="eastAsia" w:ascii="Times New Roman" w:hAnsi="Times New Roman" w:cs="Times New Roman"/>
                <w:b/>
                <w:bCs/>
                <w:color w:val="auto"/>
                <w:sz w:val="24"/>
                <w:szCs w:val="24"/>
                <w:highlight w:val="none"/>
                <w:u w:val="none"/>
                <w:lang w:val="en-US" w:eastAsia="zh-CN"/>
              </w:rPr>
              <w:t>福州市闽侯振兴炜业机械有限公司</w:t>
            </w:r>
            <w:r>
              <w:rPr>
                <w:rFonts w:hint="eastAsia" w:ascii="Times New Roman" w:hAnsi="Times New Roman" w:cs="Times New Roman"/>
                <w:color w:val="auto"/>
                <w:sz w:val="24"/>
                <w:szCs w:val="24"/>
                <w:highlight w:val="none"/>
                <w:u w:val="none"/>
                <w:lang w:val="en-US" w:eastAsia="zh-CN"/>
              </w:rPr>
              <w:t>、福建瑞昌新能源科技开发有限公司等5家企业已通过入园审批，正在入驻准备。（详见</w:t>
            </w:r>
            <w:r>
              <w:rPr>
                <w:rFonts w:hint="eastAsia" w:ascii="Times New Roman" w:hAnsi="Times New Roman" w:cs="Times New Roman"/>
                <w:b/>
                <w:bCs/>
                <w:color w:val="auto"/>
                <w:sz w:val="24"/>
                <w:szCs w:val="24"/>
                <w:highlight w:val="none"/>
                <w:u w:val="none"/>
                <w:lang w:val="en-US" w:eastAsia="zh-CN"/>
              </w:rPr>
              <w:t>附件</w:t>
            </w:r>
            <w:r>
              <w:rPr>
                <w:rFonts w:hint="eastAsia" w:cs="Times New Roman"/>
                <w:b/>
                <w:bCs/>
                <w:color w:val="auto"/>
                <w:sz w:val="24"/>
                <w:szCs w:val="24"/>
                <w:highlight w:val="none"/>
                <w:u w:val="none"/>
                <w:lang w:val="en-US" w:eastAsia="zh-CN"/>
              </w:rPr>
              <w:t>六</w:t>
            </w:r>
            <w:r>
              <w:rPr>
                <w:rFonts w:hint="eastAsia" w:ascii="Times New Roman" w:hAnsi="Times New Roman"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入园</w:t>
            </w:r>
            <w:r>
              <w:rPr>
                <w:rFonts w:hint="eastAsia" w:ascii="Times New Roman" w:hAnsi="Times New Roman" w:cs="Times New Roman"/>
                <w:color w:val="auto"/>
                <w:sz w:val="24"/>
                <w:szCs w:val="24"/>
                <w:highlight w:val="none"/>
                <w:u w:val="none"/>
                <w:lang w:val="en-US" w:eastAsia="zh-CN"/>
              </w:rPr>
              <w:t>申请办理环评手续函）“</w:t>
            </w:r>
            <w:r>
              <w:rPr>
                <w:rFonts w:hint="default" w:ascii="Times New Roman" w:hAnsi="Times New Roman" w:eastAsia="宋体" w:cs="Times New Roman"/>
                <w:color w:val="auto"/>
                <w:sz w:val="24"/>
                <w:szCs w:val="24"/>
                <w:highlight w:val="none"/>
                <w:u w:val="none"/>
                <w:lang w:val="en-US" w:eastAsia="zh-CN"/>
              </w:rPr>
              <w:t>工业企业准入产业为电子信息、精密汽车部件、光学三大产业</w:t>
            </w:r>
            <w:r>
              <w:rPr>
                <w:rFonts w:hint="eastAsia" w:cs="Times New Roman"/>
                <w:color w:val="auto"/>
                <w:sz w:val="24"/>
                <w:szCs w:val="24"/>
                <w:highlight w:val="none"/>
                <w:u w:val="none"/>
                <w:lang w:val="en-US" w:eastAsia="zh-CN"/>
              </w:rPr>
              <w:t>。电子信息产业</w:t>
            </w:r>
            <w:r>
              <w:rPr>
                <w:rFonts w:hint="eastAsia" w:ascii="宋体" w:hAnsi="宋体" w:eastAsia="宋体" w:cs="宋体"/>
                <w:color w:val="auto"/>
                <w:sz w:val="24"/>
                <w:szCs w:val="24"/>
                <w:highlight w:val="none"/>
                <w:u w:val="none"/>
                <w:lang w:val="en-US" w:eastAsia="zh-CN"/>
              </w:rPr>
              <w:t>:</w:t>
            </w:r>
            <w:r>
              <w:rPr>
                <w:rFonts w:hint="eastAsia" w:cs="Times New Roman"/>
                <w:color w:val="auto"/>
                <w:sz w:val="24"/>
                <w:szCs w:val="24"/>
                <w:highlight w:val="none"/>
                <w:u w:val="none"/>
                <w:lang w:val="en-US" w:eastAsia="zh-CN"/>
              </w:rPr>
              <w:t>显示科技、云计算、</w:t>
            </w:r>
            <w:r>
              <w:rPr>
                <w:rFonts w:hint="eastAsia" w:cs="Times New Roman"/>
                <w:b/>
                <w:bCs/>
                <w:color w:val="auto"/>
                <w:sz w:val="24"/>
                <w:szCs w:val="24"/>
                <w:highlight w:val="none"/>
                <w:u w:val="none"/>
                <w:lang w:val="en-US" w:eastAsia="zh-CN"/>
              </w:rPr>
              <w:t>电子元器件</w:t>
            </w:r>
            <w:r>
              <w:rPr>
                <w:rFonts w:hint="eastAsia" w:cs="Times New Roman"/>
                <w:color w:val="auto"/>
                <w:sz w:val="24"/>
                <w:szCs w:val="24"/>
                <w:highlight w:val="none"/>
                <w:u w:val="none"/>
                <w:lang w:val="en-US" w:eastAsia="zh-CN"/>
              </w:rPr>
              <w:t>、光电科技、计算机与智能终端设备等。精密汽车部件产业</w:t>
            </w:r>
            <w:r>
              <w:rPr>
                <w:rFonts w:hint="eastAsia" w:ascii="宋体" w:hAnsi="宋体" w:eastAsia="宋体" w:cs="宋体"/>
                <w:color w:val="auto"/>
                <w:sz w:val="24"/>
                <w:szCs w:val="24"/>
                <w:highlight w:val="none"/>
                <w:u w:val="none"/>
                <w:lang w:val="en-US" w:eastAsia="zh-CN"/>
              </w:rPr>
              <w:t>:</w:t>
            </w:r>
            <w:r>
              <w:rPr>
                <w:rFonts w:hint="eastAsia" w:cs="Times New Roman"/>
                <w:color w:val="auto"/>
                <w:sz w:val="24"/>
                <w:szCs w:val="24"/>
                <w:highlight w:val="none"/>
                <w:u w:val="none"/>
                <w:lang w:val="en-US" w:eastAsia="zh-CN"/>
              </w:rPr>
              <w:t>汽车电气电子装置、动力传动装置、汽车轴承、新能源动力电池等光学产业</w:t>
            </w:r>
            <w:r>
              <w:rPr>
                <w:rFonts w:hint="eastAsia" w:ascii="宋体" w:hAnsi="宋体" w:eastAsia="宋体" w:cs="宋体"/>
                <w:color w:val="auto"/>
                <w:sz w:val="24"/>
                <w:szCs w:val="24"/>
                <w:highlight w:val="none"/>
                <w:u w:val="none"/>
                <w:lang w:val="en-US" w:eastAsia="zh-CN"/>
              </w:rPr>
              <w:t>:</w:t>
            </w:r>
            <w:r>
              <w:rPr>
                <w:rFonts w:hint="eastAsia" w:cs="Times New Roman"/>
                <w:color w:val="auto"/>
                <w:sz w:val="24"/>
                <w:szCs w:val="24"/>
                <w:highlight w:val="none"/>
                <w:u w:val="none"/>
                <w:lang w:val="en-US" w:eastAsia="zh-CN"/>
              </w:rPr>
              <w:t>光学部件、光通讯技术、电子光学、虚拟现实装置等。</w:t>
            </w:r>
            <w:r>
              <w:rPr>
                <w:rFonts w:hint="eastAsia" w:ascii="Times New Roman" w:hAnsi="Times New Roman"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。本项目产品为</w:t>
            </w:r>
            <w:r>
              <w:rPr>
                <w:rFonts w:hint="eastAsia" w:ascii="Times New Roman" w:hAnsi="Times New Roman" w:eastAsia="宋体" w:cs="Times New Roman"/>
                <w:b w:val="0"/>
                <w:bCs w:val="0"/>
                <w:color w:val="auto"/>
                <w:sz w:val="24"/>
                <w:szCs w:val="24"/>
                <w:highlight w:val="none"/>
                <w:u w:val="none"/>
                <w:lang w:val="en-US" w:eastAsia="zh-CN"/>
              </w:rPr>
              <w:t>工业连接器和工业线缆</w:t>
            </w:r>
            <w:r>
              <w:rPr>
                <w:rFonts w:hint="default" w:ascii="Times New Roman" w:hAnsi="Times New Roman" w:eastAsia="宋体" w:cs="Times New Roman"/>
                <w:b w:val="0"/>
                <w:bCs w:val="0"/>
                <w:color w:val="auto"/>
                <w:sz w:val="24"/>
                <w:szCs w:val="24"/>
                <w:highlight w:val="none"/>
                <w:u w:val="none"/>
                <w:lang w:val="en-US" w:eastAsia="zh-CN"/>
              </w:rPr>
              <w:t>，主要为福清融侨经济技术开发区内的各大企业提供</w:t>
            </w:r>
            <w:r>
              <w:rPr>
                <w:rFonts w:hint="eastAsia" w:cs="Times New Roman"/>
                <w:b w:val="0"/>
                <w:bCs w:val="0"/>
                <w:color w:val="auto"/>
                <w:sz w:val="24"/>
                <w:szCs w:val="24"/>
                <w:highlight w:val="none"/>
                <w:u w:val="none"/>
                <w:lang w:val="en-US" w:eastAsia="zh-CN"/>
              </w:rPr>
              <w:t>工业连接器和工业线缆</w:t>
            </w:r>
            <w:r>
              <w:rPr>
                <w:rFonts w:hint="default" w:ascii="Times New Roman" w:hAnsi="Times New Roman" w:eastAsia="宋体" w:cs="Times New Roman"/>
                <w:b w:val="0"/>
                <w:bCs w:val="0"/>
                <w:color w:val="auto"/>
                <w:sz w:val="24"/>
                <w:szCs w:val="24"/>
                <w:highlight w:val="none"/>
                <w:u w:val="none"/>
                <w:lang w:val="en-US" w:eastAsia="zh-CN"/>
              </w:rPr>
              <w:t>供应服务，</w:t>
            </w:r>
            <w:r>
              <w:rPr>
                <w:rFonts w:hint="eastAsia" w:cs="Times New Roman"/>
                <w:b w:val="0"/>
                <w:bCs w:val="0"/>
                <w:color w:val="auto"/>
                <w:sz w:val="24"/>
                <w:szCs w:val="24"/>
                <w:highlight w:val="none"/>
                <w:u w:val="none"/>
                <w:lang w:val="en-US" w:eastAsia="zh-CN"/>
              </w:rPr>
              <w:t>项目主要的</w:t>
            </w:r>
            <w:r>
              <w:rPr>
                <w:rFonts w:hint="default" w:ascii="Times New Roman" w:hAnsi="Times New Roman" w:eastAsia="宋体" w:cs="Times New Roman"/>
                <w:b w:val="0"/>
                <w:bCs w:val="0"/>
                <w:color w:val="auto"/>
                <w:sz w:val="24"/>
                <w:szCs w:val="24"/>
                <w:highlight w:val="none"/>
                <w:u w:val="none"/>
                <w:lang w:val="en-US" w:eastAsia="zh-CN"/>
              </w:rPr>
              <w:t>国民经济代码为C3989 其他电子元件制造；项目涉及的行业（其他电子元件制造）属于规划区主导行业</w:t>
            </w:r>
            <w:r>
              <w:rPr>
                <w:rFonts w:hint="eastAsia" w:cs="Times New Roman"/>
                <w:b w:val="0"/>
                <w:bCs w:val="0"/>
                <w:color w:val="auto"/>
                <w:sz w:val="24"/>
                <w:szCs w:val="24"/>
                <w:highlight w:val="none"/>
                <w:u w:val="none"/>
                <w:lang w:val="en-US" w:eastAsia="zh-CN"/>
              </w:rPr>
              <w:t>（电子元器件）</w:t>
            </w:r>
            <w:r>
              <w:rPr>
                <w:rFonts w:hint="default" w:ascii="Times New Roman" w:hAnsi="Times New Roman" w:eastAsia="宋体" w:cs="Times New Roman"/>
                <w:b w:val="0"/>
                <w:bCs w:val="0"/>
                <w:color w:val="auto"/>
                <w:sz w:val="24"/>
                <w:szCs w:val="24"/>
                <w:highlight w:val="none"/>
                <w:u w:val="none"/>
                <w:lang w:val="en-US" w:eastAsia="zh-CN"/>
              </w:rPr>
              <w:t>。因此，项目建设符合</w:t>
            </w:r>
            <w:r>
              <w:rPr>
                <w:rFonts w:hint="default" w:ascii="Times New Roman" w:hAnsi="Times New Roman" w:eastAsia="宋体" w:cs="Times New Roman"/>
                <w:b w:val="0"/>
                <w:bCs w:val="0"/>
                <w:color w:val="auto"/>
                <w:sz w:val="24"/>
                <w:szCs w:val="24"/>
                <w:highlight w:val="none"/>
                <w:u w:val="none"/>
                <w:lang w:val="en-GB" w:eastAsia="zh-CN"/>
              </w:rPr>
              <w:t>该园区规划政策。</w:t>
            </w:r>
            <w:r>
              <w:rPr>
                <w:rFonts w:hint="default" w:ascii="Times New Roman" w:hAnsi="Times New Roman" w:eastAsia="宋体" w:cs="Times New Roman"/>
                <w:b w:val="0"/>
                <w:bCs w:val="0"/>
                <w:color w:val="auto"/>
                <w:sz w:val="24"/>
                <w:szCs w:val="24"/>
                <w:highlight w:val="none"/>
                <w:u w:val="none"/>
                <w:lang w:val="en-US" w:eastAsia="zh-CN"/>
              </w:rPr>
              <w:t>因此项目的建设符合《福清融侨经济技术开发区总体规划</w:t>
            </w:r>
            <w:r>
              <w:rPr>
                <w:rFonts w:hint="eastAsia" w:cs="Times New Roman"/>
                <w:b w:val="0"/>
                <w:bCs w:val="0"/>
                <w:color w:val="auto"/>
                <w:sz w:val="24"/>
                <w:szCs w:val="24"/>
                <w:highlight w:val="none"/>
                <w:u w:val="none"/>
                <w:lang w:val="en-US" w:eastAsia="zh-CN"/>
              </w:rPr>
              <w:t>（</w:t>
            </w:r>
            <w:r>
              <w:rPr>
                <w:rFonts w:hint="default" w:ascii="Times New Roman" w:hAnsi="Times New Roman" w:eastAsia="宋体" w:cs="Times New Roman"/>
                <w:b w:val="0"/>
                <w:bCs w:val="0"/>
                <w:color w:val="auto"/>
                <w:sz w:val="24"/>
                <w:szCs w:val="24"/>
                <w:highlight w:val="none"/>
                <w:u w:val="none"/>
                <w:lang w:val="en-US" w:eastAsia="zh-CN"/>
              </w:rPr>
              <w:t>2018-2035年</w:t>
            </w:r>
            <w:r>
              <w:rPr>
                <w:rFonts w:hint="eastAsia" w:cs="Times New Roman"/>
                <w:b w:val="0"/>
                <w:bCs w:val="0"/>
                <w:color w:val="auto"/>
                <w:sz w:val="24"/>
                <w:szCs w:val="24"/>
                <w:highlight w:val="none"/>
                <w:u w:val="none"/>
                <w:lang w:val="en-US" w:eastAsia="zh-CN"/>
              </w:rPr>
              <w:t>）</w:t>
            </w:r>
            <w:r>
              <w:rPr>
                <w:rFonts w:hint="default" w:ascii="Times New Roman" w:hAnsi="Times New Roman" w:eastAsia="宋体" w:cs="Times New Roman"/>
                <w:b w:val="0"/>
                <w:bCs w:val="0"/>
                <w:color w:val="auto"/>
                <w:sz w:val="24"/>
                <w:szCs w:val="24"/>
                <w:highlight w:val="none"/>
                <w:u w:val="none"/>
                <w:lang w:val="en-US" w:eastAsia="zh-CN"/>
              </w:rPr>
              <w:t>》有关要求。</w:t>
            </w:r>
          </w:p>
          <w:p w14:paraId="49B58A69">
            <w:pPr>
              <w:pStyle w:val="31"/>
              <w:keepNext w:val="0"/>
              <w:keepLines w:val="0"/>
              <w:pageBreakBefore w:val="0"/>
              <w:numPr>
                <w:ilvl w:val="0"/>
                <w:numId w:val="2"/>
              </w:numPr>
              <w:kinsoku/>
              <w:wordWrap/>
              <w:overflowPunct/>
              <w:topLinePunct w:val="0"/>
              <w:autoSpaceDE/>
              <w:autoSpaceDN/>
              <w:bidi w:val="0"/>
              <w:spacing w:line="360" w:lineRule="auto"/>
              <w:ind w:left="0" w:leftChars="0" w:right="0" w:firstLine="0" w:firstLineChars="0"/>
              <w:jc w:val="left"/>
              <w:textAlignment w:val="auto"/>
              <w:rPr>
                <w:rFonts w:hint="default" w:ascii="Times New Roman" w:hAnsi="Times New Roman" w:eastAsia="宋体" w:cs="Times New Roman"/>
                <w:b/>
                <w:bCs/>
                <w:color w:val="auto"/>
                <w:sz w:val="24"/>
                <w:szCs w:val="24"/>
                <w:u w:val="none"/>
                <w:lang w:val="en-US" w:eastAsia="zh-CN"/>
              </w:rPr>
            </w:pPr>
            <w:r>
              <w:rPr>
                <w:rFonts w:hint="eastAsia" w:cs="Times New Roman"/>
                <w:b/>
                <w:bCs/>
                <w:color w:val="auto"/>
                <w:sz w:val="24"/>
                <w:szCs w:val="24"/>
                <w:highlight w:val="none"/>
                <w:u w:val="none"/>
                <w:lang w:val="en-US" w:eastAsia="zh-CN"/>
              </w:rPr>
              <w:t>与</w:t>
            </w:r>
            <w:r>
              <w:rPr>
                <w:rFonts w:hint="default" w:ascii="Times New Roman" w:hAnsi="Times New Roman" w:eastAsia="宋体" w:cs="Times New Roman"/>
                <w:b/>
                <w:bCs/>
                <w:color w:val="auto"/>
                <w:sz w:val="24"/>
                <w:szCs w:val="24"/>
                <w:highlight w:val="none"/>
                <w:u w:val="none"/>
                <w:lang w:val="en-US" w:eastAsia="zh-CN"/>
              </w:rPr>
              <w:t>《福清市国土空间总体规划（2021—2035年）》</w:t>
            </w:r>
            <w:r>
              <w:rPr>
                <w:rFonts w:hint="eastAsia" w:cs="Times New Roman"/>
                <w:b/>
                <w:bCs/>
                <w:color w:val="auto"/>
                <w:sz w:val="24"/>
                <w:szCs w:val="24"/>
                <w:highlight w:val="none"/>
                <w:u w:val="none"/>
                <w:lang w:val="en-US" w:eastAsia="zh-CN"/>
              </w:rPr>
              <w:t>符合性分析</w:t>
            </w:r>
          </w:p>
          <w:p w14:paraId="365B0CC1">
            <w:pPr>
              <w:keepNext w:val="0"/>
              <w:keepLines w:val="0"/>
              <w:pageBreakBefore w:val="0"/>
              <w:widowControl/>
              <w:numPr>
                <w:ilvl w:val="0"/>
                <w:numId w:val="0"/>
              </w:numPr>
              <w:suppressLineNumbers w:val="0"/>
              <w:kinsoku/>
              <w:wordWrap/>
              <w:overflowPunct/>
              <w:topLinePunct w:val="0"/>
              <w:autoSpaceDE/>
              <w:autoSpaceDN/>
              <w:bidi w:val="0"/>
              <w:spacing w:line="360" w:lineRule="auto"/>
              <w:ind w:left="0" w:right="0" w:firstLine="480" w:firstLineChars="200"/>
              <w:jc w:val="both"/>
              <w:textAlignment w:val="auto"/>
              <w:rPr>
                <w:rFonts w:hint="eastAsia"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lang w:val="en-US" w:eastAsia="zh-CN"/>
              </w:rPr>
              <w:t>根据总体规划内容可知，</w:t>
            </w:r>
            <w:r>
              <w:rPr>
                <w:rFonts w:hint="eastAsia" w:cs="Times New Roman"/>
                <w:color w:val="auto"/>
                <w:sz w:val="24"/>
                <w:szCs w:val="24"/>
                <w:highlight w:val="none"/>
                <w:u w:val="none"/>
                <w:lang w:val="en-US" w:eastAsia="zh-CN"/>
              </w:rPr>
              <w:t>规划“一轴两湾五组团”的国土空间格局，一轴“龙江城市综合发展轴”、两湾“福清湾生态宜居湾、江阴湾临港产业湾”、五组团“中心城区组团、元洪港组团、江阴港城组团、龙高半岛城镇组团、西北部特色生态组团”。坚持底线思维，以国土空间规划为依据，将“三区三线”作为调整经济结构、规划产业发展、推进城镇化不可逾越的红线。严格保护永久基本农田“按照一定时期人口和经济社会发展对农产品的需求，依据国土空间规划确定的不得擅自占用或改变用途的耕地”。科学划定生态保护红线“生态空间范围内具有特殊重要生态功能，必须强制性严格保护的陆域、水域、海域等区域”。合理划定城镇开发边界“一定时期内因城镇发展需要，可以集中进行城镇开发建设完善城镇功能、提升空间品质的区域边界”。五组团“城西组团、城北组团、城中组团、城关组团、东部新城组团”的中心城区空间结构，延续“沿江向海、环湾发展”的城市方向，以龙江为带动，推动沿江、向海、环湾有序建设、集约发展，打造具有滨江滨海特色的现代化城区。构建现代产业体系，壮大四大优势产业“电子信息、食品、化工新材料、精密汽车部件”、培养四大新兴产业“氢能源和新能源、高端装备制造、海洋生物医药、互联网与大数据产业”、提升两大传统产业“塑胶产业、纺织产业”、发展两大特色产业“现代服务业、现代农业”、培育千百亿产业集群“三大千亿产业集群+N个百亿项目集群”。</w:t>
            </w:r>
          </w:p>
          <w:p w14:paraId="14151BF8">
            <w:pPr>
              <w:keepNext w:val="0"/>
              <w:keepLines w:val="0"/>
              <w:pageBreakBefore w:val="0"/>
              <w:widowControl/>
              <w:numPr>
                <w:ilvl w:val="0"/>
                <w:numId w:val="0"/>
              </w:numPr>
              <w:suppressLineNumbers w:val="0"/>
              <w:kinsoku/>
              <w:wordWrap/>
              <w:overflowPunct/>
              <w:topLinePunct w:val="0"/>
              <w:autoSpaceDE/>
              <w:autoSpaceDN/>
              <w:bidi w:val="0"/>
              <w:spacing w:line="360" w:lineRule="auto"/>
              <w:ind w:left="0" w:right="0" w:firstLine="480" w:firstLineChars="200"/>
              <w:jc w:val="both"/>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构建现代化产业体系“一带两湾四区”的产业发展格局，形成“四个重点产业园区、多个工业集中区”的产业园区空间布局，加快推进重点产业园区标准化建设，统筹划定工业用地控制线。四区主要为融城现代产业综合区“以电子信息、食品、总部经济、电子商务、文化创意为主”、西部生态产业区“以特色种植、文化旅游为主”、高龙特色产业区“以现代农业、休闲农业、滨海旅游为主”、江阴临港产业区“以化工新材料、现代物流、智能制造、海洋经济为主”。</w:t>
            </w:r>
          </w:p>
          <w:p w14:paraId="0AEFAD93">
            <w:pPr>
              <w:keepNext w:val="0"/>
              <w:keepLines w:val="0"/>
              <w:pageBreakBefore w:val="0"/>
              <w:widowControl/>
              <w:numPr>
                <w:ilvl w:val="0"/>
                <w:numId w:val="0"/>
              </w:numPr>
              <w:suppressLineNumbers w:val="0"/>
              <w:kinsoku/>
              <w:wordWrap/>
              <w:overflowPunct/>
              <w:topLinePunct w:val="0"/>
              <w:autoSpaceDE/>
              <w:autoSpaceDN/>
              <w:bidi w:val="0"/>
              <w:spacing w:line="360" w:lineRule="auto"/>
              <w:ind w:left="0" w:right="0" w:firstLine="480" w:firstLineChars="200"/>
              <w:jc w:val="both"/>
              <w:textAlignment w:val="auto"/>
              <w:rPr>
                <w:rFonts w:hint="default"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位于城北组团。主要生产工业连接器和工业线缆，属于</w:t>
            </w:r>
            <w:r>
              <w:rPr>
                <w:rFonts w:hint="default" w:ascii="Times New Roman" w:hAnsi="Times New Roman" w:eastAsia="宋体" w:cs="Times New Roman"/>
                <w:color w:val="auto"/>
                <w:sz w:val="24"/>
                <w:szCs w:val="24"/>
                <w:highlight w:val="none"/>
                <w:u w:val="none"/>
                <w:lang w:val="en-US" w:eastAsia="zh-CN"/>
              </w:rPr>
              <w:t>电子信息</w:t>
            </w:r>
            <w:r>
              <w:rPr>
                <w:rFonts w:hint="eastAsia" w:cs="Times New Roman"/>
                <w:color w:val="auto"/>
                <w:sz w:val="24"/>
                <w:szCs w:val="24"/>
                <w:highlight w:val="none"/>
                <w:u w:val="none"/>
                <w:lang w:val="en-US" w:eastAsia="zh-CN"/>
              </w:rPr>
              <w:t>产业，符合规划中壮大四大优势产业规划。因此本项目符合</w:t>
            </w:r>
            <w:r>
              <w:rPr>
                <w:rFonts w:hint="default" w:cs="Times New Roman"/>
                <w:color w:val="auto"/>
                <w:sz w:val="24"/>
                <w:szCs w:val="24"/>
                <w:highlight w:val="none"/>
                <w:u w:val="none"/>
                <w:lang w:val="en-US" w:eastAsia="zh-CN"/>
              </w:rPr>
              <w:t>《福清市国土空间总体规划（2021—2035年）》</w:t>
            </w:r>
            <w:r>
              <w:rPr>
                <w:rFonts w:hint="eastAsia" w:cs="Times New Roman"/>
                <w:color w:val="auto"/>
                <w:sz w:val="24"/>
                <w:szCs w:val="24"/>
                <w:highlight w:val="none"/>
                <w:u w:val="none"/>
                <w:lang w:val="en-US" w:eastAsia="zh-CN"/>
              </w:rPr>
              <w:t>有关要求。</w:t>
            </w:r>
          </w:p>
          <w:p w14:paraId="1E78A017">
            <w:pPr>
              <w:pStyle w:val="31"/>
              <w:keepNext w:val="0"/>
              <w:keepLines w:val="0"/>
              <w:pageBreakBefore w:val="0"/>
              <w:numPr>
                <w:ilvl w:val="0"/>
                <w:numId w:val="2"/>
              </w:numPr>
              <w:kinsoku/>
              <w:wordWrap/>
              <w:overflowPunct/>
              <w:topLinePunct w:val="0"/>
              <w:autoSpaceDE/>
              <w:autoSpaceDN/>
              <w:bidi w:val="0"/>
              <w:spacing w:line="360" w:lineRule="auto"/>
              <w:ind w:left="0" w:leftChars="0" w:right="0" w:firstLine="0" w:firstLineChars="0"/>
              <w:jc w:val="left"/>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与</w:t>
            </w:r>
            <w:r>
              <w:rPr>
                <w:rFonts w:hint="default" w:ascii="Times New Roman" w:hAnsi="Times New Roman" w:eastAsia="宋体" w:cs="Times New Roman"/>
                <w:b/>
                <w:bCs/>
                <w:color w:val="auto"/>
                <w:sz w:val="24"/>
                <w:szCs w:val="24"/>
                <w:highlight w:val="none"/>
                <w:u w:val="none"/>
                <w:lang w:val="en-US" w:eastAsia="zh-CN"/>
              </w:rPr>
              <w:t>《福清融侨经济技术开发区总体规划环境影响报告书（2018</w:t>
            </w:r>
            <w:r>
              <w:rPr>
                <w:rFonts w:hint="eastAsia" w:ascii="Times New Roman" w:hAnsi="Times New Roman" w:eastAsia="宋体" w:cs="Times New Roman"/>
                <w:b/>
                <w:bCs/>
                <w:color w:val="auto"/>
                <w:sz w:val="24"/>
                <w:szCs w:val="24"/>
                <w:highlight w:val="none"/>
                <w:u w:val="none"/>
                <w:lang w:val="en-US" w:eastAsia="zh-CN"/>
              </w:rPr>
              <w:t>—</w:t>
            </w:r>
            <w:r>
              <w:rPr>
                <w:rFonts w:hint="default" w:ascii="Times New Roman" w:hAnsi="Times New Roman" w:eastAsia="宋体" w:cs="Times New Roman"/>
                <w:b/>
                <w:bCs/>
                <w:color w:val="auto"/>
                <w:sz w:val="24"/>
                <w:szCs w:val="24"/>
                <w:highlight w:val="none"/>
                <w:u w:val="none"/>
                <w:lang w:val="en-US" w:eastAsia="zh-CN"/>
              </w:rPr>
              <w:t>2035年）》符合性分析</w:t>
            </w:r>
          </w:p>
          <w:p w14:paraId="2F57ED0C">
            <w:pPr>
              <w:keepNext w:val="0"/>
              <w:keepLines w:val="0"/>
              <w:pageBreakBefore w:val="0"/>
              <w:widowControl/>
              <w:numPr>
                <w:ilvl w:val="0"/>
                <w:numId w:val="0"/>
              </w:numPr>
              <w:suppressLineNumbers w:val="0"/>
              <w:kinsoku/>
              <w:wordWrap/>
              <w:overflowPunct/>
              <w:topLinePunct w:val="0"/>
              <w:autoSpaceDE/>
              <w:autoSpaceDN/>
              <w:bidi w:val="0"/>
              <w:spacing w:line="360" w:lineRule="auto"/>
              <w:ind w:left="0" w:right="0" w:firstLine="480" w:firstLineChars="200"/>
              <w:jc w:val="both"/>
              <w:textAlignment w:val="auto"/>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highlight w:val="none"/>
                <w:u w:val="none"/>
                <w:lang w:val="en-US" w:eastAsia="zh-CN"/>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w:t>
            </w:r>
            <w:r>
              <w:rPr>
                <w:rFonts w:hint="default" w:ascii="Times New Roman" w:hAnsi="Times New Roman" w:eastAsia="宋体" w:cs="Times New Roman"/>
                <w:color w:val="auto"/>
                <w:sz w:val="24"/>
                <w:szCs w:val="24"/>
                <w:highlight w:val="none"/>
                <w:u w:val="none"/>
                <w:lang w:val="en-US" w:eastAsia="zh-CN"/>
              </w:rPr>
              <w:t>，《关于</w:t>
            </w:r>
            <w:r>
              <w:rPr>
                <w:rFonts w:hint="eastAsia" w:ascii="Times New Roman" w:hAnsi="Times New Roman" w:cs="Times New Roman"/>
                <w:color w:val="auto"/>
                <w:sz w:val="24"/>
                <w:szCs w:val="24"/>
                <w:highlight w:val="none"/>
                <w:u w:val="none"/>
                <w:lang w:val="en-US" w:eastAsia="zh-CN"/>
              </w:rPr>
              <w:t>均和云谷</w:t>
            </w:r>
            <w:r>
              <w:rPr>
                <w:rFonts w:hint="eastAsia" w:ascii="Times New Roman" w:hAnsi="Times New Roman" w:eastAsia="宋体" w:cs="Times New Roman"/>
                <w:color w:val="auto"/>
                <w:sz w:val="24"/>
                <w:szCs w:val="24"/>
                <w:highlight w:val="none"/>
                <w:u w:val="none"/>
                <w:lang w:val="en-US" w:eastAsia="zh-CN"/>
              </w:rPr>
              <w:t>·福清科技港</w:t>
            </w:r>
            <w:r>
              <w:rPr>
                <w:rFonts w:hint="eastAsia" w:ascii="Times New Roman" w:hAnsi="Times New Roman" w:cs="Times New Roman"/>
                <w:color w:val="auto"/>
                <w:sz w:val="24"/>
                <w:szCs w:val="24"/>
                <w:highlight w:val="none"/>
                <w:u w:val="none"/>
                <w:lang w:val="en-US" w:eastAsia="zh-CN"/>
              </w:rPr>
              <w:t>入园企业申请办理环评手续的函</w:t>
            </w:r>
            <w:r>
              <w:rPr>
                <w:rFonts w:hint="default" w:ascii="Times New Roman" w:hAnsi="Times New Roman" w:eastAsia="宋体"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w:t>
            </w:r>
            <w:r>
              <w:rPr>
                <w:rFonts w:hint="eastAsia" w:ascii="Times New Roman" w:hAnsi="Times New Roman" w:cs="Times New Roman"/>
                <w:color w:val="auto"/>
                <w:sz w:val="24"/>
                <w:szCs w:val="24"/>
                <w:highlight w:val="none"/>
                <w:u w:val="none"/>
                <w:lang w:val="en-US" w:eastAsia="zh-CN"/>
              </w:rPr>
              <w:t>均和云谷</w:t>
            </w:r>
            <w:r>
              <w:rPr>
                <w:rFonts w:hint="eastAsia" w:ascii="Times New Roman" w:hAnsi="Times New Roman" w:eastAsia="宋体" w:cs="Times New Roman"/>
                <w:color w:val="auto"/>
                <w:sz w:val="24"/>
                <w:szCs w:val="24"/>
                <w:highlight w:val="none"/>
                <w:u w:val="none"/>
                <w:lang w:val="en-US" w:eastAsia="zh-CN"/>
              </w:rPr>
              <w:t>·福清科技港</w:t>
            </w:r>
            <w:r>
              <w:rPr>
                <w:rFonts w:hint="eastAsia" w:ascii="Times New Roman" w:hAnsi="Times New Roman" w:cs="Times New Roman"/>
                <w:color w:val="auto"/>
                <w:sz w:val="24"/>
                <w:szCs w:val="24"/>
                <w:highlight w:val="none"/>
                <w:u w:val="none"/>
                <w:lang w:val="en-US" w:eastAsia="zh-CN"/>
              </w:rPr>
              <w:t>项目占地面积143.9亩，总建筑面积157370.99m</w:t>
            </w:r>
            <w:r>
              <w:rPr>
                <w:rFonts w:hint="eastAsia" w:ascii="Times New Roman" w:hAnsi="Times New Roman" w:cs="Times New Roman"/>
                <w:color w:val="auto"/>
                <w:sz w:val="24"/>
                <w:szCs w:val="24"/>
                <w:highlight w:val="none"/>
                <w:u w:val="none"/>
                <w:vertAlign w:val="superscript"/>
                <w:lang w:val="en-US" w:eastAsia="zh-CN"/>
              </w:rPr>
              <w:t>2</w:t>
            </w:r>
            <w:r>
              <w:rPr>
                <w:rFonts w:hint="eastAsia" w:ascii="Times New Roman" w:hAnsi="Times New Roman" w:cs="Times New Roman"/>
                <w:color w:val="auto"/>
                <w:sz w:val="24"/>
                <w:szCs w:val="24"/>
                <w:highlight w:val="none"/>
                <w:u w:val="none"/>
                <w:lang w:val="en-US" w:eastAsia="zh-CN"/>
              </w:rPr>
              <w:t>，共建设40栋标准厂房及1栋综合配套。目前，福建聚望新材料科技有限公司、福州市尚康工贸有限公司、福州福顺来新材料有限公司、福州市闽侯振兴炜业机械有限公司、福建瑞昌新能源科技开发有限公司等5家企业已通过入园审批，正在准备入驻。”。</w:t>
            </w:r>
            <w:r>
              <w:rPr>
                <w:rFonts w:hint="default" w:ascii="Times New Roman" w:hAnsi="Times New Roman" w:eastAsia="宋体" w:cs="Times New Roman"/>
                <w:color w:val="auto"/>
                <w:sz w:val="24"/>
                <w:szCs w:val="24"/>
                <w:highlight w:val="none"/>
                <w:u w:val="none"/>
                <w:lang w:val="en-US" w:eastAsia="zh-CN"/>
              </w:rPr>
              <w:t>因此，应遵循福清融侨经济开发区的产业准入要求，根据前文分析，本项目为</w:t>
            </w:r>
            <w:r>
              <w:rPr>
                <w:rFonts w:hint="eastAsia" w:cs="Times New Roman"/>
                <w:color w:val="auto"/>
                <w:sz w:val="24"/>
                <w:szCs w:val="24"/>
                <w:highlight w:val="none"/>
                <w:u w:val="none"/>
                <w:lang w:val="en-US" w:eastAsia="zh-CN"/>
              </w:rPr>
              <w:t>工业连接器和工业线缆</w:t>
            </w:r>
            <w:r>
              <w:rPr>
                <w:rFonts w:hint="default" w:ascii="Times New Roman" w:hAnsi="Times New Roman" w:eastAsia="宋体" w:cs="Times New Roman"/>
                <w:color w:val="auto"/>
                <w:sz w:val="24"/>
                <w:szCs w:val="24"/>
                <w:highlight w:val="none"/>
                <w:u w:val="none"/>
                <w:lang w:val="en-US" w:eastAsia="zh-CN"/>
              </w:rPr>
              <w:t>加工制造，属于</w:t>
            </w:r>
            <w:r>
              <w:rPr>
                <w:rFonts w:hint="eastAsia" w:cs="Times New Roman"/>
                <w:color w:val="auto"/>
                <w:sz w:val="24"/>
                <w:szCs w:val="24"/>
                <w:highlight w:val="none"/>
                <w:u w:val="none"/>
                <w:lang w:val="en-US" w:eastAsia="zh-CN"/>
              </w:rPr>
              <w:t>电子信息产业</w:t>
            </w:r>
            <w:r>
              <w:rPr>
                <w:rFonts w:hint="default" w:ascii="Times New Roman" w:hAnsi="Times New Roman" w:eastAsia="宋体" w:cs="Times New Roman"/>
                <w:color w:val="auto"/>
                <w:sz w:val="24"/>
                <w:szCs w:val="24"/>
                <w:highlight w:val="none"/>
                <w:u w:val="none"/>
                <w:lang w:val="en-US" w:eastAsia="zh-CN"/>
              </w:rPr>
              <w:t>，符合福清融侨经济开发区准入产业，无需再分析本项目与《福清融侨经济技术开发区总体规划环境影响报告书（2018一2035年）》的符合性。</w:t>
            </w:r>
          </w:p>
        </w:tc>
      </w:tr>
      <w:tr w14:paraId="2ED0D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7" w:hRule="atLeast"/>
          <w:jc w:val="center"/>
        </w:trPr>
        <w:tc>
          <w:tcPr>
            <w:tcW w:w="434" w:type="pct"/>
            <w:noWrap w:val="0"/>
            <w:vAlign w:val="center"/>
          </w:tcPr>
          <w:p w14:paraId="3E19EBB2">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其他符合性分析</w:t>
            </w:r>
          </w:p>
        </w:tc>
        <w:tc>
          <w:tcPr>
            <w:tcW w:w="4565" w:type="pct"/>
            <w:gridSpan w:val="5"/>
            <w:noWrap w:val="0"/>
            <w:vAlign w:val="center"/>
          </w:tcPr>
          <w:p w14:paraId="6262179C">
            <w:pPr>
              <w:pStyle w:val="32"/>
              <w:keepNext w:val="0"/>
              <w:keepLines w:val="0"/>
              <w:pageBreakBefore w:val="0"/>
              <w:widowControl w:val="0"/>
              <w:tabs>
                <w:tab w:val="left" w:pos="4347"/>
              </w:tabs>
              <w:kinsoku/>
              <w:wordWrap/>
              <w:overflowPunct/>
              <w:topLinePunct w:val="0"/>
              <w:autoSpaceDE w:val="0"/>
              <w:autoSpaceDN w:val="0"/>
              <w:bidi w:val="0"/>
              <w:adjustRightInd w:val="0"/>
              <w:snapToGrid w:val="0"/>
              <w:spacing w:line="360" w:lineRule="auto"/>
              <w:ind w:left="0" w:right="0" w:firstLine="482" w:firstLineChars="200"/>
              <w:jc w:val="left"/>
              <w:textAlignment w:val="auto"/>
              <w:outlineLvl w:val="9"/>
              <w:rPr>
                <w:rFonts w:hint="default" w:ascii="Times New Roman" w:hAnsi="Times New Roman" w:eastAsia="宋体" w:cs="Times New Roman"/>
                <w:b/>
                <w:color w:val="auto"/>
                <w:sz w:val="24"/>
                <w:szCs w:val="24"/>
                <w:highlight w:val="none"/>
                <w:u w:val="none"/>
              </w:rPr>
            </w:pPr>
            <w:bookmarkStart w:id="12" w:name="_Toc27398"/>
            <w:r>
              <w:rPr>
                <w:rFonts w:hint="eastAsia" w:ascii="Times New Roman" w:cs="Times New Roman"/>
                <w:b/>
                <w:color w:val="auto"/>
                <w:sz w:val="24"/>
                <w:szCs w:val="24"/>
                <w:highlight w:val="none"/>
                <w:u w:val="none"/>
                <w:lang w:val="en-US" w:eastAsia="zh-CN"/>
              </w:rPr>
              <w:t>1.</w:t>
            </w:r>
            <w:r>
              <w:rPr>
                <w:rFonts w:hint="default" w:ascii="Times New Roman" w:hAnsi="Times New Roman" w:eastAsia="宋体" w:cs="Times New Roman"/>
                <w:b/>
                <w:color w:val="auto"/>
                <w:sz w:val="24"/>
                <w:szCs w:val="24"/>
                <w:highlight w:val="none"/>
                <w:u w:val="none"/>
              </w:rPr>
              <w:t>产业政策适宜性分析</w:t>
            </w:r>
            <w:bookmarkEnd w:id="12"/>
          </w:p>
          <w:p w14:paraId="190B62E9">
            <w:pPr>
              <w:keepNext w:val="0"/>
              <w:keepLines w:val="0"/>
              <w:pageBreakBefore w:val="0"/>
              <w:widowControl w:val="0"/>
              <w:kinsoku/>
              <w:wordWrap/>
              <w:overflowPunct/>
              <w:topLinePunct w:val="0"/>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color w:val="auto"/>
                <w:spacing w:val="0"/>
                <w:sz w:val="24"/>
                <w:szCs w:val="24"/>
                <w:highlight w:val="none"/>
                <w:u w:val="none"/>
              </w:rPr>
            </w:pPr>
            <w:r>
              <w:rPr>
                <w:rFonts w:hint="default" w:ascii="Times New Roman" w:hAnsi="Times New Roman" w:eastAsia="宋体" w:cs="Times New Roman"/>
                <w:color w:val="auto"/>
                <w:spacing w:val="0"/>
                <w:sz w:val="24"/>
                <w:szCs w:val="24"/>
                <w:highlight w:val="none"/>
                <w:u w:val="none"/>
              </w:rPr>
              <w:t>项目主要</w:t>
            </w:r>
            <w:r>
              <w:rPr>
                <w:rFonts w:hint="default" w:ascii="Times New Roman" w:hAnsi="Times New Roman" w:eastAsia="宋体" w:cs="Times New Roman"/>
                <w:color w:val="auto"/>
                <w:spacing w:val="0"/>
                <w:sz w:val="24"/>
                <w:szCs w:val="24"/>
                <w:highlight w:val="none"/>
                <w:u w:val="none"/>
                <w:lang w:eastAsia="zh-CN"/>
              </w:rPr>
              <w:t>从事</w:t>
            </w:r>
            <w:r>
              <w:rPr>
                <w:rFonts w:hint="eastAsia" w:cs="Times New Roman"/>
                <w:color w:val="auto"/>
                <w:spacing w:val="0"/>
                <w:sz w:val="24"/>
                <w:szCs w:val="24"/>
                <w:highlight w:val="none"/>
                <w:u w:val="none"/>
                <w:lang w:val="en-US" w:eastAsia="zh-CN"/>
              </w:rPr>
              <w:t>工业连接器和工业线缆</w:t>
            </w:r>
            <w:r>
              <w:rPr>
                <w:rFonts w:hint="default" w:ascii="Times New Roman" w:hAnsi="Times New Roman" w:eastAsia="宋体" w:cs="Times New Roman"/>
                <w:color w:val="auto"/>
                <w:spacing w:val="0"/>
                <w:sz w:val="24"/>
                <w:szCs w:val="24"/>
                <w:highlight w:val="none"/>
                <w:u w:val="none"/>
                <w:lang w:eastAsia="zh-CN"/>
              </w:rPr>
              <w:t>加工生产</w:t>
            </w:r>
            <w:r>
              <w:rPr>
                <w:rFonts w:hint="default" w:ascii="Times New Roman" w:hAnsi="Times New Roman" w:eastAsia="宋体" w:cs="Times New Roman"/>
                <w:color w:val="auto"/>
                <w:spacing w:val="0"/>
                <w:sz w:val="24"/>
                <w:szCs w:val="24"/>
                <w:highlight w:val="none"/>
                <w:u w:val="none"/>
              </w:rPr>
              <w:t>，</w:t>
            </w:r>
            <w:r>
              <w:rPr>
                <w:rFonts w:hint="eastAsia" w:cs="Times New Roman"/>
                <w:color w:val="auto"/>
                <w:spacing w:val="0"/>
                <w:sz w:val="24"/>
                <w:szCs w:val="24"/>
                <w:highlight w:val="none"/>
                <w:u w:val="none"/>
                <w:lang w:val="en-US" w:eastAsia="zh-CN"/>
              </w:rPr>
              <w:t>项目所采用的生产工艺、所使用的生产加工设备均</w:t>
            </w:r>
            <w:r>
              <w:rPr>
                <w:rFonts w:hint="default" w:ascii="Times New Roman" w:hAnsi="Times New Roman" w:eastAsia="宋体" w:cs="Times New Roman"/>
                <w:color w:val="auto"/>
                <w:spacing w:val="0"/>
                <w:sz w:val="24"/>
                <w:szCs w:val="24"/>
                <w:highlight w:val="none"/>
                <w:u w:val="none"/>
              </w:rPr>
              <w:t>不属于</w:t>
            </w:r>
            <w:r>
              <w:rPr>
                <w:rFonts w:hint="eastAsia" w:cs="Times New Roman"/>
                <w:color w:val="auto"/>
                <w:spacing w:val="0"/>
                <w:sz w:val="24"/>
                <w:szCs w:val="24"/>
                <w:highlight w:val="none"/>
                <w:u w:val="none"/>
                <w:lang w:eastAsia="zh-CN"/>
              </w:rPr>
              <w:t>国家发展改革委</w:t>
            </w:r>
            <w:r>
              <w:rPr>
                <w:rFonts w:hint="default" w:ascii="Times New Roman" w:hAnsi="Times New Roman" w:eastAsia="宋体" w:cs="Times New Roman"/>
                <w:color w:val="auto"/>
                <w:spacing w:val="0"/>
                <w:sz w:val="24"/>
                <w:szCs w:val="24"/>
                <w:highlight w:val="none"/>
                <w:u w:val="none"/>
              </w:rPr>
              <w:t>《产业结构调整指导目录（2024年本）》中限制和淘汰类的项目，</w:t>
            </w:r>
            <w:r>
              <w:rPr>
                <w:rFonts w:hint="default" w:ascii="Times New Roman" w:hAnsi="Times New Roman" w:eastAsia="宋体" w:cs="Times New Roman"/>
                <w:color w:val="auto"/>
                <w:spacing w:val="0"/>
                <w:sz w:val="24"/>
                <w:szCs w:val="24"/>
                <w:highlight w:val="none"/>
                <w:u w:val="none"/>
                <w:lang w:eastAsia="zh-CN"/>
              </w:rPr>
              <w:t>属于允许类</w:t>
            </w:r>
            <w:r>
              <w:rPr>
                <w:rFonts w:hint="eastAsia" w:cs="Times New Roman"/>
                <w:color w:val="auto"/>
                <w:spacing w:val="0"/>
                <w:sz w:val="24"/>
                <w:szCs w:val="24"/>
                <w:highlight w:val="none"/>
                <w:u w:val="none"/>
                <w:lang w:eastAsia="zh-CN"/>
              </w:rPr>
              <w:t>且</w:t>
            </w:r>
            <w:r>
              <w:rPr>
                <w:rFonts w:hint="default" w:ascii="Times New Roman" w:hAnsi="Times New Roman" w:eastAsia="宋体" w:cs="Times New Roman"/>
                <w:color w:val="auto"/>
                <w:spacing w:val="0"/>
                <w:sz w:val="24"/>
                <w:szCs w:val="24"/>
                <w:highlight w:val="none"/>
                <w:u w:val="none"/>
              </w:rPr>
              <w:t>该项目于</w:t>
            </w:r>
            <w:r>
              <w:rPr>
                <w:rFonts w:hint="default" w:ascii="Times New Roman" w:hAnsi="Times New Roman" w:eastAsia="宋体" w:cs="Times New Roman"/>
                <w:color w:val="auto"/>
                <w:spacing w:val="0"/>
                <w:sz w:val="24"/>
                <w:szCs w:val="24"/>
                <w:highlight w:val="none"/>
                <w:u w:val="none"/>
                <w:lang w:val="en-US" w:eastAsia="zh-CN"/>
              </w:rPr>
              <w:t>202</w:t>
            </w:r>
            <w:r>
              <w:rPr>
                <w:rFonts w:hint="eastAsia" w:ascii="Times New Roman" w:hAnsi="Times New Roman" w:eastAsia="宋体" w:cs="Times New Roman"/>
                <w:color w:val="auto"/>
                <w:spacing w:val="0"/>
                <w:sz w:val="24"/>
                <w:szCs w:val="24"/>
                <w:highlight w:val="none"/>
                <w:u w:val="none"/>
                <w:lang w:val="en-US" w:eastAsia="zh-CN"/>
              </w:rPr>
              <w:t>5</w:t>
            </w:r>
            <w:r>
              <w:rPr>
                <w:rFonts w:hint="default" w:ascii="Times New Roman" w:hAnsi="Times New Roman" w:eastAsia="宋体" w:cs="Times New Roman"/>
                <w:color w:val="auto"/>
                <w:spacing w:val="0"/>
                <w:sz w:val="24"/>
                <w:szCs w:val="24"/>
                <w:highlight w:val="none"/>
                <w:u w:val="none"/>
                <w:lang w:val="en-US" w:eastAsia="zh-CN"/>
              </w:rPr>
              <w:t>年</w:t>
            </w:r>
            <w:r>
              <w:rPr>
                <w:rFonts w:hint="eastAsia" w:cs="Times New Roman"/>
                <w:color w:val="auto"/>
                <w:spacing w:val="0"/>
                <w:sz w:val="24"/>
                <w:szCs w:val="24"/>
                <w:highlight w:val="none"/>
                <w:u w:val="none"/>
                <w:lang w:val="en-US" w:eastAsia="zh-CN"/>
              </w:rPr>
              <w:t>10</w:t>
            </w:r>
            <w:r>
              <w:rPr>
                <w:rFonts w:hint="default" w:ascii="Times New Roman" w:hAnsi="Times New Roman" w:eastAsia="宋体" w:cs="Times New Roman"/>
                <w:color w:val="auto"/>
                <w:spacing w:val="0"/>
                <w:sz w:val="24"/>
                <w:szCs w:val="24"/>
                <w:highlight w:val="none"/>
                <w:u w:val="none"/>
                <w:lang w:val="en-US" w:eastAsia="zh-CN"/>
              </w:rPr>
              <w:t>月</w:t>
            </w:r>
            <w:r>
              <w:rPr>
                <w:rFonts w:hint="eastAsia" w:cs="Times New Roman"/>
                <w:color w:val="auto"/>
                <w:spacing w:val="0"/>
                <w:sz w:val="24"/>
                <w:szCs w:val="24"/>
                <w:highlight w:val="none"/>
                <w:u w:val="none"/>
                <w:lang w:val="en-US" w:eastAsia="zh-CN"/>
              </w:rPr>
              <w:t>24</w:t>
            </w:r>
            <w:r>
              <w:rPr>
                <w:rFonts w:hint="default" w:ascii="Times New Roman" w:hAnsi="Times New Roman" w:eastAsia="宋体" w:cs="Times New Roman"/>
                <w:color w:val="auto"/>
                <w:spacing w:val="0"/>
                <w:sz w:val="24"/>
                <w:szCs w:val="24"/>
                <w:highlight w:val="none"/>
                <w:u w:val="none"/>
                <w:lang w:val="en-US" w:eastAsia="zh-CN"/>
              </w:rPr>
              <w:t>日</w:t>
            </w:r>
            <w:r>
              <w:rPr>
                <w:rFonts w:hint="default" w:ascii="Times New Roman" w:hAnsi="Times New Roman" w:eastAsia="宋体" w:cs="Times New Roman"/>
                <w:color w:val="auto"/>
                <w:spacing w:val="0"/>
                <w:sz w:val="24"/>
                <w:szCs w:val="24"/>
                <w:highlight w:val="none"/>
                <w:u w:val="none"/>
              </w:rPr>
              <w:t>通过了</w:t>
            </w:r>
            <w:r>
              <w:rPr>
                <w:rFonts w:hint="default" w:ascii="Times New Roman" w:hAnsi="Times New Roman" w:eastAsia="宋体" w:cs="Times New Roman"/>
                <w:color w:val="auto"/>
                <w:spacing w:val="0"/>
                <w:sz w:val="24"/>
                <w:szCs w:val="24"/>
                <w:highlight w:val="none"/>
                <w:u w:val="none"/>
                <w:lang w:eastAsia="zh-CN"/>
              </w:rPr>
              <w:t>福清市发展和改革局</w:t>
            </w:r>
            <w:r>
              <w:rPr>
                <w:rFonts w:hint="default" w:ascii="Times New Roman" w:hAnsi="Times New Roman" w:eastAsia="宋体" w:cs="Times New Roman"/>
                <w:color w:val="auto"/>
                <w:spacing w:val="0"/>
                <w:sz w:val="24"/>
                <w:szCs w:val="24"/>
                <w:highlight w:val="none"/>
                <w:u w:val="none"/>
              </w:rPr>
              <w:t>的备案(</w:t>
            </w:r>
            <w:r>
              <w:rPr>
                <w:rFonts w:hint="default" w:ascii="Times New Roman" w:hAnsi="Times New Roman" w:eastAsia="宋体" w:cs="Times New Roman"/>
                <w:color w:val="auto"/>
                <w:sz w:val="24"/>
                <w:szCs w:val="24"/>
                <w:highlight w:val="none"/>
                <w:u w:val="none"/>
                <w:lang w:eastAsia="zh-CN"/>
              </w:rPr>
              <w:t>闽发改备</w:t>
            </w:r>
            <w:r>
              <w:rPr>
                <w:rFonts w:hint="eastAsia" w:cs="Times New Roman"/>
                <w:color w:val="auto"/>
                <w:sz w:val="24"/>
                <w:szCs w:val="24"/>
                <w:highlight w:val="none"/>
                <w:u w:val="none"/>
                <w:lang w:eastAsia="zh-CN"/>
              </w:rPr>
              <w:t>〔2025〕A060387</w:t>
            </w:r>
            <w:r>
              <w:rPr>
                <w:rFonts w:hint="default" w:ascii="Times New Roman" w:hAnsi="Times New Roman" w:eastAsia="宋体" w:cs="Times New Roman"/>
                <w:color w:val="auto"/>
                <w:sz w:val="24"/>
                <w:szCs w:val="24"/>
                <w:highlight w:val="none"/>
                <w:u w:val="none"/>
                <w:lang w:eastAsia="zh-CN"/>
              </w:rPr>
              <w:t>号，</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pacing w:val="0"/>
                <w:sz w:val="24"/>
                <w:szCs w:val="24"/>
                <w:highlight w:val="none"/>
                <w:u w:val="none"/>
              </w:rPr>
              <w:t>详见</w:t>
            </w:r>
            <w:r>
              <w:rPr>
                <w:rFonts w:hint="default" w:ascii="Times New Roman" w:hAnsi="Times New Roman" w:eastAsia="宋体" w:cs="Times New Roman"/>
                <w:b/>
                <w:bCs/>
                <w:color w:val="auto"/>
                <w:spacing w:val="0"/>
                <w:sz w:val="24"/>
                <w:szCs w:val="24"/>
                <w:highlight w:val="none"/>
                <w:u w:val="none"/>
              </w:rPr>
              <w:t>附件</w:t>
            </w:r>
            <w:r>
              <w:rPr>
                <w:rFonts w:hint="eastAsia" w:cs="Times New Roman"/>
                <w:b/>
                <w:bCs/>
                <w:color w:val="auto"/>
                <w:spacing w:val="0"/>
                <w:sz w:val="24"/>
                <w:szCs w:val="24"/>
                <w:highlight w:val="none"/>
                <w:u w:val="none"/>
                <w:lang w:val="en-US" w:eastAsia="zh-CN"/>
              </w:rPr>
              <w:t>四</w:t>
            </w:r>
            <w:r>
              <w:rPr>
                <w:rFonts w:hint="eastAsia" w:cs="Times New Roman"/>
                <w:b w:val="0"/>
                <w:bCs w:val="0"/>
                <w:color w:val="auto"/>
                <w:spacing w:val="0"/>
                <w:sz w:val="24"/>
                <w:szCs w:val="24"/>
                <w:highlight w:val="none"/>
                <w:u w:val="none"/>
                <w:lang w:eastAsia="zh-CN"/>
              </w:rPr>
              <w:t>）</w:t>
            </w:r>
            <w:r>
              <w:rPr>
                <w:rFonts w:hint="default" w:ascii="Times New Roman" w:hAnsi="Times New Roman" w:eastAsia="宋体" w:cs="Times New Roman"/>
                <w:color w:val="auto"/>
                <w:spacing w:val="0"/>
                <w:sz w:val="24"/>
                <w:szCs w:val="24"/>
                <w:highlight w:val="none"/>
                <w:u w:val="none"/>
              </w:rPr>
              <w:t>，因此项目的建设内容符合当前国家</w:t>
            </w:r>
            <w:r>
              <w:rPr>
                <w:rFonts w:hint="default" w:ascii="Times New Roman" w:hAnsi="Times New Roman" w:eastAsia="宋体" w:cs="Times New Roman"/>
                <w:color w:val="auto"/>
                <w:spacing w:val="0"/>
                <w:sz w:val="24"/>
                <w:szCs w:val="24"/>
                <w:highlight w:val="none"/>
                <w:u w:val="none"/>
                <w:lang w:eastAsia="zh-CN"/>
              </w:rPr>
              <w:t>和地方</w:t>
            </w:r>
            <w:r>
              <w:rPr>
                <w:rFonts w:hint="default" w:ascii="Times New Roman" w:hAnsi="Times New Roman" w:eastAsia="宋体" w:cs="Times New Roman"/>
                <w:color w:val="auto"/>
                <w:spacing w:val="0"/>
                <w:sz w:val="24"/>
                <w:szCs w:val="24"/>
                <w:highlight w:val="none"/>
                <w:u w:val="none"/>
              </w:rPr>
              <w:t>的产业政策。</w:t>
            </w:r>
          </w:p>
          <w:p w14:paraId="0B009C1B">
            <w:pPr>
              <w:pStyle w:val="32"/>
              <w:keepNext w:val="0"/>
              <w:keepLines w:val="0"/>
              <w:pageBreakBefore w:val="0"/>
              <w:widowControl w:val="0"/>
              <w:tabs>
                <w:tab w:val="left" w:pos="4347"/>
              </w:tabs>
              <w:kinsoku/>
              <w:wordWrap/>
              <w:overflowPunct/>
              <w:topLinePunct w:val="0"/>
              <w:autoSpaceDE w:val="0"/>
              <w:autoSpaceDN w:val="0"/>
              <w:bidi w:val="0"/>
              <w:adjustRightInd w:val="0"/>
              <w:snapToGrid w:val="0"/>
              <w:spacing w:line="360" w:lineRule="auto"/>
              <w:ind w:left="0" w:right="0" w:firstLine="482" w:firstLineChars="200"/>
              <w:jc w:val="left"/>
              <w:textAlignment w:val="auto"/>
              <w:outlineLvl w:val="9"/>
              <w:rPr>
                <w:rFonts w:hint="default" w:ascii="Times New Roman" w:hAnsi="Times New Roman" w:eastAsia="宋体" w:cs="Times New Roman"/>
                <w:b/>
                <w:color w:val="auto"/>
                <w:sz w:val="24"/>
                <w:szCs w:val="24"/>
                <w:highlight w:val="none"/>
                <w:u w:val="none"/>
                <w:lang w:val="en-US" w:eastAsia="zh-CN"/>
              </w:rPr>
            </w:pPr>
            <w:bookmarkStart w:id="13" w:name="_Toc26906"/>
            <w:r>
              <w:rPr>
                <w:rFonts w:hint="eastAsia" w:ascii="Times New Roman" w:cs="Times New Roman"/>
                <w:b/>
                <w:color w:val="auto"/>
                <w:sz w:val="24"/>
                <w:szCs w:val="24"/>
                <w:highlight w:val="none"/>
                <w:u w:val="none"/>
                <w:lang w:val="en-US" w:eastAsia="zh-CN"/>
              </w:rPr>
              <w:t>2.国土空间规划</w:t>
            </w:r>
            <w:r>
              <w:rPr>
                <w:rFonts w:hint="default" w:ascii="Times New Roman" w:hAnsi="Times New Roman" w:eastAsia="宋体" w:cs="Times New Roman"/>
                <w:b/>
                <w:color w:val="auto"/>
                <w:sz w:val="24"/>
                <w:szCs w:val="24"/>
                <w:highlight w:val="none"/>
                <w:u w:val="none"/>
                <w:lang w:val="en-US" w:eastAsia="zh-CN"/>
              </w:rPr>
              <w:t>符合性分析</w:t>
            </w:r>
            <w:bookmarkEnd w:id="13"/>
          </w:p>
          <w:p w14:paraId="655B9E2C">
            <w:pPr>
              <w:keepNext w:val="0"/>
              <w:keepLines w:val="0"/>
              <w:pageBreakBefore w:val="0"/>
              <w:widowControl w:val="0"/>
              <w:kinsoku/>
              <w:wordWrap/>
              <w:overflowPunct/>
              <w:topLinePunct w:val="0"/>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pacing w:val="0"/>
                <w:sz w:val="24"/>
                <w:szCs w:val="24"/>
                <w:highlight w:val="none"/>
                <w:u w:val="none"/>
              </w:rPr>
            </w:pPr>
            <w:r>
              <w:rPr>
                <w:rFonts w:hint="eastAsia" w:cs="Times New Roman"/>
                <w:color w:val="auto"/>
                <w:spacing w:val="0"/>
                <w:sz w:val="24"/>
                <w:szCs w:val="24"/>
                <w:highlight w:val="none"/>
                <w:u w:val="none"/>
                <w:lang w:eastAsia="zh-CN"/>
              </w:rPr>
              <w:t>根据</w:t>
            </w:r>
            <w:r>
              <w:rPr>
                <w:rFonts w:hint="default" w:cs="Times New Roman"/>
                <w:color w:val="auto"/>
                <w:sz w:val="24"/>
                <w:szCs w:val="24"/>
                <w:highlight w:val="none"/>
                <w:u w:val="none"/>
                <w:lang w:val="en-US" w:eastAsia="zh-CN"/>
              </w:rPr>
              <w:t>《福清市国土空间总体规划（2021—2035年）》</w:t>
            </w:r>
            <w:r>
              <w:rPr>
                <w:rFonts w:hint="default" w:ascii="Times New Roman" w:hAnsi="Times New Roman" w:eastAsia="宋体" w:cs="Times New Roman"/>
                <w:color w:val="auto"/>
                <w:spacing w:val="0"/>
                <w:sz w:val="24"/>
                <w:szCs w:val="24"/>
                <w:highlight w:val="none"/>
                <w:u w:val="none"/>
                <w:lang w:eastAsia="zh-CN"/>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w:t>
            </w:r>
            <w:r>
              <w:rPr>
                <w:rFonts w:hint="default" w:ascii="Times New Roman" w:hAnsi="Times New Roman" w:eastAsia="宋体" w:cs="Times New Roman"/>
                <w:color w:val="auto"/>
                <w:spacing w:val="0"/>
                <w:sz w:val="24"/>
                <w:szCs w:val="24"/>
                <w:highlight w:val="none"/>
                <w:u w:val="none"/>
                <w:lang w:eastAsia="zh-CN"/>
              </w:rPr>
              <w:t>内，根据</w:t>
            </w:r>
            <w:r>
              <w:rPr>
                <w:rFonts w:hint="eastAsia" w:ascii="Times New Roman" w:hAnsi="Times New Roman" w:eastAsia="宋体" w:cs="Times New Roman"/>
                <w:color w:val="auto"/>
                <w:spacing w:val="0"/>
                <w:sz w:val="24"/>
                <w:szCs w:val="24"/>
                <w:highlight w:val="none"/>
                <w:u w:val="none"/>
                <w:lang w:eastAsia="zh-CN"/>
              </w:rPr>
              <w:t>业主</w:t>
            </w:r>
            <w:r>
              <w:rPr>
                <w:rFonts w:hint="default" w:ascii="Times New Roman" w:hAnsi="Times New Roman" w:eastAsia="宋体" w:cs="Times New Roman"/>
                <w:color w:val="auto"/>
                <w:spacing w:val="0"/>
                <w:sz w:val="24"/>
                <w:szCs w:val="24"/>
                <w:highlight w:val="none"/>
                <w:u w:val="none"/>
                <w:lang w:eastAsia="zh-CN"/>
              </w:rPr>
              <w:t>提供的</w:t>
            </w:r>
            <w:r>
              <w:rPr>
                <w:rFonts w:hint="eastAsia" w:ascii="Times New Roman" w:hAnsi="Times New Roman" w:eastAsia="宋体" w:cs="Times New Roman"/>
                <w:color w:val="auto"/>
                <w:spacing w:val="0"/>
                <w:sz w:val="24"/>
                <w:szCs w:val="24"/>
                <w:highlight w:val="none"/>
                <w:u w:val="none"/>
                <w:lang w:val="en-US" w:eastAsia="zh-CN"/>
              </w:rPr>
              <w:t>均和产业发展（福清）有限公司不动产权证（闽（2022）福清市不动产权第0015820号）</w:t>
            </w:r>
            <w:r>
              <w:rPr>
                <w:rFonts w:hint="eastAsia" w:cs="Times New Roman"/>
                <w:color w:val="auto"/>
                <w:spacing w:val="0"/>
                <w:sz w:val="24"/>
                <w:szCs w:val="24"/>
                <w:highlight w:val="none"/>
                <w:u w:val="none"/>
                <w:lang w:val="en-US" w:eastAsia="zh-CN"/>
              </w:rPr>
              <w:t>（厂房购置合同</w:t>
            </w:r>
            <w:r>
              <w:rPr>
                <w:rFonts w:hint="default" w:ascii="Times New Roman" w:hAnsi="Times New Roman" w:eastAsia="宋体" w:cs="Times New Roman"/>
                <w:color w:val="auto"/>
                <w:spacing w:val="0"/>
                <w:sz w:val="24"/>
                <w:szCs w:val="24"/>
                <w:highlight w:val="none"/>
                <w:u w:val="none"/>
                <w:lang w:val="en-US" w:eastAsia="zh-CN"/>
              </w:rPr>
              <w:t>详见</w:t>
            </w:r>
            <w:r>
              <w:rPr>
                <w:rFonts w:hint="default" w:ascii="Times New Roman" w:hAnsi="Times New Roman" w:eastAsia="宋体" w:cs="Times New Roman"/>
                <w:b/>
                <w:bCs/>
                <w:color w:val="auto"/>
                <w:spacing w:val="0"/>
                <w:sz w:val="24"/>
                <w:szCs w:val="24"/>
                <w:highlight w:val="none"/>
                <w:u w:val="none"/>
                <w:lang w:val="en-US" w:eastAsia="zh-CN"/>
              </w:rPr>
              <w:t>附件</w:t>
            </w:r>
            <w:r>
              <w:rPr>
                <w:rFonts w:hint="eastAsia" w:cs="Times New Roman"/>
                <w:b/>
                <w:bCs/>
                <w:color w:val="auto"/>
                <w:spacing w:val="0"/>
                <w:sz w:val="24"/>
                <w:szCs w:val="24"/>
                <w:highlight w:val="none"/>
                <w:u w:val="none"/>
                <w:lang w:val="en-US" w:eastAsia="zh-CN"/>
              </w:rPr>
              <w:t>五</w:t>
            </w:r>
            <w:r>
              <w:rPr>
                <w:rFonts w:hint="eastAsia" w:cs="Times New Roman"/>
                <w:b w:val="0"/>
                <w:bCs w:val="0"/>
                <w:color w:val="auto"/>
                <w:spacing w:val="0"/>
                <w:sz w:val="24"/>
                <w:szCs w:val="24"/>
                <w:highlight w:val="none"/>
                <w:u w:val="none"/>
                <w:lang w:val="en-US" w:eastAsia="zh-CN"/>
              </w:rPr>
              <w:t>）</w:t>
            </w:r>
            <w:r>
              <w:rPr>
                <w:rFonts w:hint="default" w:ascii="Times New Roman" w:hAnsi="Times New Roman" w:eastAsia="宋体" w:cs="Times New Roman"/>
                <w:color w:val="auto"/>
                <w:spacing w:val="0"/>
                <w:sz w:val="24"/>
                <w:szCs w:val="24"/>
                <w:highlight w:val="none"/>
                <w:u w:val="none"/>
                <w:lang w:val="en-US" w:eastAsia="zh-CN"/>
              </w:rPr>
              <w:t>，该厂区用地为工业用地，厂房为工业厂房</w:t>
            </w:r>
            <w:r>
              <w:rPr>
                <w:rFonts w:hint="default" w:ascii="Times New Roman" w:hAnsi="Times New Roman" w:eastAsia="宋体" w:cs="Times New Roman"/>
                <w:color w:val="auto"/>
                <w:sz w:val="24"/>
                <w:szCs w:val="24"/>
              </w:rPr>
              <w:t>。根据福清市自然资源和规划局审定的均和云谷福清科技港总平面</w:t>
            </w:r>
            <w:r>
              <w:rPr>
                <w:rFonts w:hint="eastAsia" w:cs="Times New Roman"/>
                <w:color w:val="auto"/>
                <w:sz w:val="24"/>
                <w:szCs w:val="24"/>
                <w:lang w:eastAsia="zh-CN"/>
              </w:rPr>
              <w:t>布置</w:t>
            </w:r>
            <w:r>
              <w:rPr>
                <w:rFonts w:hint="default" w:ascii="Times New Roman" w:hAnsi="Times New Roman" w:eastAsia="宋体" w:cs="Times New Roman"/>
                <w:color w:val="auto"/>
                <w:sz w:val="24"/>
                <w:szCs w:val="24"/>
              </w:rPr>
              <w:t>图及均和产业发展（福清）有限公司规划条件核实意见书（</w:t>
            </w:r>
            <w:r>
              <w:rPr>
                <w:rFonts w:hint="eastAsia" w:ascii="Times New Roman" w:hAnsi="Times New Roman" w:eastAsia="宋体" w:cs="Times New Roman"/>
                <w:color w:val="auto"/>
                <w:sz w:val="24"/>
                <w:szCs w:val="24"/>
                <w:lang w:val="en-US" w:eastAsia="zh-CN"/>
              </w:rPr>
              <w:t>整区</w:t>
            </w:r>
            <w:r>
              <w:rPr>
                <w:rFonts w:hint="default" w:ascii="Times New Roman" w:hAnsi="Times New Roman" w:eastAsia="宋体" w:cs="Times New Roman"/>
                <w:color w:val="auto"/>
                <w:sz w:val="24"/>
                <w:szCs w:val="24"/>
              </w:rPr>
              <w:t>）（编号：融规核〔202</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112</w:t>
            </w:r>
            <w:r>
              <w:rPr>
                <w:rFonts w:hint="default" w:ascii="Times New Roman" w:hAnsi="Times New Roman" w:eastAsia="宋体" w:cs="Times New Roman"/>
                <w:color w:val="auto"/>
                <w:sz w:val="24"/>
                <w:szCs w:val="24"/>
              </w:rPr>
              <w:t>号）可知，项目位于均和云谷福清科技港</w:t>
            </w:r>
            <w:r>
              <w:rPr>
                <w:rFonts w:hint="eastAsia" w:ascii="Times New Roman" w:hAnsi="Times New Roman" w:eastAsia="宋体" w:cs="Times New Roman"/>
                <w:color w:val="auto"/>
                <w:sz w:val="24"/>
                <w:szCs w:val="24"/>
                <w:lang w:val="en-US" w:eastAsia="zh-CN"/>
              </w:rPr>
              <w:t>3</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#厂房，</w:t>
            </w:r>
            <w:r>
              <w:rPr>
                <w:rFonts w:hint="eastAsia" w:ascii="Times New Roman" w:hAnsi="Times New Roman" w:eastAsia="宋体" w:cs="Times New Roman"/>
                <w:color w:val="auto"/>
                <w:sz w:val="24"/>
                <w:szCs w:val="24"/>
                <w:lang w:val="en-US" w:eastAsia="zh-CN"/>
              </w:rPr>
              <w:t>3</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#厂房构筑物主要经济技术指标均通过规划部门审核审定。</w:t>
            </w:r>
            <w:r>
              <w:rPr>
                <w:rFonts w:hint="default" w:ascii="Times New Roman" w:hAnsi="Times New Roman" w:eastAsia="宋体" w:cs="Times New Roman"/>
                <w:color w:val="auto"/>
                <w:spacing w:val="0"/>
                <w:sz w:val="24"/>
                <w:szCs w:val="24"/>
                <w:highlight w:val="none"/>
                <w:u w:val="none"/>
                <w:lang w:eastAsia="zh-CN"/>
              </w:rPr>
              <w:t>本项目从事</w:t>
            </w:r>
            <w:r>
              <w:rPr>
                <w:rFonts w:hint="eastAsia" w:cs="Times New Roman"/>
                <w:color w:val="auto"/>
                <w:spacing w:val="0"/>
                <w:sz w:val="24"/>
                <w:szCs w:val="24"/>
                <w:highlight w:val="none"/>
                <w:u w:val="none"/>
                <w:lang w:eastAsia="zh-CN"/>
              </w:rPr>
              <w:t>工业连接器和工业线缆</w:t>
            </w:r>
            <w:r>
              <w:rPr>
                <w:rFonts w:hint="default" w:ascii="Times New Roman" w:hAnsi="Times New Roman" w:eastAsia="宋体" w:cs="Times New Roman"/>
                <w:color w:val="auto"/>
                <w:spacing w:val="0"/>
                <w:sz w:val="24"/>
                <w:szCs w:val="24"/>
                <w:highlight w:val="none"/>
                <w:u w:val="none"/>
                <w:lang w:eastAsia="zh-CN"/>
              </w:rPr>
              <w:t>的加工，属于工业企业，因此，项目选址符合</w:t>
            </w:r>
            <w:r>
              <w:rPr>
                <w:rFonts w:hint="eastAsia" w:cs="Times New Roman"/>
                <w:color w:val="auto"/>
                <w:spacing w:val="0"/>
                <w:sz w:val="24"/>
                <w:szCs w:val="24"/>
                <w:highlight w:val="none"/>
                <w:u w:val="none"/>
                <w:lang w:eastAsia="zh-CN"/>
              </w:rPr>
              <w:t>国土空间规划</w:t>
            </w:r>
            <w:r>
              <w:rPr>
                <w:rFonts w:hint="default" w:ascii="Times New Roman" w:hAnsi="Times New Roman" w:eastAsia="宋体" w:cs="Times New Roman"/>
                <w:color w:val="auto"/>
                <w:spacing w:val="0"/>
                <w:sz w:val="24"/>
                <w:szCs w:val="24"/>
                <w:highlight w:val="none"/>
                <w:u w:val="none"/>
                <w:lang w:eastAsia="zh-CN"/>
              </w:rPr>
              <w:t>。</w:t>
            </w:r>
          </w:p>
          <w:p w14:paraId="330FEADD">
            <w:pPr>
              <w:pStyle w:val="32"/>
              <w:keepNext w:val="0"/>
              <w:keepLines w:val="0"/>
              <w:pageBreakBefore w:val="0"/>
              <w:widowControl w:val="0"/>
              <w:tabs>
                <w:tab w:val="left" w:pos="4347"/>
              </w:tabs>
              <w:kinsoku/>
              <w:wordWrap/>
              <w:overflowPunct/>
              <w:topLinePunct w:val="0"/>
              <w:autoSpaceDE w:val="0"/>
              <w:autoSpaceDN w:val="0"/>
              <w:bidi w:val="0"/>
              <w:adjustRightInd w:val="0"/>
              <w:snapToGrid w:val="0"/>
              <w:spacing w:line="360" w:lineRule="auto"/>
              <w:ind w:left="0" w:right="0" w:firstLine="482" w:firstLineChars="200"/>
              <w:jc w:val="left"/>
              <w:textAlignment w:val="auto"/>
              <w:outlineLvl w:val="9"/>
              <w:rPr>
                <w:rFonts w:hint="default" w:ascii="Times New Roman" w:hAnsi="Times New Roman" w:eastAsia="宋体" w:cs="Times New Roman"/>
                <w:b/>
                <w:color w:val="auto"/>
                <w:sz w:val="24"/>
                <w:szCs w:val="24"/>
                <w:highlight w:val="none"/>
                <w:u w:val="none"/>
                <w:lang w:val="en-US" w:eastAsia="zh-CN"/>
              </w:rPr>
            </w:pPr>
            <w:bookmarkStart w:id="14" w:name="_Toc12021"/>
            <w:r>
              <w:rPr>
                <w:rFonts w:hint="eastAsia" w:ascii="Times New Roman" w:cs="Times New Roman"/>
                <w:b/>
                <w:color w:val="auto"/>
                <w:sz w:val="24"/>
                <w:szCs w:val="24"/>
                <w:highlight w:val="none"/>
                <w:u w:val="none"/>
                <w:lang w:val="en-US" w:eastAsia="zh-CN"/>
              </w:rPr>
              <w:t>3.</w:t>
            </w:r>
            <w:r>
              <w:rPr>
                <w:rFonts w:hint="eastAsia" w:ascii="Times New Roman" w:hAnsi="Times New Roman" w:eastAsia="宋体" w:cs="Times New Roman"/>
                <w:b/>
                <w:color w:val="auto"/>
                <w:sz w:val="24"/>
                <w:szCs w:val="24"/>
                <w:highlight w:val="none"/>
                <w:u w:val="none"/>
                <w:lang w:val="en-US" w:eastAsia="zh-CN"/>
              </w:rPr>
              <w:t>“</w:t>
            </w:r>
            <w:r>
              <w:rPr>
                <w:rFonts w:hint="default" w:ascii="Times New Roman" w:hAnsi="Times New Roman" w:eastAsia="宋体" w:cs="Times New Roman"/>
                <w:b/>
                <w:color w:val="auto"/>
                <w:sz w:val="24"/>
                <w:szCs w:val="24"/>
                <w:highlight w:val="none"/>
                <w:u w:val="none"/>
                <w:lang w:val="en-US" w:eastAsia="zh-CN"/>
              </w:rPr>
              <w:t>三线一单</w:t>
            </w:r>
            <w:r>
              <w:rPr>
                <w:rFonts w:hint="eastAsia" w:ascii="Times New Roman" w:hAnsi="Times New Roman" w:eastAsia="宋体" w:cs="Times New Roman"/>
                <w:b/>
                <w:color w:val="auto"/>
                <w:sz w:val="24"/>
                <w:szCs w:val="24"/>
                <w:highlight w:val="none"/>
                <w:u w:val="none"/>
                <w:lang w:val="en-US" w:eastAsia="zh-CN"/>
              </w:rPr>
              <w:t>”</w:t>
            </w:r>
            <w:r>
              <w:rPr>
                <w:rFonts w:hint="default" w:ascii="Times New Roman" w:hAnsi="Times New Roman" w:eastAsia="宋体" w:cs="Times New Roman"/>
                <w:b/>
                <w:color w:val="auto"/>
                <w:sz w:val="24"/>
                <w:szCs w:val="24"/>
                <w:highlight w:val="none"/>
                <w:u w:val="none"/>
                <w:lang w:val="en-US" w:eastAsia="zh-CN"/>
              </w:rPr>
              <w:t>控制要求的符合性分析</w:t>
            </w:r>
            <w:bookmarkEnd w:id="14"/>
          </w:p>
          <w:p w14:paraId="46466856">
            <w:pPr>
              <w:pStyle w:val="33"/>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left"/>
              <w:textAlignment w:val="baseline"/>
              <w:rPr>
                <w:rFonts w:hint="default" w:ascii="Times New Roman" w:hAnsi="Times New Roman" w:eastAsia="宋体" w:cs="Times New Roman"/>
                <w:color w:val="auto"/>
                <w:spacing w:val="0"/>
                <w:w w:val="100"/>
                <w:position w:val="0"/>
                <w:sz w:val="24"/>
                <w:szCs w:val="24"/>
                <w:u w:val="none"/>
              </w:rPr>
            </w:pPr>
            <w:r>
              <w:rPr>
                <w:rFonts w:hint="default" w:ascii="Times New Roman" w:hAnsi="Times New Roman" w:eastAsia="宋体" w:cs="Times New Roman"/>
                <w:color w:val="auto"/>
                <w:spacing w:val="0"/>
                <w:w w:val="100"/>
                <w:position w:val="0"/>
                <w:sz w:val="24"/>
                <w:szCs w:val="24"/>
                <w:u w:val="none"/>
              </w:rPr>
              <w:t>根据《关于以改善环境质量为核心加强环境影响评价管理的通知》</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环评〔2016〕150号</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三线一单</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即：</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生态保护红线、环境质量底线、资源利用上线和生态环境准入清单</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，项目建设应强化</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三线一单</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约束作用。</w:t>
            </w:r>
          </w:p>
          <w:p w14:paraId="33F2D65E">
            <w:pPr>
              <w:pStyle w:val="33"/>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left"/>
              <w:textAlignment w:val="baseline"/>
              <w:rPr>
                <w:rFonts w:hint="default" w:ascii="Times New Roman" w:hAnsi="Times New Roman" w:eastAsia="宋体" w:cs="Times New Roman"/>
                <w:color w:val="auto"/>
                <w:spacing w:val="0"/>
                <w:w w:val="100"/>
                <w:position w:val="0"/>
                <w:sz w:val="24"/>
                <w:szCs w:val="24"/>
                <w:u w:val="none"/>
              </w:rPr>
            </w:pPr>
            <w:r>
              <w:rPr>
                <w:rFonts w:hint="eastAsia" w:ascii="Times New Roman" w:hAnsi="Times New Roman" w:cs="Times New Roman"/>
                <w:color w:val="auto"/>
                <w:spacing w:val="0"/>
                <w:w w:val="100"/>
                <w:position w:val="0"/>
                <w:sz w:val="24"/>
                <w:szCs w:val="24"/>
                <w:u w:val="none"/>
                <w:lang w:eastAsia="zh-CN"/>
              </w:rPr>
              <w:t>（</w:t>
            </w:r>
            <w:r>
              <w:rPr>
                <w:rFonts w:hint="eastAsia" w:ascii="Times New Roman" w:hAnsi="Times New Roman" w:cs="Times New Roman"/>
                <w:color w:val="auto"/>
                <w:spacing w:val="0"/>
                <w:w w:val="100"/>
                <w:position w:val="0"/>
                <w:sz w:val="24"/>
                <w:szCs w:val="24"/>
                <w:u w:val="none"/>
                <w:lang w:val="en-US" w:eastAsia="zh-CN"/>
              </w:rPr>
              <w:t>1</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生态保护红线</w:t>
            </w:r>
          </w:p>
          <w:p w14:paraId="6E62CDB0">
            <w:pPr>
              <w:pStyle w:val="33"/>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left"/>
              <w:textAlignment w:val="baseline"/>
              <w:rPr>
                <w:rFonts w:hint="default" w:ascii="Times New Roman" w:hAnsi="Times New Roman" w:eastAsia="宋体" w:cs="Times New Roman"/>
                <w:color w:val="auto"/>
                <w:spacing w:val="0"/>
                <w:w w:val="100"/>
                <w:position w:val="0"/>
                <w:sz w:val="24"/>
                <w:szCs w:val="24"/>
                <w:u w:val="none"/>
              </w:rPr>
            </w:pPr>
            <w:r>
              <w:rPr>
                <w:rFonts w:hint="default" w:ascii="Times New Roman" w:hAnsi="Times New Roman" w:eastAsia="宋体" w:cs="Times New Roman"/>
                <w:color w:val="auto"/>
                <w:spacing w:val="0"/>
                <w:w w:val="100"/>
                <w:position w:val="0"/>
                <w:sz w:val="24"/>
                <w:szCs w:val="24"/>
                <w:u w:val="none"/>
              </w:rPr>
              <w:t>对照《福建省生态保护红线划定方案》及其调整方案</w:t>
            </w:r>
            <w:r>
              <w:rPr>
                <w:rFonts w:hint="default" w:ascii="Times New Roman" w:hAnsi="Times New Roman" w:eastAsia="宋体" w:cs="Times New Roman"/>
                <w:color w:val="auto"/>
                <w:spacing w:val="0"/>
                <w:w w:val="100"/>
                <w:position w:val="0"/>
                <w:sz w:val="24"/>
                <w:szCs w:val="24"/>
                <w:u w:val="none"/>
                <w:lang w:eastAsia="zh-CN"/>
              </w:rPr>
              <w:t>、</w:t>
            </w:r>
            <w:r>
              <w:rPr>
                <w:rFonts w:hint="default" w:ascii="Times New Roman" w:hAnsi="Times New Roman" w:eastAsia="宋体" w:cs="Times New Roman"/>
                <w:color w:val="auto"/>
                <w:sz w:val="24"/>
                <w:szCs w:val="24"/>
                <w:u w:val="none"/>
                <w:lang w:val="en-GB"/>
              </w:rPr>
              <w:t>《福清市生态功能区划》</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lang w:val="en-GB"/>
              </w:rPr>
              <w:t>2003年</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pacing w:val="0"/>
                <w:w w:val="100"/>
                <w:position w:val="0"/>
                <w:sz w:val="24"/>
                <w:szCs w:val="24"/>
                <w:u w:val="none"/>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ascii="Times New Roman" w:hAnsi="Times New Roman" w:cs="Times New Roman"/>
                <w:color w:val="auto"/>
                <w:sz w:val="24"/>
                <w:szCs w:val="24"/>
                <w:highlight w:val="none"/>
                <w:u w:val="none"/>
                <w:lang w:val="en-US" w:eastAsia="zh-CN"/>
              </w:rPr>
              <w:t>购置福清市阳下街道均和云谷·福清科技港39号厂房）</w:t>
            </w:r>
            <w:r>
              <w:rPr>
                <w:rFonts w:hint="default" w:ascii="Times New Roman" w:hAnsi="Times New Roman" w:eastAsia="宋体" w:cs="Times New Roman"/>
                <w:color w:val="auto"/>
                <w:spacing w:val="0"/>
                <w:sz w:val="24"/>
                <w:szCs w:val="24"/>
                <w:highlight w:val="none"/>
                <w:u w:val="none"/>
                <w:lang w:eastAsia="zh-CN"/>
              </w:rPr>
              <w:t>内</w:t>
            </w:r>
            <w:r>
              <w:rPr>
                <w:rFonts w:hint="default" w:ascii="Times New Roman" w:hAnsi="Times New Roman" w:eastAsia="宋体" w:cs="Times New Roman"/>
                <w:color w:val="auto"/>
                <w:spacing w:val="0"/>
                <w:w w:val="100"/>
                <w:position w:val="0"/>
                <w:sz w:val="24"/>
                <w:szCs w:val="24"/>
                <w:u w:val="none"/>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14:paraId="4C109043">
            <w:pPr>
              <w:pStyle w:val="33"/>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left"/>
              <w:textAlignment w:val="baseline"/>
              <w:rPr>
                <w:rFonts w:hint="default" w:ascii="Times New Roman" w:hAnsi="Times New Roman" w:eastAsia="宋体" w:cs="Times New Roman"/>
                <w:color w:val="auto"/>
                <w:spacing w:val="0"/>
                <w:w w:val="100"/>
                <w:position w:val="0"/>
                <w:sz w:val="24"/>
                <w:szCs w:val="24"/>
                <w:u w:val="none"/>
              </w:rPr>
            </w:pPr>
            <w:r>
              <w:rPr>
                <w:rFonts w:hint="eastAsia" w:ascii="Times New Roman" w:hAnsi="Times New Roman" w:cs="Times New Roman"/>
                <w:color w:val="auto"/>
                <w:spacing w:val="0"/>
                <w:w w:val="100"/>
                <w:position w:val="0"/>
                <w:sz w:val="24"/>
                <w:szCs w:val="24"/>
                <w:u w:val="none"/>
                <w:lang w:eastAsia="zh-CN"/>
              </w:rPr>
              <w:t>（</w:t>
            </w:r>
            <w:r>
              <w:rPr>
                <w:rFonts w:hint="eastAsia" w:ascii="Times New Roman" w:hAnsi="Times New Roman" w:cs="Times New Roman"/>
                <w:color w:val="auto"/>
                <w:spacing w:val="0"/>
                <w:w w:val="100"/>
                <w:position w:val="0"/>
                <w:sz w:val="24"/>
                <w:szCs w:val="24"/>
                <w:u w:val="none"/>
                <w:lang w:val="en-US" w:eastAsia="zh-CN"/>
              </w:rPr>
              <w:t>2</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环境质量底线</w:t>
            </w:r>
          </w:p>
          <w:p w14:paraId="340F55DB">
            <w:pPr>
              <w:keepNext w:val="0"/>
              <w:keepLines w:val="0"/>
              <w:pageBreakBefore w:val="0"/>
              <w:widowControl w:val="0"/>
              <w:kinsoku/>
              <w:wordWrap/>
              <w:overflowPunct/>
              <w:topLinePunct w:val="0"/>
              <w:bidi w:val="0"/>
              <w:adjustRightInd w:val="0"/>
              <w:snapToGrid w:val="0"/>
              <w:spacing w:line="360" w:lineRule="auto"/>
              <w:ind w:left="0" w:right="0" w:firstLine="480" w:firstLineChars="200"/>
              <w:jc w:val="left"/>
              <w:textAlignment w:val="auto"/>
              <w:rPr>
                <w:rFonts w:hint="eastAsia" w:ascii="Times New Roman" w:hAnsi="Times New Roman" w:eastAsia="宋体" w:cs="Times New Roman"/>
                <w:color w:val="auto"/>
                <w:spacing w:val="0"/>
                <w:sz w:val="24"/>
                <w:szCs w:val="24"/>
                <w:highlight w:val="none"/>
                <w:u w:val="none"/>
                <w:lang w:eastAsia="zh-CN"/>
              </w:rPr>
            </w:pPr>
            <w:r>
              <w:rPr>
                <w:rFonts w:hint="default" w:ascii="Times New Roman" w:hAnsi="Times New Roman" w:eastAsia="宋体" w:cs="Times New Roman"/>
                <w:color w:val="auto"/>
                <w:spacing w:val="0"/>
                <w:sz w:val="24"/>
                <w:szCs w:val="24"/>
                <w:highlight w:val="none"/>
                <w:u w:val="none"/>
                <w:lang w:eastAsia="zh-CN"/>
              </w:rPr>
              <w:t>项目所在区域环境质量底线：环境空气质量目标为《环境空气质量标准》（GB3095-2012）及修改单中的二级</w:t>
            </w:r>
            <w:r>
              <w:rPr>
                <w:rFonts w:hint="eastAsia" w:ascii="Times New Roman" w:hAnsi="Times New Roman" w:eastAsia="宋体" w:cs="Times New Roman"/>
                <w:color w:val="auto"/>
                <w:spacing w:val="0"/>
                <w:sz w:val="24"/>
                <w:szCs w:val="24"/>
                <w:highlight w:val="none"/>
                <w:u w:val="none"/>
                <w:lang w:eastAsia="zh-CN"/>
              </w:rPr>
              <w:t>标准</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周边罗汉溪地表水环境质量目标为《地表水环境质量标准》（</w:t>
            </w:r>
            <w:r>
              <w:rPr>
                <w:rFonts w:hint="default" w:ascii="Times New Roman" w:hAnsi="Times New Roman" w:eastAsia="宋体" w:cs="Times New Roman"/>
                <w:color w:val="auto"/>
                <w:spacing w:val="0"/>
                <w:sz w:val="24"/>
                <w:szCs w:val="24"/>
                <w:highlight w:val="none"/>
                <w:u w:val="none"/>
                <w:lang w:eastAsia="zh-CN"/>
              </w:rPr>
              <w:t>GB3838-2002</w:t>
            </w:r>
            <w:r>
              <w:rPr>
                <w:rFonts w:hint="eastAsia" w:ascii="Times New Roman" w:hAnsi="Times New Roman" w:eastAsia="宋体" w:cs="Times New Roman"/>
                <w:color w:val="auto"/>
                <w:spacing w:val="0"/>
                <w:sz w:val="24"/>
                <w:szCs w:val="24"/>
                <w:highlight w:val="none"/>
                <w:u w:val="none"/>
                <w:lang w:eastAsia="zh-CN"/>
              </w:rPr>
              <w:t>）中Ⅳ类水质标准</w:t>
            </w:r>
            <w:r>
              <w:rPr>
                <w:rFonts w:hint="default" w:ascii="Times New Roman" w:hAnsi="Times New Roman" w:eastAsia="宋体" w:cs="Times New Roman"/>
                <w:color w:val="auto"/>
                <w:spacing w:val="0"/>
                <w:sz w:val="24"/>
                <w:szCs w:val="24"/>
                <w:highlight w:val="none"/>
                <w:u w:val="none"/>
                <w:lang w:eastAsia="zh-CN"/>
              </w:rPr>
              <w:t>；声环境质量目标为《声环境质量标准》（GB3096-2008）</w:t>
            </w:r>
            <w:r>
              <w:rPr>
                <w:rFonts w:hint="eastAsia" w:ascii="Times New Roman" w:hAnsi="Times New Roman" w:eastAsia="宋体" w:cs="Times New Roman"/>
                <w:color w:val="auto"/>
                <w:spacing w:val="0"/>
                <w:sz w:val="24"/>
                <w:szCs w:val="24"/>
                <w:highlight w:val="none"/>
                <w:u w:val="none"/>
                <w:lang w:eastAsia="zh-CN"/>
              </w:rPr>
              <w:t>3</w:t>
            </w:r>
            <w:r>
              <w:rPr>
                <w:rFonts w:hint="default" w:ascii="Times New Roman" w:hAnsi="Times New Roman" w:eastAsia="宋体" w:cs="Times New Roman"/>
                <w:color w:val="auto"/>
                <w:spacing w:val="0"/>
                <w:sz w:val="24"/>
                <w:szCs w:val="24"/>
                <w:highlight w:val="none"/>
                <w:u w:val="none"/>
                <w:lang w:eastAsia="zh-CN"/>
              </w:rPr>
              <w:t>类</w:t>
            </w:r>
            <w:r>
              <w:rPr>
                <w:rFonts w:hint="eastAsia" w:ascii="Times New Roman" w:hAnsi="Times New Roman" w:eastAsia="宋体" w:cs="Times New Roman"/>
                <w:color w:val="auto"/>
                <w:spacing w:val="0"/>
                <w:sz w:val="24"/>
                <w:szCs w:val="24"/>
                <w:highlight w:val="none"/>
                <w:u w:val="none"/>
                <w:lang w:eastAsia="zh-CN"/>
              </w:rPr>
              <w:t>。</w:t>
            </w:r>
          </w:p>
          <w:p w14:paraId="3010BDB1">
            <w:pPr>
              <w:keepNext w:val="0"/>
              <w:keepLines w:val="0"/>
              <w:pageBreakBefore w:val="0"/>
              <w:widowControl w:val="0"/>
              <w:kinsoku/>
              <w:wordWrap/>
              <w:overflowPunct/>
              <w:topLinePunct w:val="0"/>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pacing w:val="0"/>
                <w:sz w:val="24"/>
                <w:szCs w:val="24"/>
                <w:highlight w:val="none"/>
                <w:u w:val="none"/>
                <w:lang w:eastAsia="zh-CN"/>
              </w:rPr>
            </w:pPr>
            <w:r>
              <w:rPr>
                <w:rFonts w:hint="eastAsia" w:cs="Times New Roman"/>
                <w:color w:val="auto"/>
                <w:spacing w:val="0"/>
                <w:sz w:val="24"/>
                <w:szCs w:val="24"/>
                <w:highlight w:val="none"/>
                <w:u w:val="none"/>
                <w:lang w:val="en-US" w:eastAsia="zh-CN"/>
              </w:rPr>
              <w:t>本项目运营期冷却水循环使用不外排；喷粉前清洗水经过自建废水处理设施处理后回用于清洗工序，不外排；生活污水经化粪池预处理后，排入市政污水管网纳入福清市融元污水处理厂</w:t>
            </w:r>
            <w:r>
              <w:rPr>
                <w:rFonts w:hint="eastAsia" w:ascii="Times New Roman" w:hAnsi="Times New Roman" w:eastAsia="宋体" w:cs="Times New Roman"/>
                <w:color w:val="auto"/>
                <w:spacing w:val="0"/>
                <w:sz w:val="24"/>
                <w:szCs w:val="24"/>
                <w:highlight w:val="none"/>
                <w:u w:val="none"/>
                <w:lang w:eastAsia="zh-CN"/>
              </w:rPr>
              <w:t>进行集中</w:t>
            </w:r>
            <w:r>
              <w:rPr>
                <w:rFonts w:hint="default" w:ascii="Times New Roman" w:hAnsi="Times New Roman" w:eastAsia="宋体" w:cs="Times New Roman"/>
                <w:color w:val="auto"/>
                <w:spacing w:val="0"/>
                <w:sz w:val="24"/>
                <w:szCs w:val="24"/>
                <w:highlight w:val="none"/>
                <w:u w:val="none"/>
                <w:lang w:eastAsia="zh-CN"/>
              </w:rPr>
              <w:t>处理</w:t>
            </w:r>
            <w:r>
              <w:rPr>
                <w:rFonts w:hint="eastAsia" w:ascii="Times New Roman" w:hAnsi="Times New Roman" w:eastAsia="宋体" w:cs="Times New Roman"/>
                <w:color w:val="auto"/>
                <w:spacing w:val="0"/>
                <w:sz w:val="24"/>
                <w:szCs w:val="24"/>
                <w:highlight w:val="none"/>
                <w:u w:val="none"/>
                <w:lang w:eastAsia="zh-CN"/>
              </w:rPr>
              <w:t>。产生的废水均不直接进入水体，</w:t>
            </w:r>
            <w:r>
              <w:rPr>
                <w:rFonts w:hint="default" w:ascii="Times New Roman" w:hAnsi="Times New Roman" w:eastAsia="宋体" w:cs="Times New Roman"/>
                <w:color w:val="auto"/>
                <w:spacing w:val="0"/>
                <w:sz w:val="24"/>
                <w:szCs w:val="24"/>
                <w:highlight w:val="none"/>
                <w:u w:val="none"/>
                <w:lang w:eastAsia="zh-CN"/>
              </w:rPr>
              <w:t>对区域水环境影响不大</w:t>
            </w:r>
            <w:r>
              <w:rPr>
                <w:rFonts w:hint="eastAsia" w:ascii="Times New Roman" w:hAnsi="Times New Roman" w:eastAsia="宋体" w:cs="Times New Roman"/>
                <w:color w:val="auto"/>
                <w:spacing w:val="0"/>
                <w:sz w:val="24"/>
                <w:szCs w:val="24"/>
                <w:highlight w:val="none"/>
                <w:u w:val="none"/>
                <w:lang w:eastAsia="zh-CN"/>
              </w:rPr>
              <w:t>。产生的废气采取相应的废气治理措施处理后达标排放，对周边环境的影响可接受。在采取隔声、降噪、减振以及合理布局等相应的噪声治理措施后</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噪声源对</w:t>
            </w:r>
            <w:r>
              <w:rPr>
                <w:rFonts w:hint="default" w:ascii="Times New Roman" w:hAnsi="Times New Roman" w:eastAsia="宋体" w:cs="Times New Roman"/>
                <w:color w:val="auto"/>
                <w:spacing w:val="0"/>
                <w:sz w:val="24"/>
                <w:szCs w:val="24"/>
                <w:highlight w:val="none"/>
                <w:u w:val="none"/>
                <w:lang w:eastAsia="zh-CN"/>
              </w:rPr>
              <w:t>厂界的贡献值</w:t>
            </w:r>
            <w:r>
              <w:rPr>
                <w:rFonts w:hint="eastAsia" w:ascii="Times New Roman" w:hAnsi="Times New Roman" w:eastAsia="宋体" w:cs="Times New Roman"/>
                <w:color w:val="auto"/>
                <w:spacing w:val="0"/>
                <w:sz w:val="24"/>
                <w:szCs w:val="24"/>
                <w:highlight w:val="none"/>
                <w:u w:val="none"/>
                <w:lang w:eastAsia="zh-CN"/>
              </w:rPr>
              <w:t>可以满足噪声排放标准限值要求</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全厂</w:t>
            </w:r>
            <w:r>
              <w:rPr>
                <w:rFonts w:hint="default" w:ascii="Times New Roman" w:hAnsi="Times New Roman" w:eastAsia="宋体" w:cs="Times New Roman"/>
                <w:color w:val="auto"/>
                <w:spacing w:val="0"/>
                <w:sz w:val="24"/>
                <w:szCs w:val="24"/>
                <w:highlight w:val="none"/>
                <w:u w:val="none"/>
                <w:lang w:eastAsia="zh-CN"/>
              </w:rPr>
              <w:t>各类固废均得到合理处置</w:t>
            </w:r>
            <w:r>
              <w:rPr>
                <w:rFonts w:hint="eastAsia" w:ascii="Times New Roman" w:hAnsi="Times New Roman" w:eastAsia="宋体" w:cs="Times New Roman"/>
                <w:color w:val="auto"/>
                <w:spacing w:val="0"/>
                <w:sz w:val="24"/>
                <w:szCs w:val="24"/>
                <w:highlight w:val="none"/>
                <w:u w:val="none"/>
                <w:lang w:eastAsia="zh-CN"/>
              </w:rPr>
              <w:t>，</w:t>
            </w:r>
            <w:r>
              <w:rPr>
                <w:rFonts w:hint="default" w:ascii="Times New Roman" w:hAnsi="Times New Roman" w:eastAsia="宋体" w:cs="Times New Roman"/>
                <w:color w:val="auto"/>
                <w:spacing w:val="0"/>
                <w:sz w:val="24"/>
                <w:szCs w:val="24"/>
                <w:highlight w:val="none"/>
                <w:u w:val="none"/>
                <w:lang w:eastAsia="zh-CN"/>
              </w:rPr>
              <w:t>不会对周边环境产生影响。</w:t>
            </w:r>
            <w:r>
              <w:rPr>
                <w:rFonts w:hint="eastAsia" w:ascii="Times New Roman" w:hAnsi="Times New Roman" w:eastAsia="宋体" w:cs="Times New Roman"/>
                <w:color w:val="auto"/>
                <w:spacing w:val="0"/>
                <w:sz w:val="24"/>
                <w:szCs w:val="24"/>
                <w:highlight w:val="none"/>
                <w:u w:val="none"/>
                <w:lang w:eastAsia="zh-CN"/>
              </w:rPr>
              <w:t>因此，在</w:t>
            </w:r>
            <w:r>
              <w:rPr>
                <w:rFonts w:hint="default" w:ascii="Times New Roman" w:hAnsi="Times New Roman" w:eastAsia="宋体" w:cs="Times New Roman"/>
                <w:color w:val="auto"/>
                <w:spacing w:val="0"/>
                <w:sz w:val="24"/>
                <w:szCs w:val="24"/>
                <w:highlight w:val="none"/>
                <w:u w:val="none"/>
                <w:lang w:eastAsia="zh-CN"/>
              </w:rPr>
              <w:t>采取相关</w:t>
            </w:r>
            <w:r>
              <w:rPr>
                <w:rFonts w:hint="eastAsia" w:ascii="Times New Roman" w:hAnsi="Times New Roman" w:eastAsia="宋体" w:cs="Times New Roman"/>
                <w:color w:val="auto"/>
                <w:spacing w:val="0"/>
                <w:sz w:val="24"/>
                <w:szCs w:val="24"/>
                <w:highlight w:val="none"/>
                <w:u w:val="none"/>
                <w:lang w:eastAsia="zh-CN"/>
              </w:rPr>
              <w:t>污染</w:t>
            </w:r>
            <w:r>
              <w:rPr>
                <w:rFonts w:hint="default" w:ascii="Times New Roman" w:hAnsi="Times New Roman" w:eastAsia="宋体" w:cs="Times New Roman"/>
                <w:color w:val="auto"/>
                <w:spacing w:val="0"/>
                <w:sz w:val="24"/>
                <w:szCs w:val="24"/>
                <w:highlight w:val="none"/>
                <w:u w:val="none"/>
                <w:lang w:eastAsia="zh-CN"/>
              </w:rPr>
              <w:t>防治</w:t>
            </w:r>
            <w:r>
              <w:rPr>
                <w:rFonts w:hint="eastAsia" w:ascii="Times New Roman" w:hAnsi="Times New Roman" w:eastAsia="宋体" w:cs="Times New Roman"/>
                <w:color w:val="auto"/>
                <w:spacing w:val="0"/>
                <w:sz w:val="24"/>
                <w:szCs w:val="24"/>
                <w:highlight w:val="none"/>
                <w:u w:val="none"/>
                <w:lang w:eastAsia="zh-CN"/>
              </w:rPr>
              <w:t>治理</w:t>
            </w:r>
            <w:r>
              <w:rPr>
                <w:rFonts w:hint="default" w:ascii="Times New Roman" w:hAnsi="Times New Roman" w:eastAsia="宋体" w:cs="Times New Roman"/>
                <w:color w:val="auto"/>
                <w:spacing w:val="0"/>
                <w:sz w:val="24"/>
                <w:szCs w:val="24"/>
                <w:highlight w:val="none"/>
                <w:u w:val="none"/>
                <w:lang w:eastAsia="zh-CN"/>
              </w:rPr>
              <w:t>措施后，项目排放的污染物不会突破区域的环境质量底线。因此，项目建设符合环境功能规划。</w:t>
            </w:r>
          </w:p>
          <w:p w14:paraId="6711E3D9">
            <w:pPr>
              <w:pStyle w:val="33"/>
              <w:keepNext w:val="0"/>
              <w:keepLines w:val="0"/>
              <w:pageBreakBefore w:val="0"/>
              <w:wordWrap/>
              <w:overflowPunct/>
              <w:topLinePunct w:val="0"/>
              <w:bidi w:val="0"/>
              <w:adjustRightInd/>
              <w:snapToGrid/>
              <w:spacing w:line="360" w:lineRule="auto"/>
              <w:ind w:left="0" w:right="0" w:firstLine="480" w:firstLineChars="200"/>
              <w:jc w:val="left"/>
              <w:rPr>
                <w:rFonts w:hint="default" w:ascii="Times New Roman" w:hAnsi="Times New Roman" w:eastAsia="宋体" w:cs="Times New Roman"/>
                <w:color w:val="auto"/>
                <w:spacing w:val="0"/>
                <w:w w:val="100"/>
                <w:position w:val="0"/>
                <w:sz w:val="24"/>
                <w:szCs w:val="24"/>
                <w:u w:val="none"/>
              </w:rPr>
            </w:pPr>
            <w:r>
              <w:rPr>
                <w:rFonts w:hint="eastAsia" w:ascii="Times New Roman" w:hAnsi="Times New Roman" w:cs="Times New Roman"/>
                <w:color w:val="auto"/>
                <w:spacing w:val="0"/>
                <w:w w:val="100"/>
                <w:position w:val="0"/>
                <w:sz w:val="24"/>
                <w:szCs w:val="24"/>
                <w:u w:val="none"/>
                <w:lang w:eastAsia="zh-CN"/>
              </w:rPr>
              <w:t>（</w:t>
            </w:r>
            <w:r>
              <w:rPr>
                <w:rFonts w:hint="eastAsia" w:ascii="Times New Roman" w:hAnsi="Times New Roman" w:cs="Times New Roman"/>
                <w:color w:val="auto"/>
                <w:spacing w:val="0"/>
                <w:w w:val="100"/>
                <w:position w:val="0"/>
                <w:sz w:val="24"/>
                <w:szCs w:val="24"/>
                <w:u w:val="none"/>
                <w:lang w:val="en-US" w:eastAsia="zh-CN"/>
              </w:rPr>
              <w:t>3</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资源利用上线：项目用电为区域集中供应，项目的水、气等资源利用不会突破区域的资源利用上线。本项目使用电能作为主要消耗能源，电能属于清洁能源。</w:t>
            </w:r>
            <w:r>
              <w:rPr>
                <w:rFonts w:hint="eastAsia"/>
                <w:color w:val="000000"/>
                <w:szCs w:val="21"/>
              </w:rPr>
              <w:t>项目资源的消耗量不大，不属于高耗能资源消耗型企业。项目建成运行后通过内部管理、设备选择、原辅材料的选用和管理、污染治理等多方面采取合理、可行、有效的防治措施，以“节能、降耗、减污”为目标，可有效控制污染及资源利用水平。项目不会突破区域资源利用</w:t>
            </w:r>
            <w:r>
              <w:rPr>
                <w:rFonts w:hint="eastAsia"/>
                <w:color w:val="000000"/>
                <w:szCs w:val="21"/>
                <w:lang w:eastAsia="zh-CN"/>
              </w:rPr>
              <w:t>上限</w:t>
            </w:r>
          </w:p>
          <w:p w14:paraId="0BC2C29F">
            <w:pPr>
              <w:pStyle w:val="33"/>
              <w:keepNext w:val="0"/>
              <w:keepLines w:val="0"/>
              <w:pageBreakBefore w:val="0"/>
              <w:wordWrap/>
              <w:overflowPunct/>
              <w:topLinePunct w:val="0"/>
              <w:bidi w:val="0"/>
              <w:adjustRightInd/>
              <w:snapToGrid/>
              <w:spacing w:line="360" w:lineRule="auto"/>
              <w:ind w:left="0" w:right="0" w:firstLine="480" w:firstLineChars="200"/>
              <w:jc w:val="left"/>
              <w:rPr>
                <w:rFonts w:hint="default" w:ascii="Times New Roman" w:hAnsi="Times New Roman" w:eastAsia="宋体" w:cs="Times New Roman"/>
                <w:color w:val="auto"/>
                <w:spacing w:val="0"/>
                <w:w w:val="100"/>
                <w:position w:val="0"/>
                <w:sz w:val="24"/>
                <w:szCs w:val="24"/>
                <w:u w:val="none"/>
              </w:rPr>
            </w:pPr>
            <w:r>
              <w:rPr>
                <w:rFonts w:hint="eastAsia" w:ascii="Times New Roman" w:hAnsi="Times New Roman" w:cs="Times New Roman"/>
                <w:color w:val="auto"/>
                <w:spacing w:val="0"/>
                <w:w w:val="100"/>
                <w:position w:val="0"/>
                <w:sz w:val="24"/>
                <w:szCs w:val="24"/>
                <w:u w:val="none"/>
                <w:lang w:eastAsia="zh-CN"/>
              </w:rPr>
              <w:t>（</w:t>
            </w:r>
            <w:r>
              <w:rPr>
                <w:rFonts w:hint="eastAsia" w:ascii="Times New Roman" w:hAnsi="Times New Roman" w:cs="Times New Roman"/>
                <w:color w:val="auto"/>
                <w:spacing w:val="0"/>
                <w:w w:val="100"/>
                <w:position w:val="0"/>
                <w:sz w:val="24"/>
                <w:szCs w:val="24"/>
                <w:u w:val="none"/>
                <w:lang w:val="en-US" w:eastAsia="zh-CN"/>
              </w:rPr>
              <w:t>4</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环境准入负面清单</w:t>
            </w:r>
          </w:p>
          <w:p w14:paraId="446B924E">
            <w:pPr>
              <w:pStyle w:val="33"/>
              <w:keepNext w:val="0"/>
              <w:keepLines w:val="0"/>
              <w:pageBreakBefore w:val="0"/>
              <w:wordWrap/>
              <w:overflowPunct/>
              <w:topLinePunct w:val="0"/>
              <w:bidi w:val="0"/>
              <w:adjustRightInd/>
              <w:snapToGrid/>
              <w:spacing w:line="360" w:lineRule="auto"/>
              <w:ind w:left="0" w:right="0" w:firstLine="480" w:firstLineChars="200"/>
              <w:jc w:val="left"/>
              <w:rPr>
                <w:rFonts w:hint="default" w:ascii="Times New Roman" w:hAnsi="Times New Roman" w:eastAsia="宋体" w:cs="Times New Roman"/>
                <w:color w:val="auto"/>
                <w:spacing w:val="0"/>
                <w:w w:val="100"/>
                <w:position w:val="0"/>
                <w:sz w:val="24"/>
                <w:szCs w:val="24"/>
                <w:u w:val="none"/>
                <w:lang w:eastAsia="zh-CN"/>
              </w:rPr>
            </w:pPr>
            <w:r>
              <w:rPr>
                <w:rFonts w:hint="default" w:ascii="Times New Roman" w:hAnsi="Times New Roman" w:eastAsia="宋体" w:cs="Times New Roman"/>
                <w:color w:val="auto"/>
                <w:spacing w:val="0"/>
                <w:w w:val="100"/>
                <w:position w:val="0"/>
                <w:sz w:val="24"/>
                <w:szCs w:val="24"/>
                <w:u w:val="none"/>
              </w:rPr>
              <w:t>本项目不属于《</w:t>
            </w:r>
            <w:r>
              <w:rPr>
                <w:rFonts w:hint="default" w:ascii="Times New Roman" w:hAnsi="Times New Roman" w:eastAsia="宋体" w:cs="Times New Roman"/>
                <w:color w:val="auto"/>
                <w:spacing w:val="0"/>
                <w:w w:val="100"/>
                <w:position w:val="0"/>
                <w:sz w:val="24"/>
                <w:szCs w:val="24"/>
                <w:u w:val="none"/>
                <w:lang w:eastAsia="zh-CN"/>
              </w:rPr>
              <w:t>产业结构调整指导目录</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lang w:val="en-US" w:eastAsia="zh-CN"/>
              </w:rPr>
              <w:t>2024</w:t>
            </w:r>
            <w:r>
              <w:rPr>
                <w:rFonts w:hint="eastAsia" w:ascii="Times New Roman" w:hAnsi="Times New Roman" w:cs="Times New Roman"/>
                <w:color w:val="auto"/>
                <w:spacing w:val="0"/>
                <w:w w:val="100"/>
                <w:position w:val="0"/>
                <w:sz w:val="24"/>
                <w:szCs w:val="24"/>
                <w:u w:val="none"/>
                <w:lang w:val="en-US" w:eastAsia="zh-CN"/>
              </w:rPr>
              <w:t>）</w:t>
            </w:r>
            <w:r>
              <w:rPr>
                <w:rFonts w:hint="default" w:ascii="Times New Roman" w:hAnsi="Times New Roman" w:eastAsia="宋体" w:cs="Times New Roman"/>
                <w:color w:val="auto"/>
                <w:spacing w:val="0"/>
                <w:w w:val="100"/>
                <w:position w:val="0"/>
                <w:sz w:val="24"/>
                <w:szCs w:val="24"/>
                <w:u w:val="none"/>
              </w:rPr>
              <w:t>》中限制或淘汰类；满足《市场准入负面清单草案</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试点版</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发改经体〔2016〕442号</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；项目无行业准入条件；不属于《福建省人民政府关于加强重点流域水环境</w:t>
            </w:r>
            <w:r>
              <w:rPr>
                <w:rFonts w:hint="default" w:ascii="Times New Roman" w:hAnsi="Times New Roman" w:eastAsia="宋体" w:cs="Times New Roman"/>
                <w:color w:val="auto"/>
                <w:spacing w:val="0"/>
                <w:w w:val="100"/>
                <w:position w:val="0"/>
                <w:sz w:val="24"/>
                <w:szCs w:val="24"/>
                <w:u w:val="none"/>
                <w:lang w:eastAsia="zh-CN"/>
              </w:rPr>
              <w:t>综合</w:t>
            </w:r>
            <w:r>
              <w:rPr>
                <w:rFonts w:hint="default" w:ascii="Times New Roman" w:hAnsi="Times New Roman" w:eastAsia="宋体" w:cs="Times New Roman"/>
                <w:color w:val="auto"/>
                <w:spacing w:val="0"/>
                <w:w w:val="100"/>
                <w:position w:val="0"/>
                <w:sz w:val="24"/>
                <w:szCs w:val="24"/>
                <w:u w:val="none"/>
              </w:rPr>
              <w:t>整治的意见》中禁止的产业；满足《福建省工业建设项目投资强度控制指标》相关要求；</w:t>
            </w:r>
            <w:r>
              <w:rPr>
                <w:rFonts w:hint="default" w:ascii="Times New Roman" w:hAnsi="Times New Roman" w:eastAsia="宋体" w:cs="Times New Roman"/>
                <w:color w:val="auto"/>
                <w:sz w:val="24"/>
                <w:szCs w:val="24"/>
                <w:u w:val="none"/>
                <w:lang w:eastAsia="zh-CN"/>
              </w:rPr>
              <w:t>项目符合国家产业政策，符合《福建省人民政府关于实施</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lang w:eastAsia="zh-CN"/>
              </w:rPr>
              <w:t>三线一单</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lang w:eastAsia="zh-CN"/>
              </w:rPr>
              <w:t>生态环境分区管控的通知</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lang w:eastAsia="zh-CN"/>
              </w:rPr>
              <w:t>闽政〔2020〕12号</w:t>
            </w:r>
            <w:r>
              <w:rPr>
                <w:rFonts w:hint="eastAsia"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lang w:eastAsia="zh-CN"/>
              </w:rPr>
              <w:t>》全省生态环境总体准入要求及</w:t>
            </w:r>
            <w:r>
              <w:rPr>
                <w:rFonts w:hint="default" w:ascii="Times New Roman" w:hAnsi="Times New Roman" w:eastAsia="宋体" w:cs="Times New Roman"/>
                <w:color w:val="auto"/>
                <w:sz w:val="24"/>
                <w:szCs w:val="24"/>
                <w:u w:val="none"/>
              </w:rPr>
              <w:t>《</w:t>
            </w:r>
            <w:r>
              <w:rPr>
                <w:rFonts w:hint="default" w:ascii="Times New Roman" w:hAnsi="Times New Roman" w:eastAsia="宋体" w:cs="Times New Roman"/>
                <w:color w:val="auto"/>
                <w:sz w:val="24"/>
                <w:szCs w:val="24"/>
                <w:u w:val="none"/>
                <w:lang w:val="en-GB" w:eastAsia="zh-CN"/>
              </w:rPr>
              <w:t>福州市人民政府关于实施“</w:t>
            </w:r>
            <w:r>
              <w:rPr>
                <w:rFonts w:hint="default" w:ascii="Times New Roman" w:hAnsi="Times New Roman" w:eastAsia="宋体" w:cs="Times New Roman"/>
                <w:color w:val="auto"/>
                <w:spacing w:val="0"/>
                <w:w w:val="100"/>
                <w:position w:val="0"/>
                <w:sz w:val="24"/>
                <w:szCs w:val="24"/>
                <w:u w:val="none"/>
                <w:lang w:val="en-GB" w:eastAsia="zh-CN"/>
              </w:rPr>
              <w:t>三线一单”生态分区管控的通知</w:t>
            </w:r>
            <w:r>
              <w:rPr>
                <w:rFonts w:hint="default" w:ascii="Times New Roman" w:hAnsi="Times New Roman" w:eastAsia="宋体" w:cs="Times New Roman"/>
                <w:color w:val="auto"/>
                <w:spacing w:val="0"/>
                <w:w w:val="100"/>
                <w:position w:val="0"/>
                <w:sz w:val="24"/>
                <w:szCs w:val="24"/>
                <w:u w:val="none"/>
              </w:rPr>
              <w:t>》</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rPr>
              <w:t>榕政综〔2021〕178号</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lang w:val="en-US" w:eastAsia="zh-CN"/>
              </w:rPr>
              <w:t>《</w:t>
            </w:r>
            <w:r>
              <w:rPr>
                <w:rFonts w:hint="eastAsia" w:ascii="Times New Roman" w:hAnsi="Times New Roman" w:cs="Times New Roman"/>
                <w:color w:val="auto"/>
                <w:spacing w:val="0"/>
                <w:w w:val="100"/>
                <w:position w:val="0"/>
                <w:sz w:val="24"/>
                <w:szCs w:val="24"/>
                <w:u w:val="none"/>
                <w:lang w:val="en-US" w:eastAsia="zh-CN"/>
              </w:rPr>
              <w:t>福州市生态环境局关于发布福州市2024年生产环境分区管控动态更新成果的通知</w:t>
            </w:r>
            <w:r>
              <w:rPr>
                <w:rFonts w:hint="default" w:ascii="Times New Roman" w:hAnsi="Times New Roman" w:eastAsia="宋体" w:cs="Times New Roman"/>
                <w:color w:val="auto"/>
                <w:spacing w:val="0"/>
                <w:w w:val="100"/>
                <w:position w:val="0"/>
                <w:sz w:val="24"/>
                <w:szCs w:val="24"/>
                <w:u w:val="none"/>
                <w:lang w:val="en-US" w:eastAsia="zh-CN"/>
              </w:rPr>
              <w:t>》</w:t>
            </w:r>
            <w:r>
              <w:rPr>
                <w:rFonts w:hint="eastAsia" w:ascii="Times New Roman" w:hAnsi="Times New Roman" w:cs="Times New Roman"/>
                <w:color w:val="auto"/>
                <w:spacing w:val="0"/>
                <w:w w:val="100"/>
                <w:position w:val="0"/>
                <w:sz w:val="24"/>
                <w:szCs w:val="24"/>
                <w:u w:val="none"/>
                <w:lang w:val="en-US" w:eastAsia="zh-CN"/>
              </w:rPr>
              <w:t>（榕环保综</w:t>
            </w:r>
            <w:r>
              <w:rPr>
                <w:rFonts w:hint="default" w:ascii="Times New Roman" w:hAnsi="Times New Roman" w:eastAsia="宋体" w:cs="Times New Roman"/>
                <w:color w:val="auto"/>
                <w:spacing w:val="0"/>
                <w:w w:val="100"/>
                <w:position w:val="0"/>
                <w:sz w:val="24"/>
                <w:szCs w:val="24"/>
                <w:u w:val="none"/>
              </w:rPr>
              <w:t>〔202</w:t>
            </w:r>
            <w:r>
              <w:rPr>
                <w:rFonts w:hint="eastAsia" w:ascii="Times New Roman" w:hAnsi="Times New Roman" w:cs="Times New Roman"/>
                <w:color w:val="auto"/>
                <w:spacing w:val="0"/>
                <w:w w:val="100"/>
                <w:position w:val="0"/>
                <w:sz w:val="24"/>
                <w:szCs w:val="24"/>
                <w:u w:val="none"/>
                <w:lang w:val="en-US" w:eastAsia="zh-CN"/>
              </w:rPr>
              <w:t>5</w:t>
            </w:r>
            <w:r>
              <w:rPr>
                <w:rFonts w:hint="default" w:ascii="Times New Roman" w:hAnsi="Times New Roman" w:eastAsia="宋体" w:cs="Times New Roman"/>
                <w:color w:val="auto"/>
                <w:spacing w:val="0"/>
                <w:w w:val="100"/>
                <w:position w:val="0"/>
                <w:sz w:val="24"/>
                <w:szCs w:val="24"/>
                <w:u w:val="none"/>
              </w:rPr>
              <w:t>〕</w:t>
            </w:r>
            <w:r>
              <w:rPr>
                <w:rFonts w:hint="eastAsia" w:ascii="Times New Roman" w:hAnsi="Times New Roman" w:cs="Times New Roman"/>
                <w:color w:val="auto"/>
                <w:spacing w:val="0"/>
                <w:w w:val="100"/>
                <w:position w:val="0"/>
                <w:sz w:val="24"/>
                <w:szCs w:val="24"/>
                <w:u w:val="none"/>
                <w:lang w:val="en-US" w:eastAsia="zh-CN"/>
              </w:rPr>
              <w:t>1号）</w:t>
            </w:r>
            <w:r>
              <w:rPr>
                <w:rFonts w:hint="default" w:ascii="Times New Roman" w:hAnsi="Times New Roman" w:eastAsia="宋体" w:cs="Times New Roman"/>
                <w:color w:val="auto"/>
                <w:spacing w:val="0"/>
                <w:w w:val="100"/>
                <w:position w:val="0"/>
                <w:sz w:val="24"/>
                <w:szCs w:val="24"/>
                <w:u w:val="none"/>
                <w:lang w:eastAsia="zh-CN"/>
              </w:rPr>
              <w:t>的要求；不属于《市场准入负面清单》</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lang w:eastAsia="zh-CN"/>
              </w:rPr>
              <w:t>2020年版</w:t>
            </w:r>
            <w:r>
              <w:rPr>
                <w:rFonts w:hint="eastAsia" w:ascii="Times New Roman" w:hAnsi="Times New Roman" w:cs="Times New Roman"/>
                <w:color w:val="auto"/>
                <w:spacing w:val="0"/>
                <w:w w:val="100"/>
                <w:position w:val="0"/>
                <w:sz w:val="24"/>
                <w:szCs w:val="24"/>
                <w:u w:val="none"/>
                <w:lang w:eastAsia="zh-CN"/>
              </w:rPr>
              <w:t>）</w:t>
            </w:r>
            <w:r>
              <w:rPr>
                <w:rFonts w:hint="default" w:ascii="Times New Roman" w:hAnsi="Times New Roman" w:eastAsia="宋体" w:cs="Times New Roman"/>
                <w:color w:val="auto"/>
                <w:spacing w:val="0"/>
                <w:w w:val="100"/>
                <w:position w:val="0"/>
                <w:sz w:val="24"/>
                <w:szCs w:val="24"/>
                <w:u w:val="none"/>
                <w:lang w:eastAsia="zh-CN"/>
              </w:rPr>
              <w:t>中禁止准入类的项目。</w:t>
            </w:r>
          </w:p>
          <w:p w14:paraId="7D0D9B12">
            <w:pPr>
              <w:pStyle w:val="32"/>
              <w:keepNext w:val="0"/>
              <w:keepLines w:val="0"/>
              <w:pageBreakBefore w:val="0"/>
              <w:widowControl w:val="0"/>
              <w:tabs>
                <w:tab w:val="left" w:pos="4347"/>
              </w:tabs>
              <w:kinsoku/>
              <w:wordWrap/>
              <w:overflowPunct/>
              <w:topLinePunct w:val="0"/>
              <w:autoSpaceDE w:val="0"/>
              <w:autoSpaceDN w:val="0"/>
              <w:bidi w:val="0"/>
              <w:adjustRightInd w:val="0"/>
              <w:snapToGrid w:val="0"/>
              <w:spacing w:line="360" w:lineRule="auto"/>
              <w:ind w:left="0" w:right="0" w:firstLine="482" w:firstLineChars="200"/>
              <w:jc w:val="left"/>
              <w:textAlignment w:val="auto"/>
              <w:outlineLvl w:val="9"/>
              <w:rPr>
                <w:rFonts w:hint="default" w:ascii="Times New Roman" w:hAnsi="Times New Roman" w:eastAsia="宋体" w:cs="Times New Roman"/>
                <w:b/>
                <w:color w:val="auto"/>
                <w:sz w:val="24"/>
                <w:szCs w:val="24"/>
                <w:highlight w:val="none"/>
                <w:u w:val="none"/>
                <w:lang w:val="en-US" w:eastAsia="zh-CN"/>
              </w:rPr>
            </w:pPr>
            <w:bookmarkStart w:id="15" w:name="_Toc24656"/>
            <w:r>
              <w:rPr>
                <w:rFonts w:hint="eastAsia" w:ascii="Times New Roman" w:cs="Times New Roman"/>
                <w:b/>
                <w:color w:val="auto"/>
                <w:sz w:val="24"/>
                <w:szCs w:val="24"/>
                <w:highlight w:val="none"/>
                <w:u w:val="none"/>
                <w:lang w:val="en-US" w:eastAsia="zh-CN"/>
              </w:rPr>
              <w:t>4.</w:t>
            </w:r>
            <w:bookmarkEnd w:id="15"/>
            <w:r>
              <w:rPr>
                <w:rFonts w:hint="default" w:ascii="Times New Roman" w:hAnsi="Times New Roman" w:eastAsia="宋体" w:cs="Times New Roman"/>
                <w:b/>
                <w:color w:val="auto"/>
                <w:sz w:val="24"/>
                <w:szCs w:val="24"/>
                <w:highlight w:val="none"/>
                <w:u w:val="none"/>
                <w:lang w:val="en-US" w:eastAsia="zh-CN"/>
              </w:rPr>
              <w:t>与省、市生态环境分区管控的要求的符合性分析</w:t>
            </w:r>
          </w:p>
          <w:p w14:paraId="6ACDE8FD">
            <w:pPr>
              <w:pStyle w:val="33"/>
              <w:keepNext w:val="0"/>
              <w:keepLines w:val="0"/>
              <w:pageBreakBefore w:val="0"/>
              <w:wordWrap/>
              <w:overflowPunct/>
              <w:topLinePunct w:val="0"/>
              <w:bidi w:val="0"/>
              <w:adjustRightInd/>
              <w:snapToGrid/>
              <w:spacing w:line="360" w:lineRule="auto"/>
              <w:ind w:left="0" w:right="0" w:firstLine="480" w:firstLineChars="200"/>
              <w:jc w:val="left"/>
              <w:rPr>
                <w:rFonts w:hint="default" w:ascii="Times New Roman" w:hAnsi="Times New Roman" w:eastAsia="宋体" w:cs="Times New Roman"/>
                <w:color w:val="auto"/>
                <w:sz w:val="24"/>
                <w:szCs w:val="24"/>
                <w:highlight w:val="none"/>
                <w:u w:val="none"/>
                <w:lang w:val="en-US" w:eastAsia="zh-CN"/>
              </w:rPr>
            </w:pPr>
            <w:r>
              <w:rPr>
                <w:rFonts w:hint="eastAsia" w:ascii="Times New Roman" w:hAnsi="Times New Roman"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《福建省人民政府关于实施“三线一单”生态环境分区管控的通知》(闽政(2020)12号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sz w:val="24"/>
                <w:szCs w:val="24"/>
                <w:lang w:val="en-US" w:eastAsia="zh-CN"/>
              </w:rPr>
              <w:t>和</w:t>
            </w:r>
            <w:r>
              <w:rPr>
                <w:rFonts w:hint="eastAsia" w:ascii="Times New Roman" w:hAnsi="Times New Roman"/>
                <w:sz w:val="24"/>
                <w:szCs w:val="24"/>
              </w:rPr>
              <w:t>《</w:t>
            </w:r>
            <w:r>
              <w:rPr>
                <w:rFonts w:hint="eastAsia" w:ascii="Times New Roman" w:hAnsi="Times New Roman"/>
                <w:sz w:val="24"/>
                <w:szCs w:val="24"/>
                <w:lang w:val="en-US" w:eastAsia="zh-CN"/>
              </w:rPr>
              <w:t>福州市生态环境局关于发布福州市2024年生态环境分区管控动态更新成果的通知</w:t>
            </w:r>
            <w:r>
              <w:rPr>
                <w:rFonts w:hint="eastAsia" w:ascii="Times New Roman" w:hAnsi="Times New Roman"/>
                <w:sz w:val="24"/>
                <w:szCs w:val="24"/>
              </w:rPr>
              <w:t>》（榕</w:t>
            </w:r>
            <w:r>
              <w:rPr>
                <w:rFonts w:hint="eastAsia" w:ascii="Times New Roman" w:hAnsi="Times New Roman"/>
                <w:sz w:val="24"/>
                <w:szCs w:val="24"/>
                <w:lang w:val="en-US" w:eastAsia="zh-CN"/>
              </w:rPr>
              <w:t>环保综</w:t>
            </w:r>
            <w:r>
              <w:rPr>
                <w:rFonts w:hint="eastAsia" w:ascii="Times New Roman" w:hAnsi="Times New Roman"/>
                <w:sz w:val="24"/>
                <w:szCs w:val="24"/>
              </w:rPr>
              <w:t>〔202</w:t>
            </w:r>
            <w:r>
              <w:rPr>
                <w:rFonts w:hint="eastAsia" w:ascii="Times New Roman" w:hAnsi="Times New Roman"/>
                <w:sz w:val="24"/>
                <w:szCs w:val="24"/>
                <w:lang w:val="en-US" w:eastAsia="zh-CN"/>
              </w:rPr>
              <w:t>5</w:t>
            </w:r>
            <w:r>
              <w:rPr>
                <w:rFonts w:hint="eastAsia" w:ascii="Times New Roman" w:hAnsi="Times New Roman"/>
                <w:sz w:val="24"/>
                <w:szCs w:val="24"/>
              </w:rPr>
              <w:t>〕</w:t>
            </w:r>
            <w:r>
              <w:rPr>
                <w:rFonts w:hint="eastAsia" w:ascii="Times New Roman" w:hAnsi="Times New Roman"/>
                <w:sz w:val="24"/>
                <w:szCs w:val="24"/>
                <w:lang w:val="en-US" w:eastAsia="zh-CN"/>
              </w:rPr>
              <w:t>1</w:t>
            </w:r>
            <w:r>
              <w:rPr>
                <w:rFonts w:hint="eastAsia" w:ascii="Times New Roman" w:hAnsi="Times New Roman"/>
                <w:sz w:val="24"/>
                <w:szCs w:val="24"/>
              </w:rPr>
              <w:t>号）</w:t>
            </w:r>
            <w:r>
              <w:rPr>
                <w:rFonts w:hint="eastAsia" w:ascii="Times New Roman" w:hAnsi="Times New Roman"/>
                <w:sz w:val="24"/>
                <w:szCs w:val="24"/>
                <w:lang w:val="en-US" w:eastAsia="zh-CN"/>
              </w:rPr>
              <w:t>以及</w:t>
            </w:r>
            <w:r>
              <w:rPr>
                <w:rFonts w:hint="default" w:ascii="Times New Roman" w:hAnsi="Times New Roman" w:eastAsia="宋体" w:cs="Times New Roman"/>
                <w:color w:val="auto"/>
                <w:sz w:val="24"/>
                <w:szCs w:val="24"/>
                <w:highlight w:val="none"/>
                <w:shd w:val="clear" w:color="auto" w:fill="auto"/>
                <w:lang w:val="en-US" w:eastAsia="zh-CN"/>
              </w:rPr>
              <w:t>《福建省生态环境分区管控综合查询报告》报告编</w:t>
            </w:r>
            <w:r>
              <w:rPr>
                <w:rFonts w:hint="default" w:ascii="Times New Roman" w:hAnsi="Times New Roman"/>
                <w:sz w:val="24"/>
                <w:szCs w:val="24"/>
                <w:lang w:val="en-US" w:eastAsia="zh-CN"/>
              </w:rPr>
              <w:t>号：FQGK1762155433064。</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b w:val="0"/>
                <w:bCs w:val="0"/>
                <w:color w:val="auto"/>
                <w:kern w:val="2"/>
                <w:sz w:val="24"/>
                <w:szCs w:val="24"/>
                <w:highlight w:val="none"/>
                <w:lang w:val="en-US" w:eastAsia="zh-CN" w:bidi="ar-SA"/>
              </w:rPr>
              <w:t>位于</w:t>
            </w:r>
            <w:r>
              <w:rPr>
                <w:rFonts w:hint="eastAsia" w:ascii="Times New Roman" w:hAnsi="Times New Roman" w:cs="Times New Roman"/>
                <w:color w:val="auto"/>
                <w:sz w:val="24"/>
                <w:szCs w:val="24"/>
                <w:highlight w:val="none"/>
                <w:u w:val="none"/>
                <w:lang w:val="en-US" w:eastAsia="zh-CN"/>
              </w:rPr>
              <w:t>福建省福州市福清市阳下街道上亭村（购置福清市阳下街道均和云谷·福清科技港39号厂房）</w:t>
            </w:r>
            <w:r>
              <w:rPr>
                <w:rFonts w:hint="default" w:ascii="Times New Roman" w:hAnsi="Times New Roman" w:eastAsia="宋体" w:cs="Times New Roman"/>
                <w:color w:val="auto"/>
                <w:sz w:val="24"/>
                <w:szCs w:val="24"/>
                <w:highlight w:val="none"/>
                <w:lang w:val="en-US" w:eastAsia="zh-CN"/>
              </w:rPr>
              <w:t>，在</w:t>
            </w:r>
            <w:r>
              <w:rPr>
                <w:rFonts w:hint="eastAsia" w:ascii="Times New Roman" w:hAnsi="Times New Roman" w:cs="Times New Roman"/>
                <w:color w:val="auto"/>
                <w:sz w:val="24"/>
                <w:szCs w:val="24"/>
                <w:highlight w:val="none"/>
                <w:lang w:val="en-US" w:eastAsia="zh-CN"/>
              </w:rPr>
              <w:t>福清融侨经济开发区（工业园区）内且</w:t>
            </w:r>
            <w:r>
              <w:rPr>
                <w:rFonts w:hint="default" w:ascii="Times New Roman" w:hAnsi="Times New Roman" w:eastAsia="宋体" w:cs="Times New Roman"/>
                <w:color w:val="auto"/>
                <w:sz w:val="24"/>
                <w:szCs w:val="24"/>
                <w:highlight w:val="none"/>
                <w:lang w:val="en-US" w:eastAsia="zh-CN"/>
              </w:rPr>
              <w:t>项目属于</w:t>
            </w:r>
            <w:r>
              <w:rPr>
                <w:rFonts w:hint="eastAsia" w:ascii="Times New Roman" w:hAnsi="Times New Roman" w:cs="Times New Roman"/>
                <w:color w:val="auto"/>
                <w:sz w:val="24"/>
                <w:szCs w:val="24"/>
                <w:highlight w:val="none"/>
                <w:lang w:val="en-US" w:eastAsia="zh-CN"/>
              </w:rPr>
              <w:t>汽车塑料零配件</w:t>
            </w:r>
            <w:r>
              <w:rPr>
                <w:rFonts w:hint="default" w:ascii="Times New Roman" w:hAnsi="Times New Roman" w:eastAsia="宋体" w:cs="Times New Roman"/>
                <w:color w:val="auto"/>
                <w:sz w:val="24"/>
                <w:szCs w:val="24"/>
                <w:highlight w:val="none"/>
                <w:lang w:val="en-US" w:eastAsia="zh-CN"/>
              </w:rPr>
              <w:t>制造业，不属于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福州市生态环境总体准入要求</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中</w:t>
            </w:r>
            <w:r>
              <w:rPr>
                <w:rFonts w:hint="eastAsia" w:ascii="Times New Roman" w:hAnsi="Times New Roman" w:eastAsia="宋体" w:cs="Times New Roman"/>
                <w:color w:val="auto"/>
                <w:sz w:val="24"/>
                <w:szCs w:val="24"/>
                <w:highlight w:val="none"/>
                <w:lang w:val="en-US" w:eastAsia="zh-CN"/>
              </w:rPr>
              <w:t>“空间</w:t>
            </w:r>
            <w:r>
              <w:rPr>
                <w:rFonts w:hint="default" w:ascii="Times New Roman" w:hAnsi="Times New Roman" w:eastAsia="宋体" w:cs="Times New Roman"/>
                <w:color w:val="auto"/>
                <w:sz w:val="24"/>
                <w:szCs w:val="24"/>
                <w:highlight w:val="none"/>
                <w:lang w:val="en-US" w:eastAsia="zh-CN"/>
              </w:rPr>
              <w:t>布局约束</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的工业区及特别规定的行业。</w:t>
            </w:r>
            <w:r>
              <w:rPr>
                <w:rFonts w:hint="default" w:ascii="Times New Roman" w:hAnsi="Times New Roman" w:eastAsia="宋体" w:cs="Times New Roman"/>
                <w:color w:val="auto"/>
                <w:sz w:val="24"/>
                <w:szCs w:val="24"/>
                <w:highlight w:val="none"/>
                <w:shd w:val="clear" w:color="auto" w:fill="auto"/>
                <w:lang w:val="en-US" w:eastAsia="zh-CN"/>
              </w:rPr>
              <w:t>全省生态环境总体准入要求符合性分析如下。</w:t>
            </w:r>
            <w:r>
              <w:rPr>
                <w:rFonts w:hint="default" w:ascii="Times New Roman" w:hAnsi="Times New Roman" w:eastAsia="宋体" w:cs="Times New Roman"/>
                <w:color w:val="auto"/>
                <w:sz w:val="24"/>
                <w:szCs w:val="24"/>
                <w:highlight w:val="none"/>
              </w:rPr>
              <w:t>相关要求分析见表1.1-</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与福州市生态环境总体准入要求进行对照分析，</w:t>
            </w:r>
            <w:r>
              <w:rPr>
                <w:rFonts w:hint="default" w:ascii="Times New Roman" w:hAnsi="Times New Roman" w:eastAsia="宋体" w:cs="Times New Roman"/>
                <w:color w:val="auto"/>
                <w:sz w:val="24"/>
                <w:szCs w:val="24"/>
                <w:highlight w:val="none"/>
              </w:rPr>
              <w:t>具体见表1</w:t>
            </w:r>
            <w:r>
              <w:rPr>
                <w:rFonts w:hint="default" w:ascii="Times New Roman" w:hAnsi="Times New Roman" w:eastAsia="宋体"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z w:val="24"/>
                <w:szCs w:val="24"/>
              </w:rPr>
              <w:t>与重点管控单元（环境管控单元编码</w:t>
            </w:r>
            <w:r>
              <w:rPr>
                <w:rFonts w:hint="eastAsia" w:ascii="Times New Roman" w:hAnsi="Times New Roman"/>
                <w:sz w:val="24"/>
                <w:szCs w:val="24"/>
                <w:lang w:val="en-US" w:eastAsia="zh-CN"/>
              </w:rPr>
              <w:t>：ZH35018120008</w:t>
            </w:r>
            <w:r>
              <w:rPr>
                <w:rFonts w:hint="default" w:ascii="Times New Roman" w:hAnsi="Times New Roman"/>
                <w:sz w:val="24"/>
                <w:szCs w:val="24"/>
                <w:lang w:val="en-US" w:eastAsia="zh-CN"/>
              </w:rPr>
              <w:t>）</w:t>
            </w:r>
            <w:r>
              <w:rPr>
                <w:rFonts w:hint="default" w:ascii="Times New Roman" w:hAnsi="Times New Roman" w:eastAsia="宋体" w:cs="Times New Roman"/>
                <w:sz w:val="24"/>
                <w:szCs w:val="24"/>
                <w:highlight w:val="none"/>
              </w:rPr>
              <w:t>准入要求符合性分析见表1</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4。福建省生态环境分区管控数据应用平台查询结果截图详见</w:t>
            </w:r>
            <w:r>
              <w:rPr>
                <w:rFonts w:hint="default" w:ascii="Times New Roman" w:hAnsi="Times New Roman" w:eastAsia="宋体" w:cs="Times New Roman"/>
                <w:b/>
                <w:bCs/>
                <w:sz w:val="24"/>
                <w:szCs w:val="24"/>
                <w:highlight w:val="none"/>
              </w:rPr>
              <w:t>附图</w:t>
            </w:r>
            <w:r>
              <w:rPr>
                <w:rFonts w:hint="eastAsia" w:ascii="Times New Roman" w:hAnsi="Times New Roman" w:eastAsia="宋体" w:cs="Times New Roman"/>
                <w:b/>
                <w:bCs/>
                <w:sz w:val="24"/>
                <w:szCs w:val="24"/>
                <w:highlight w:val="none"/>
                <w:lang w:val="en-US" w:eastAsia="zh-CN"/>
              </w:rPr>
              <w:t>六</w:t>
            </w:r>
            <w:r>
              <w:rPr>
                <w:rFonts w:hint="default" w:ascii="Times New Roman" w:hAnsi="Times New Roman" w:eastAsia="宋体" w:cs="Times New Roman"/>
                <w:sz w:val="24"/>
                <w:szCs w:val="24"/>
                <w:highlight w:val="none"/>
              </w:rPr>
              <w:t>，福建省生态环境分区管控综</w:t>
            </w:r>
            <w:r>
              <w:rPr>
                <w:rFonts w:hint="default" w:ascii="Times New Roman" w:hAnsi="Times New Roman" w:eastAsia="宋体" w:cs="Times New Roman"/>
                <w:b w:val="0"/>
                <w:bCs w:val="0"/>
                <w:sz w:val="24"/>
                <w:szCs w:val="24"/>
                <w:highlight w:val="none"/>
              </w:rPr>
              <w:t>合查询报告详见</w:t>
            </w:r>
            <w:r>
              <w:rPr>
                <w:rFonts w:hint="default" w:ascii="Times New Roman" w:hAnsi="Times New Roman" w:eastAsia="宋体" w:cs="Times New Roman"/>
                <w:b/>
                <w:bCs/>
                <w:sz w:val="24"/>
                <w:szCs w:val="24"/>
                <w:highlight w:val="none"/>
                <w:lang w:val="en-US" w:eastAsia="zh-CN"/>
              </w:rPr>
              <w:t>附件十</w:t>
            </w:r>
            <w:r>
              <w:rPr>
                <w:rFonts w:hint="eastAsia" w:ascii="Times New Roman" w:hAnsi="Times New Roman" w:cs="Times New Roman"/>
                <w:b/>
                <w:bCs/>
                <w:sz w:val="24"/>
                <w:szCs w:val="24"/>
                <w:highlight w:val="none"/>
                <w:lang w:val="en-US" w:eastAsia="zh-CN"/>
              </w:rPr>
              <w:t>三</w:t>
            </w:r>
            <w:r>
              <w:rPr>
                <w:rFonts w:hint="default" w:ascii="Times New Roman" w:hAnsi="Times New Roman" w:eastAsia="宋体" w:cs="Times New Roman"/>
                <w:color w:val="auto"/>
                <w:spacing w:val="0"/>
                <w:w w:val="100"/>
                <w:position w:val="0"/>
                <w:sz w:val="24"/>
                <w:szCs w:val="24"/>
                <w:u w:val="none"/>
              </w:rPr>
              <w:t>。</w:t>
            </w:r>
          </w:p>
        </w:tc>
      </w:tr>
    </w:tbl>
    <w:p w14:paraId="7CFDD7CA">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br w:type="page"/>
      </w:r>
    </w:p>
    <w:p w14:paraId="70C63194">
      <w:pPr>
        <w:keepLines w:val="0"/>
        <w:pageBreakBefore w:val="0"/>
        <w:wordWrap/>
        <w:topLinePunct w:val="0"/>
        <w:autoSpaceDE w:val="0"/>
        <w:autoSpaceDN w:val="0"/>
        <w:bidi w:val="0"/>
        <w:adjustRightInd w:val="0"/>
        <w:snapToGrid w:val="0"/>
        <w:spacing w:line="360" w:lineRule="auto"/>
        <w:ind w:left="0" w:right="0" w:firstLine="0" w:firstLineChars="0"/>
        <w:jc w:val="center"/>
        <w:rPr>
          <w:rFonts w:hint="default" w:ascii="Times New Roman" w:hAnsi="Times New Roman" w:eastAsia="宋体" w:cs="Times New Roman"/>
          <w:color w:val="auto"/>
          <w:kern w:val="0"/>
          <w:sz w:val="24"/>
          <w:szCs w:val="24"/>
          <w:u w:val="none"/>
        </w:rPr>
        <w:sectPr>
          <w:footerReference r:id="rId4" w:type="default"/>
          <w:pgSz w:w="11906" w:h="16838"/>
          <w:pgMar w:top="1587" w:right="1417" w:bottom="1587" w:left="1417" w:header="851" w:footer="992" w:gutter="0"/>
          <w:pgBorders>
            <w:top w:val="none" w:sz="0" w:space="0"/>
            <w:left w:val="none" w:sz="0" w:space="0"/>
            <w:bottom w:val="none" w:sz="0" w:space="0"/>
            <w:right w:val="none" w:sz="0" w:space="0"/>
          </w:pgBorders>
          <w:pgNumType w:fmt="decimal" w:start="1"/>
          <w:cols w:space="0" w:num="1"/>
          <w:rtlGutter w:val="0"/>
          <w:docGrid w:type="lines" w:linePitch="318" w:charSpace="0"/>
        </w:sectPr>
      </w:pPr>
    </w:p>
    <w:tbl>
      <w:tblPr>
        <w:tblStyle w:val="23"/>
        <w:tblW w:w="489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2839"/>
      </w:tblGrid>
      <w:tr w14:paraId="7B4E27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3" w:hRule="atLeast"/>
          <w:jc w:val="center"/>
        </w:trPr>
        <w:tc>
          <w:tcPr>
            <w:tcW w:w="272" w:type="pct"/>
            <w:noWrap w:val="0"/>
            <w:vAlign w:val="center"/>
          </w:tcPr>
          <w:p w14:paraId="388D30E6">
            <w:pPr>
              <w:rPr>
                <w:rFonts w:hint="default"/>
              </w:rPr>
            </w:pPr>
          </w:p>
        </w:tc>
        <w:tc>
          <w:tcPr>
            <w:tcW w:w="4727" w:type="pct"/>
            <w:noWrap w:val="0"/>
            <w:vAlign w:val="center"/>
          </w:tcPr>
          <w:p w14:paraId="6F8EFC0A">
            <w:pPr>
              <w:keepNext w:val="0"/>
              <w:keepLines w:val="0"/>
              <w:pageBreakBefore w:val="0"/>
              <w:widowControl w:val="0"/>
              <w:kinsoku/>
              <w:wordWrap/>
              <w:overflowPunct/>
              <w:topLinePunct w:val="0"/>
              <w:autoSpaceDE w:val="0"/>
              <w:autoSpaceDN w:val="0"/>
              <w:bidi w:val="0"/>
              <w:adjustRightInd w:val="0"/>
              <w:snapToGrid w:val="0"/>
              <w:spacing w:before="323" w:beforeLines="100" w:line="240" w:lineRule="auto"/>
              <w:ind w:left="0" w:right="0" w:firstLine="0" w:firstLineChars="0"/>
              <w:jc w:val="center"/>
              <w:textAlignment w:val="auto"/>
              <w:rPr>
                <w:rFonts w:hint="default" w:ascii="Times New Roman" w:hAnsi="Times New Roman" w:eastAsia="宋体" w:cs="Times New Roman"/>
                <w:b/>
                <w:bCs/>
                <w:color w:val="auto"/>
                <w:kern w:val="0"/>
                <w:sz w:val="24"/>
                <w:szCs w:val="24"/>
                <w:u w:val="none"/>
              </w:rPr>
            </w:pPr>
            <w:r>
              <w:rPr>
                <w:rFonts w:hint="default" w:ascii="Times New Roman" w:hAnsi="Times New Roman" w:eastAsia="宋体" w:cs="Times New Roman"/>
                <w:b/>
                <w:bCs/>
                <w:color w:val="auto"/>
                <w:kern w:val="0"/>
                <w:sz w:val="24"/>
                <w:szCs w:val="24"/>
                <w:u w:val="none"/>
              </w:rPr>
              <w:t>表</w:t>
            </w:r>
            <w:r>
              <w:rPr>
                <w:rFonts w:hint="default" w:ascii="Times New Roman" w:hAnsi="Times New Roman" w:eastAsia="宋体" w:cs="Times New Roman"/>
                <w:b/>
                <w:bCs/>
                <w:color w:val="auto"/>
                <w:kern w:val="0"/>
                <w:sz w:val="24"/>
                <w:szCs w:val="24"/>
                <w:u w:val="none"/>
                <w:lang w:val="en-US" w:eastAsia="zh-CN"/>
              </w:rPr>
              <w:t>1.1-</w:t>
            </w:r>
            <w:r>
              <w:rPr>
                <w:rFonts w:hint="eastAsia" w:cs="Times New Roman"/>
                <w:b/>
                <w:bCs/>
                <w:color w:val="auto"/>
                <w:kern w:val="0"/>
                <w:sz w:val="24"/>
                <w:szCs w:val="24"/>
                <w:u w:val="none"/>
                <w:lang w:val="en-US" w:eastAsia="zh-CN"/>
              </w:rPr>
              <w:t>2</w:t>
            </w:r>
            <w:r>
              <w:rPr>
                <w:rFonts w:hint="default" w:ascii="Times New Roman" w:hAnsi="Times New Roman" w:eastAsia="宋体" w:cs="Times New Roman"/>
                <w:b/>
                <w:bCs/>
                <w:color w:val="auto"/>
                <w:kern w:val="0"/>
                <w:sz w:val="24"/>
                <w:szCs w:val="24"/>
                <w:u w:val="none"/>
              </w:rPr>
              <w:t xml:space="preserve"> 与</w:t>
            </w:r>
            <w:r>
              <w:rPr>
                <w:rFonts w:hint="eastAsia" w:cs="Times New Roman"/>
                <w:b/>
                <w:bCs/>
                <w:color w:val="auto"/>
                <w:kern w:val="0"/>
                <w:sz w:val="24"/>
                <w:szCs w:val="24"/>
                <w:u w:val="none"/>
                <w:lang w:val="en-US" w:eastAsia="zh-CN"/>
              </w:rPr>
              <w:t>全省生态环境总体准入要求的符合性分析</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9"/>
              <w:gridCol w:w="624"/>
              <w:gridCol w:w="6970"/>
              <w:gridCol w:w="2941"/>
              <w:gridCol w:w="884"/>
            </w:tblGrid>
            <w:tr w14:paraId="33196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475" w:type="pct"/>
                  <w:tcBorders>
                    <w:tl2br w:val="nil"/>
                    <w:tr2bl w:val="nil"/>
                  </w:tcBorders>
                  <w:noWrap w:val="0"/>
                  <w:vAlign w:val="center"/>
                </w:tcPr>
                <w:p w14:paraId="3ED9D4F8">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适用范围</w:t>
                  </w:r>
                </w:p>
              </w:tc>
              <w:tc>
                <w:tcPr>
                  <w:tcW w:w="3008" w:type="pct"/>
                  <w:gridSpan w:val="2"/>
                  <w:tcBorders>
                    <w:tl2br w:val="nil"/>
                    <w:tr2bl w:val="nil"/>
                  </w:tcBorders>
                  <w:noWrap w:val="0"/>
                  <w:vAlign w:val="center"/>
                </w:tcPr>
                <w:p w14:paraId="5C2A0321">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准入要</w:t>
                  </w:r>
                  <w:r>
                    <w:rPr>
                      <w:rFonts w:hint="default" w:ascii="Times New Roman" w:hAnsi="Times New Roman" w:eastAsia="宋体" w:cs="Times New Roman"/>
                      <w:color w:val="auto"/>
                      <w:sz w:val="21"/>
                      <w:szCs w:val="21"/>
                      <w:u w:val="none"/>
                      <w:lang w:val="en-US" w:eastAsia="zh-CN"/>
                    </w:rPr>
                    <w:t>求</w:t>
                  </w:r>
                </w:p>
              </w:tc>
              <w:tc>
                <w:tcPr>
                  <w:tcW w:w="1165" w:type="pct"/>
                  <w:tcBorders>
                    <w:tl2br w:val="nil"/>
                    <w:tr2bl w:val="nil"/>
                  </w:tcBorders>
                  <w:noWrap w:val="0"/>
                  <w:vAlign w:val="center"/>
                </w:tcPr>
                <w:p w14:paraId="18E18DFE">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sz w:val="21"/>
                      <w:szCs w:val="21"/>
                      <w:u w:val="none"/>
                    </w:rPr>
                    <w:t>本项目</w:t>
                  </w:r>
                  <w:r>
                    <w:rPr>
                      <w:rFonts w:hint="default" w:ascii="Times New Roman" w:hAnsi="Times New Roman" w:eastAsia="宋体" w:cs="Times New Roman"/>
                      <w:color w:val="auto"/>
                      <w:sz w:val="21"/>
                      <w:szCs w:val="21"/>
                      <w:u w:val="none"/>
                      <w:lang w:val="en-US" w:eastAsia="zh-CN"/>
                    </w:rPr>
                    <w:t>情况</w:t>
                  </w:r>
                </w:p>
              </w:tc>
              <w:tc>
                <w:tcPr>
                  <w:tcW w:w="350" w:type="pct"/>
                  <w:tcBorders>
                    <w:tl2br w:val="nil"/>
                    <w:tr2bl w:val="nil"/>
                  </w:tcBorders>
                  <w:noWrap w:val="0"/>
                  <w:vAlign w:val="center"/>
                </w:tcPr>
                <w:p w14:paraId="690D250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符合性</w:t>
                  </w:r>
                </w:p>
              </w:tc>
            </w:tr>
            <w:tr w14:paraId="70AAA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5" w:type="pct"/>
                  <w:vMerge w:val="restart"/>
                  <w:tcBorders>
                    <w:tl2br w:val="nil"/>
                    <w:tr2bl w:val="nil"/>
                  </w:tcBorders>
                  <w:noWrap w:val="0"/>
                  <w:vAlign w:val="center"/>
                </w:tcPr>
                <w:p w14:paraId="7EB4F417">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全省陆域</w:t>
                  </w:r>
                </w:p>
              </w:tc>
              <w:tc>
                <w:tcPr>
                  <w:tcW w:w="247" w:type="pct"/>
                  <w:vMerge w:val="restart"/>
                  <w:tcBorders>
                    <w:tl2br w:val="nil"/>
                    <w:tr2bl w:val="nil"/>
                  </w:tcBorders>
                  <w:noWrap w:val="0"/>
                  <w:vAlign w:val="center"/>
                </w:tcPr>
                <w:p w14:paraId="5F68B171">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空间布局约束</w:t>
                  </w:r>
                </w:p>
              </w:tc>
              <w:tc>
                <w:tcPr>
                  <w:tcW w:w="2761" w:type="pct"/>
                  <w:tcBorders>
                    <w:tl2br w:val="nil"/>
                    <w:tr2bl w:val="nil"/>
                  </w:tcBorders>
                  <w:noWrap w:val="0"/>
                  <w:vAlign w:val="center"/>
                </w:tcPr>
                <w:p w14:paraId="3BA0E3B2">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1.石化、汽车、船舶、冶金、水泥、制浆造纸、印染等重点产业，要符合全省规划布局要求。</w:t>
                  </w:r>
                </w:p>
              </w:tc>
              <w:tc>
                <w:tcPr>
                  <w:tcW w:w="1165" w:type="pct"/>
                  <w:vMerge w:val="restart"/>
                  <w:tcBorders>
                    <w:tl2br w:val="nil"/>
                    <w:tr2bl w:val="nil"/>
                  </w:tcBorders>
                  <w:noWrap w:val="0"/>
                  <w:vAlign w:val="center"/>
                </w:tcPr>
                <w:p w14:paraId="7F59139C">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rPr>
                  </w:pPr>
                  <w:r>
                    <w:rPr>
                      <w:rFonts w:hint="default" w:ascii="Times New Roman" w:hAnsi="Times New Roman" w:eastAsia="宋体" w:cs="Times New Roman"/>
                      <w:color w:val="auto"/>
                      <w:sz w:val="21"/>
                      <w:szCs w:val="21"/>
                      <w:u w:val="none"/>
                    </w:rPr>
                    <w:t>本项目</w:t>
                  </w:r>
                  <w:r>
                    <w:rPr>
                      <w:rFonts w:hint="default" w:ascii="Times New Roman" w:hAnsi="Times New Roman" w:eastAsia="宋体" w:cs="Times New Roman"/>
                      <w:color w:val="auto"/>
                      <w:sz w:val="21"/>
                      <w:szCs w:val="21"/>
                      <w:u w:val="none"/>
                      <w:lang w:val="en-US" w:eastAsia="zh-CN"/>
                    </w:rPr>
                    <w:t>主要从事</w:t>
                  </w:r>
                  <w:r>
                    <w:rPr>
                      <w:rFonts w:hint="eastAsia" w:cs="Times New Roman"/>
                      <w:color w:val="auto"/>
                      <w:sz w:val="21"/>
                      <w:szCs w:val="21"/>
                      <w:u w:val="none"/>
                      <w:lang w:val="en-US" w:eastAsia="zh-CN"/>
                    </w:rPr>
                    <w:t>工业连接器和工业线缆</w:t>
                  </w:r>
                  <w:r>
                    <w:rPr>
                      <w:rFonts w:hint="default" w:ascii="Times New Roman" w:hAnsi="Times New Roman" w:eastAsia="宋体" w:cs="Times New Roman"/>
                      <w:color w:val="auto"/>
                      <w:sz w:val="21"/>
                      <w:szCs w:val="21"/>
                      <w:u w:val="none"/>
                      <w:lang w:val="en-US" w:eastAsia="zh-CN"/>
                    </w:rPr>
                    <w:t>加工</w:t>
                  </w:r>
                  <w:r>
                    <w:rPr>
                      <w:rFonts w:hint="default" w:ascii="Times New Roman" w:hAnsi="Times New Roman" w:eastAsia="宋体" w:cs="Times New Roman"/>
                      <w:color w:val="auto"/>
                      <w:sz w:val="21"/>
                      <w:szCs w:val="21"/>
                      <w:u w:val="none"/>
                    </w:rPr>
                    <w:t>，不在空间布局约束范围中</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rPr>
                    <w:t>项目周边水环境质量达标。生活污水经化粪池处理后接入市政管网汇入</w:t>
                  </w:r>
                  <w:r>
                    <w:rPr>
                      <w:rFonts w:hint="default" w:ascii="Times New Roman" w:hAnsi="Times New Roman" w:eastAsia="宋体" w:cs="Times New Roman"/>
                      <w:color w:val="auto"/>
                      <w:sz w:val="21"/>
                      <w:szCs w:val="21"/>
                      <w:u w:val="none"/>
                      <w:lang w:val="en-US" w:eastAsia="zh-CN"/>
                    </w:rPr>
                    <w:t>污水处理</w:t>
                  </w:r>
                  <w:r>
                    <w:rPr>
                      <w:rFonts w:hint="default" w:ascii="Times New Roman" w:hAnsi="Times New Roman" w:eastAsia="宋体" w:cs="Times New Roman"/>
                      <w:color w:val="auto"/>
                      <w:sz w:val="21"/>
                      <w:szCs w:val="21"/>
                      <w:u w:val="none"/>
                      <w:lang w:eastAsia="zh-CN"/>
                    </w:rPr>
                    <w:t>厂</w:t>
                  </w:r>
                  <w:r>
                    <w:rPr>
                      <w:rFonts w:hint="eastAsia" w:cs="Times New Roman"/>
                      <w:color w:val="auto"/>
                      <w:sz w:val="21"/>
                      <w:szCs w:val="21"/>
                      <w:u w:val="none"/>
                      <w:lang w:eastAsia="zh-CN"/>
                    </w:rPr>
                    <w:t>。</w:t>
                  </w:r>
                  <w:r>
                    <w:rPr>
                      <w:rFonts w:hint="eastAsia" w:cs="Times New Roman"/>
                      <w:color w:val="auto"/>
                      <w:sz w:val="21"/>
                      <w:szCs w:val="21"/>
                      <w:u w:val="none"/>
                      <w:lang w:val="en-US" w:eastAsia="zh-CN"/>
                    </w:rPr>
                    <w:t>与空间布局约束不冲突。</w:t>
                  </w:r>
                </w:p>
              </w:tc>
              <w:tc>
                <w:tcPr>
                  <w:tcW w:w="350" w:type="pct"/>
                  <w:vMerge w:val="restart"/>
                  <w:tcBorders>
                    <w:tl2br w:val="nil"/>
                    <w:tr2bl w:val="nil"/>
                  </w:tcBorders>
                  <w:noWrap w:val="0"/>
                  <w:vAlign w:val="center"/>
                </w:tcPr>
                <w:p w14:paraId="0F6C998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符合</w:t>
                  </w:r>
                </w:p>
              </w:tc>
            </w:tr>
            <w:tr w14:paraId="25533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475" w:type="pct"/>
                  <w:vMerge w:val="continue"/>
                  <w:tcBorders>
                    <w:tl2br w:val="nil"/>
                    <w:tr2bl w:val="nil"/>
                  </w:tcBorders>
                  <w:noWrap w:val="0"/>
                  <w:vAlign w:val="center"/>
                </w:tcPr>
                <w:p w14:paraId="3D794CF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3841D48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4048EF2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2.严控钢铁、水泥、平板玻璃等产能过剩行业新增产能，新增产能应实施产能等量或减量置换。</w:t>
                  </w:r>
                </w:p>
              </w:tc>
              <w:tc>
                <w:tcPr>
                  <w:tcW w:w="1165" w:type="pct"/>
                  <w:vMerge w:val="continue"/>
                  <w:tcBorders>
                    <w:tl2br w:val="nil"/>
                    <w:tr2bl w:val="nil"/>
                  </w:tcBorders>
                  <w:noWrap w:val="0"/>
                  <w:vAlign w:val="center"/>
                </w:tcPr>
                <w:p w14:paraId="6121EE71">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350" w:type="pct"/>
                  <w:vMerge w:val="continue"/>
                  <w:tcBorders>
                    <w:tl2br w:val="nil"/>
                    <w:tr2bl w:val="nil"/>
                  </w:tcBorders>
                  <w:noWrap w:val="0"/>
                  <w:vAlign w:val="center"/>
                </w:tcPr>
                <w:p w14:paraId="33EAFBC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73B8A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475" w:type="pct"/>
                  <w:vMerge w:val="continue"/>
                  <w:tcBorders>
                    <w:tl2br w:val="nil"/>
                    <w:tr2bl w:val="nil"/>
                  </w:tcBorders>
                  <w:noWrap w:val="0"/>
                  <w:vAlign w:val="center"/>
                </w:tcPr>
                <w:p w14:paraId="6E57D99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14130BC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09A740A0">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3.除列入国家规划的大型煤电和符合相关要求的等容量替代项目，以及以供热为主的热电联产项目外，原则上不再建设新的煤电项目。</w:t>
                  </w:r>
                </w:p>
              </w:tc>
              <w:tc>
                <w:tcPr>
                  <w:tcW w:w="1165" w:type="pct"/>
                  <w:vMerge w:val="continue"/>
                  <w:tcBorders>
                    <w:tl2br w:val="nil"/>
                    <w:tr2bl w:val="nil"/>
                  </w:tcBorders>
                  <w:noWrap w:val="0"/>
                  <w:vAlign w:val="center"/>
                </w:tcPr>
                <w:p w14:paraId="7F837A31">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350" w:type="pct"/>
                  <w:vMerge w:val="continue"/>
                  <w:tcBorders>
                    <w:tl2br w:val="nil"/>
                    <w:tr2bl w:val="nil"/>
                  </w:tcBorders>
                  <w:noWrap w:val="0"/>
                  <w:vAlign w:val="center"/>
                </w:tcPr>
                <w:p w14:paraId="0AABD39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1B6B7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8" w:hRule="atLeast"/>
              </w:trPr>
              <w:tc>
                <w:tcPr>
                  <w:tcW w:w="475" w:type="pct"/>
                  <w:vMerge w:val="continue"/>
                  <w:tcBorders>
                    <w:tl2br w:val="nil"/>
                    <w:tr2bl w:val="nil"/>
                  </w:tcBorders>
                  <w:noWrap w:val="0"/>
                  <w:vAlign w:val="center"/>
                </w:tcPr>
                <w:p w14:paraId="237086B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212C42F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1281486B">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4.氟化工产业应集中布局在《关于促进我省氟化工产业绿色高效发展的若干意见》中确定的园区，在上述园区之外不再新建氟化工项目，园区之外现有氟化工项目不再扩大规模。</w:t>
                  </w:r>
                </w:p>
              </w:tc>
              <w:tc>
                <w:tcPr>
                  <w:tcW w:w="1165" w:type="pct"/>
                  <w:vMerge w:val="continue"/>
                  <w:tcBorders>
                    <w:tl2br w:val="nil"/>
                    <w:tr2bl w:val="nil"/>
                  </w:tcBorders>
                  <w:noWrap w:val="0"/>
                  <w:vAlign w:val="center"/>
                </w:tcPr>
                <w:p w14:paraId="2C63CDB7">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350" w:type="pct"/>
                  <w:vMerge w:val="continue"/>
                  <w:tcBorders>
                    <w:tl2br w:val="nil"/>
                    <w:tr2bl w:val="nil"/>
                  </w:tcBorders>
                  <w:noWrap w:val="0"/>
                  <w:vAlign w:val="center"/>
                </w:tcPr>
                <w:p w14:paraId="55E899D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38A0A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475" w:type="pct"/>
                  <w:vMerge w:val="continue"/>
                  <w:tcBorders>
                    <w:tl2br w:val="nil"/>
                    <w:tr2bl w:val="nil"/>
                  </w:tcBorders>
                  <w:noWrap w:val="0"/>
                  <w:vAlign w:val="center"/>
                </w:tcPr>
                <w:p w14:paraId="4D11A74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011A2A1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6B8E2A54">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5.禁止在水环境质量不能稳定达标的区域内，建设新增相应不达标污染物指标排放量的工业项目。</w:t>
                  </w:r>
                </w:p>
              </w:tc>
              <w:tc>
                <w:tcPr>
                  <w:tcW w:w="1165" w:type="pct"/>
                  <w:vMerge w:val="continue"/>
                  <w:tcBorders>
                    <w:tl2br w:val="nil"/>
                    <w:tr2bl w:val="nil"/>
                  </w:tcBorders>
                  <w:noWrap w:val="0"/>
                  <w:vAlign w:val="center"/>
                </w:tcPr>
                <w:p w14:paraId="613E1DDC">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350" w:type="pct"/>
                  <w:vMerge w:val="continue"/>
                  <w:tcBorders>
                    <w:tl2br w:val="nil"/>
                    <w:tr2bl w:val="nil"/>
                  </w:tcBorders>
                  <w:noWrap w:val="0"/>
                  <w:vAlign w:val="center"/>
                </w:tcPr>
                <w:p w14:paraId="0260A69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3140B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475" w:type="pct"/>
                  <w:vMerge w:val="continue"/>
                  <w:tcBorders>
                    <w:tl2br w:val="nil"/>
                    <w:tr2bl w:val="nil"/>
                  </w:tcBorders>
                  <w:noWrap w:val="0"/>
                  <w:vAlign w:val="center"/>
                </w:tcPr>
                <w:p w14:paraId="0F073E1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45D5CB6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13D90BED">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6.禁止在通风廊道和主导风向的上风向布局大气重污染企业，推进建成区大气重污染企业搬迁或升级改造、环境风险企业搬迁或关闭退出。</w:t>
                  </w:r>
                </w:p>
              </w:tc>
              <w:tc>
                <w:tcPr>
                  <w:tcW w:w="1165" w:type="pct"/>
                  <w:vMerge w:val="continue"/>
                  <w:tcBorders>
                    <w:tl2br w:val="nil"/>
                    <w:tr2bl w:val="nil"/>
                  </w:tcBorders>
                  <w:noWrap w:val="0"/>
                  <w:vAlign w:val="center"/>
                </w:tcPr>
                <w:p w14:paraId="583195BA">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rPr>
                  </w:pPr>
                </w:p>
              </w:tc>
              <w:tc>
                <w:tcPr>
                  <w:tcW w:w="350" w:type="pct"/>
                  <w:vMerge w:val="continue"/>
                  <w:tcBorders>
                    <w:tl2br w:val="nil"/>
                    <w:tr2bl w:val="nil"/>
                  </w:tcBorders>
                  <w:noWrap w:val="0"/>
                  <w:vAlign w:val="center"/>
                </w:tcPr>
                <w:p w14:paraId="78A148C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5758A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1" w:hRule="atLeast"/>
              </w:trPr>
              <w:tc>
                <w:tcPr>
                  <w:tcW w:w="475" w:type="pct"/>
                  <w:vMerge w:val="continue"/>
                  <w:tcBorders>
                    <w:tl2br w:val="nil"/>
                    <w:tr2bl w:val="nil"/>
                  </w:tcBorders>
                  <w:noWrap w:val="0"/>
                  <w:vAlign w:val="center"/>
                </w:tcPr>
                <w:p w14:paraId="6BE2602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6E665E57">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0D1599BA">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7.新建、扩建的涉及重点重金属污染物［1］的有色金属冶炼、电镀、制革、铅蓄电池制造企业布局应符合《福建省进一步加强重金属污染防控实施方案》（闽环保固体〔2022〕17号）要求。禁止低端落后产能向闽江中上游地区、九龙江北溪江东北引桥闸以上、西溪桥闸以上流域、晋江流域上游转移。禁止新建用汞的电石法（聚）氯乙烯生产工艺。</w:t>
                  </w:r>
                </w:p>
              </w:tc>
              <w:tc>
                <w:tcPr>
                  <w:tcW w:w="1165" w:type="pct"/>
                  <w:vMerge w:val="continue"/>
                  <w:tcBorders>
                    <w:tl2br w:val="nil"/>
                    <w:tr2bl w:val="nil"/>
                  </w:tcBorders>
                  <w:noWrap w:val="0"/>
                  <w:vAlign w:val="center"/>
                </w:tcPr>
                <w:p w14:paraId="5A47BE73">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rPr>
                  </w:pPr>
                </w:p>
              </w:tc>
              <w:tc>
                <w:tcPr>
                  <w:tcW w:w="350" w:type="pct"/>
                  <w:vMerge w:val="continue"/>
                  <w:tcBorders>
                    <w:tl2br w:val="nil"/>
                    <w:tr2bl w:val="nil"/>
                  </w:tcBorders>
                  <w:noWrap w:val="0"/>
                  <w:vAlign w:val="center"/>
                </w:tcPr>
                <w:p w14:paraId="18501DC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30695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7" w:hRule="atLeast"/>
              </w:trPr>
              <w:tc>
                <w:tcPr>
                  <w:tcW w:w="475" w:type="pct"/>
                  <w:vMerge w:val="continue"/>
                  <w:tcBorders>
                    <w:tl2br w:val="nil"/>
                    <w:tr2bl w:val="nil"/>
                  </w:tcBorders>
                  <w:noWrap w:val="0"/>
                  <w:vAlign w:val="center"/>
                </w:tcPr>
                <w:p w14:paraId="3342F06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restart"/>
                  <w:tcBorders>
                    <w:tl2br w:val="nil"/>
                    <w:tr2bl w:val="nil"/>
                  </w:tcBorders>
                  <w:noWrap w:val="0"/>
                  <w:vAlign w:val="center"/>
                </w:tcPr>
                <w:p w14:paraId="3752E26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污染物排放管控</w:t>
                  </w:r>
                </w:p>
              </w:tc>
              <w:tc>
                <w:tcPr>
                  <w:tcW w:w="2761" w:type="pct"/>
                  <w:tcBorders>
                    <w:tl2br w:val="nil"/>
                    <w:tr2bl w:val="nil"/>
                  </w:tcBorders>
                  <w:noWrap w:val="0"/>
                  <w:vAlign w:val="center"/>
                </w:tcPr>
                <w:p w14:paraId="2D444A15">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color w:val="auto"/>
                      <w:vertAlign w:val="baseline"/>
                      <w:lang w:val="en-US" w:eastAsia="zh-CN"/>
                    </w:rPr>
                    <w:t>1.建设项目新增的主要污染物（含VOCs）排放量应按要求实行等量或倍量替代。重点行业建设项目新增的主要污染物排放量应同时</w:t>
                  </w:r>
                  <w:r>
                    <w:rPr>
                      <w:rFonts w:hint="eastAsia"/>
                      <w:vertAlign w:val="baseline"/>
                      <w:lang w:val="en-US" w:eastAsia="zh-CN"/>
                    </w:rPr>
                    <w:t>满足《关于加强重点行业建设项目区域削减措施监督管理的通知》（环办环评〔2020〕36号）的要求。涉及新增总磷排放的建设项目应符合相关削减替代要求。新、改、扩建重点行业［2］建设项目要符合“闽环保固体〔2022〕17号”文件要求</w:t>
                  </w:r>
                  <w:r>
                    <w:rPr>
                      <w:rFonts w:hint="default" w:ascii="Times New Roman" w:hAnsi="Times New Roman" w:eastAsia="宋体" w:cs="Times New Roman"/>
                      <w:color w:val="auto"/>
                      <w:sz w:val="21"/>
                      <w:szCs w:val="21"/>
                      <w:u w:val="none"/>
                    </w:rPr>
                    <w:t>。涉新增VOCs排放项目，VOCs排放实行区域内等量替代，福州、厦门、漳州、泉州、莆田、宁德等6个重点控制区可实施倍量替代。</w:t>
                  </w:r>
                </w:p>
              </w:tc>
              <w:tc>
                <w:tcPr>
                  <w:tcW w:w="1165" w:type="pct"/>
                  <w:tcBorders>
                    <w:tl2br w:val="nil"/>
                    <w:tr2bl w:val="nil"/>
                  </w:tcBorders>
                  <w:noWrap w:val="0"/>
                  <w:vAlign w:val="center"/>
                </w:tcPr>
                <w:p w14:paraId="2BFAADD1">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r>
                    <w:rPr>
                      <w:rFonts w:hint="eastAsia" w:ascii="Times New Roman" w:hAnsi="Times New Roman" w:eastAsia="宋体" w:cs="Times New Roman"/>
                      <w:color w:val="auto"/>
                      <w:kern w:val="0"/>
                      <w:sz w:val="21"/>
                      <w:szCs w:val="21"/>
                      <w:u w:val="none"/>
                      <w:vertAlign w:val="baseline"/>
                      <w:lang w:val="en-US" w:eastAsia="zh-CN"/>
                    </w:rPr>
                    <w:t>本项目涉及VOCs排放，</w:t>
                  </w:r>
                  <w:r>
                    <w:rPr>
                      <w:rFonts w:hint="default" w:ascii="Times New Roman" w:hAnsi="Times New Roman" w:eastAsia="宋体" w:cs="Times New Roman"/>
                      <w:color w:val="auto"/>
                      <w:kern w:val="0"/>
                      <w:sz w:val="21"/>
                      <w:szCs w:val="21"/>
                      <w:u w:val="none"/>
                      <w:vertAlign w:val="baseline"/>
                    </w:rPr>
                    <w:t>项目投产前，按生态环境主管部门相关规定落实挥发性有机物的</w:t>
                  </w:r>
                  <w:r>
                    <w:rPr>
                      <w:rFonts w:hint="default" w:ascii="Times New Roman" w:hAnsi="Times New Roman" w:eastAsia="宋体" w:cs="Times New Roman"/>
                      <w:color w:val="auto"/>
                      <w:kern w:val="0"/>
                      <w:sz w:val="21"/>
                      <w:szCs w:val="21"/>
                      <w:u w:val="none"/>
                      <w:vertAlign w:val="baseline"/>
                      <w:lang w:val="en-US" w:eastAsia="zh-CN"/>
                    </w:rPr>
                    <w:t>1.2</w:t>
                  </w:r>
                  <w:r>
                    <w:rPr>
                      <w:rFonts w:hint="default" w:ascii="Times New Roman" w:hAnsi="Times New Roman" w:eastAsia="宋体" w:cs="Times New Roman"/>
                      <w:color w:val="auto"/>
                      <w:kern w:val="0"/>
                      <w:sz w:val="21"/>
                      <w:szCs w:val="21"/>
                      <w:u w:val="none"/>
                      <w:vertAlign w:val="baseline"/>
                    </w:rPr>
                    <w:t>倍量替代</w:t>
                  </w:r>
                </w:p>
              </w:tc>
              <w:tc>
                <w:tcPr>
                  <w:tcW w:w="350" w:type="pct"/>
                  <w:vMerge w:val="restart"/>
                  <w:tcBorders>
                    <w:tl2br w:val="nil"/>
                    <w:tr2bl w:val="nil"/>
                  </w:tcBorders>
                  <w:noWrap w:val="0"/>
                  <w:vAlign w:val="center"/>
                </w:tcPr>
                <w:p w14:paraId="1F6A79C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符合</w:t>
                  </w:r>
                </w:p>
              </w:tc>
            </w:tr>
            <w:tr w14:paraId="135C7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475" w:type="pct"/>
                  <w:vMerge w:val="continue"/>
                  <w:tcBorders>
                    <w:tl2br w:val="nil"/>
                    <w:tr2bl w:val="nil"/>
                  </w:tcBorders>
                  <w:noWrap w:val="0"/>
                  <w:vAlign w:val="center"/>
                </w:tcPr>
                <w:p w14:paraId="266AD45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6D8BADA8">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65A585C1">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2.新改扩建钢铁、火电项目应执行超低排放限值，有色项目应当执行大气污染物特别排放限值。水泥行业新改扩建项目严格对照超低排放、能效标杆水平建设实施，现有项目超低排放改造应按“闽环规〔2023〕2号”文件的时限要求分步推进，2025年底前全面完成</w:t>
                  </w:r>
                  <w:r>
                    <w:rPr>
                      <w:rFonts w:hint="eastAsia"/>
                      <w:vertAlign w:val="superscript"/>
                      <w:lang w:val="en-US" w:eastAsia="zh-CN"/>
                    </w:rPr>
                    <w:t>［2］［4］</w:t>
                  </w:r>
                  <w:r>
                    <w:rPr>
                      <w:rFonts w:hint="eastAsia"/>
                      <w:vertAlign w:val="baseline"/>
                      <w:lang w:val="en-US" w:eastAsia="zh-CN"/>
                    </w:rPr>
                    <w:t>。</w:t>
                  </w:r>
                </w:p>
              </w:tc>
              <w:tc>
                <w:tcPr>
                  <w:tcW w:w="1165" w:type="pct"/>
                  <w:tcBorders>
                    <w:tl2br w:val="nil"/>
                    <w:tr2bl w:val="nil"/>
                  </w:tcBorders>
                  <w:noWrap w:val="0"/>
                  <w:vAlign w:val="center"/>
                </w:tcPr>
                <w:p w14:paraId="1AB4FB39">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r>
                    <w:rPr>
                      <w:rFonts w:hint="default" w:ascii="Times New Roman" w:hAnsi="Times New Roman" w:eastAsia="宋体" w:cs="Times New Roman"/>
                      <w:color w:val="auto"/>
                      <w:sz w:val="21"/>
                      <w:szCs w:val="21"/>
                      <w:u w:val="none"/>
                    </w:rPr>
                    <w:t>本项目</w:t>
                  </w:r>
                  <w:r>
                    <w:rPr>
                      <w:rFonts w:hint="default" w:ascii="Times New Roman" w:hAnsi="Times New Roman" w:eastAsia="宋体" w:cs="Times New Roman"/>
                      <w:color w:val="auto"/>
                      <w:spacing w:val="-5"/>
                      <w:sz w:val="21"/>
                      <w:szCs w:val="21"/>
                      <w:u w:val="none"/>
                    </w:rPr>
                    <w:t>不属于</w:t>
                  </w:r>
                  <w:r>
                    <w:rPr>
                      <w:rFonts w:hint="eastAsia" w:ascii="Times New Roman" w:hAnsi="Times New Roman" w:eastAsia="宋体" w:cs="Times New Roman"/>
                      <w:color w:val="auto"/>
                      <w:spacing w:val="-5"/>
                      <w:sz w:val="21"/>
                      <w:szCs w:val="21"/>
                      <w:u w:val="none"/>
                      <w:lang w:val="en-US" w:eastAsia="zh-CN"/>
                    </w:rPr>
                    <w:t>钢铁、火电</w:t>
                  </w:r>
                  <w:r>
                    <w:rPr>
                      <w:rFonts w:hint="default" w:ascii="Times New Roman" w:hAnsi="Times New Roman" w:eastAsia="宋体" w:cs="Times New Roman"/>
                      <w:color w:val="auto"/>
                      <w:spacing w:val="-5"/>
                      <w:sz w:val="21"/>
                      <w:szCs w:val="21"/>
                      <w:u w:val="none"/>
                    </w:rPr>
                    <w:t>项目</w:t>
                  </w:r>
                  <w:r>
                    <w:rPr>
                      <w:rFonts w:hint="default" w:ascii="Times New Roman" w:hAnsi="Times New Roman" w:eastAsia="宋体" w:cs="Times New Roman"/>
                      <w:color w:val="auto"/>
                      <w:sz w:val="21"/>
                      <w:szCs w:val="21"/>
                      <w:u w:val="none"/>
                    </w:rPr>
                    <w:t>，无超低排放限值要求</w:t>
                  </w:r>
                </w:p>
              </w:tc>
              <w:tc>
                <w:tcPr>
                  <w:tcW w:w="350" w:type="pct"/>
                  <w:vMerge w:val="continue"/>
                  <w:tcBorders>
                    <w:tl2br w:val="nil"/>
                    <w:tr2bl w:val="nil"/>
                  </w:tcBorders>
                  <w:noWrap w:val="0"/>
                  <w:vAlign w:val="center"/>
                </w:tcPr>
                <w:p w14:paraId="49BC787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52F53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5" w:type="pct"/>
                  <w:vMerge w:val="continue"/>
                  <w:tcBorders>
                    <w:tl2br w:val="nil"/>
                    <w:tr2bl w:val="nil"/>
                  </w:tcBorders>
                  <w:noWrap w:val="0"/>
                  <w:vAlign w:val="center"/>
                </w:tcPr>
                <w:p w14:paraId="1785F65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7BC14A4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70427B7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kern w:val="0"/>
                      <w:sz w:val="21"/>
                      <w:szCs w:val="21"/>
                      <w:u w:val="none"/>
                      <w:vertAlign w:val="baseline"/>
                    </w:rPr>
                  </w:pPr>
                  <w:r>
                    <w:rPr>
                      <w:rFonts w:hint="eastAsia"/>
                      <w:vertAlign w:val="baseline"/>
                      <w:lang w:val="en-US" w:eastAsia="zh-CN"/>
                    </w:rPr>
                    <w:t>3.近岸海域汇水区域、“六江两溪”流域以及排入湖泊、水库等封闭、半封闭水域的城镇污水处理设施执行不低于一级A排放标准。到2025年，省级及以上各类开发区、工业园区完成“污水零直排区”建设，混合处理工业污水和生活污水的污水处理厂达到一级A排放标准。</w:t>
                  </w:r>
                </w:p>
              </w:tc>
              <w:tc>
                <w:tcPr>
                  <w:tcW w:w="1165" w:type="pct"/>
                  <w:tcBorders>
                    <w:tl2br w:val="nil"/>
                    <w:tr2bl w:val="nil"/>
                  </w:tcBorders>
                  <w:noWrap w:val="0"/>
                  <w:vAlign w:val="center"/>
                </w:tcPr>
                <w:p w14:paraId="7902A3F1">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sz w:val="21"/>
                      <w:szCs w:val="21"/>
                      <w:u w:val="none"/>
                      <w:lang w:val="en-US" w:eastAsia="zh-CN"/>
                    </w:rPr>
                    <w:t>本项目运营期冷却水循环使用不外排；喷粉前清洗水经过自建废水处理设施处理后回用于清洗工序，不外排；生活污水经化粪池预处理后，排入市政污水管网纳入福清市融元污水处理厂进行集中</w:t>
                  </w:r>
                  <w:r>
                    <w:rPr>
                      <w:rFonts w:hint="default" w:ascii="Times New Roman" w:hAnsi="Times New Roman" w:eastAsia="宋体" w:cs="Times New Roman"/>
                      <w:color w:val="auto"/>
                      <w:sz w:val="21"/>
                      <w:szCs w:val="21"/>
                      <w:u w:val="none"/>
                      <w:lang w:val="en-US" w:eastAsia="zh-CN"/>
                    </w:rPr>
                    <w:t>处理</w:t>
                  </w:r>
                  <w:r>
                    <w:rPr>
                      <w:rFonts w:hint="eastAsia" w:ascii="Times New Roman" w:hAnsi="Times New Roman" w:eastAsia="宋体" w:cs="Times New Roman"/>
                      <w:color w:val="auto"/>
                      <w:sz w:val="21"/>
                      <w:szCs w:val="21"/>
                      <w:u w:val="none"/>
                      <w:lang w:val="en-US" w:eastAsia="zh-CN"/>
                    </w:rPr>
                    <w:t>。</w:t>
                  </w:r>
                </w:p>
              </w:tc>
              <w:tc>
                <w:tcPr>
                  <w:tcW w:w="350" w:type="pct"/>
                  <w:vMerge w:val="continue"/>
                  <w:tcBorders>
                    <w:tl2br w:val="nil"/>
                    <w:tr2bl w:val="nil"/>
                  </w:tcBorders>
                  <w:noWrap w:val="0"/>
                  <w:vAlign w:val="center"/>
                </w:tcPr>
                <w:p w14:paraId="1E31652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11871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475" w:type="pct"/>
                  <w:vMerge w:val="continue"/>
                  <w:tcBorders>
                    <w:tl2br w:val="nil"/>
                    <w:tr2bl w:val="nil"/>
                  </w:tcBorders>
                  <w:noWrap w:val="0"/>
                  <w:vAlign w:val="center"/>
                </w:tcPr>
                <w:p w14:paraId="452B377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637A7A0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5E220F2B">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4.优化调整货物运输方式，提升铁路货运比例，推进钢铁、电力、电解铝、焦化等重点工业企业和工业园区货物由公路运输转向铁路运输。</w:t>
                  </w:r>
                </w:p>
              </w:tc>
              <w:tc>
                <w:tcPr>
                  <w:tcW w:w="1165" w:type="pct"/>
                  <w:vMerge w:val="restart"/>
                  <w:tcBorders>
                    <w:tl2br w:val="nil"/>
                    <w:tr2bl w:val="nil"/>
                  </w:tcBorders>
                  <w:noWrap w:val="0"/>
                  <w:vAlign w:val="center"/>
                </w:tcPr>
                <w:p w14:paraId="1F9E986F">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本项目不属于</w:t>
                  </w:r>
                  <w:r>
                    <w:rPr>
                      <w:rFonts w:hint="eastAsia"/>
                      <w:vertAlign w:val="baseline"/>
                      <w:lang w:val="en-US" w:eastAsia="zh-CN"/>
                    </w:rPr>
                    <w:t>钢铁、电力、电解铝、焦化、石化、涂料、纺织印染、橡胶、医药等重点工业企业</w:t>
                  </w:r>
                </w:p>
              </w:tc>
              <w:tc>
                <w:tcPr>
                  <w:tcW w:w="350" w:type="pct"/>
                  <w:vMerge w:val="continue"/>
                  <w:tcBorders>
                    <w:tl2br w:val="nil"/>
                    <w:tr2bl w:val="nil"/>
                  </w:tcBorders>
                  <w:noWrap w:val="0"/>
                  <w:vAlign w:val="center"/>
                </w:tcPr>
                <w:p w14:paraId="76BCC8B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0A202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475" w:type="pct"/>
                  <w:vMerge w:val="continue"/>
                  <w:tcBorders>
                    <w:tl2br w:val="nil"/>
                    <w:tr2bl w:val="nil"/>
                  </w:tcBorders>
                  <w:noWrap w:val="0"/>
                  <w:vAlign w:val="center"/>
                </w:tcPr>
                <w:p w14:paraId="543866F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628E2F5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761" w:type="pct"/>
                  <w:tcBorders>
                    <w:tl2br w:val="nil"/>
                    <w:tr2bl w:val="nil"/>
                  </w:tcBorders>
                  <w:noWrap w:val="0"/>
                  <w:vAlign w:val="center"/>
                </w:tcPr>
                <w:p w14:paraId="79AD1EB8">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5.加强石化、涂料、纺织印染、橡胶、医药等行业新污染物环境风险管控。</w:t>
                  </w:r>
                </w:p>
              </w:tc>
              <w:tc>
                <w:tcPr>
                  <w:tcW w:w="1165" w:type="pct"/>
                  <w:vMerge w:val="continue"/>
                  <w:tcBorders>
                    <w:tl2br w:val="nil"/>
                    <w:tr2bl w:val="nil"/>
                  </w:tcBorders>
                  <w:noWrap w:val="0"/>
                  <w:vAlign w:val="center"/>
                </w:tcPr>
                <w:p w14:paraId="5E84F4D6">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350" w:type="pct"/>
                  <w:vMerge w:val="continue"/>
                  <w:tcBorders>
                    <w:tl2br w:val="nil"/>
                    <w:tr2bl w:val="nil"/>
                  </w:tcBorders>
                  <w:noWrap w:val="0"/>
                  <w:vAlign w:val="center"/>
                </w:tcPr>
                <w:p w14:paraId="715DB535">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4442B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475" w:type="pct"/>
                  <w:vMerge w:val="continue"/>
                  <w:tcBorders>
                    <w:tl2br w:val="nil"/>
                    <w:tr2bl w:val="nil"/>
                  </w:tcBorders>
                  <w:noWrap w:val="0"/>
                  <w:vAlign w:val="center"/>
                </w:tcPr>
                <w:p w14:paraId="3C3EB52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restart"/>
                  <w:tcBorders>
                    <w:tl2br w:val="nil"/>
                    <w:tr2bl w:val="nil"/>
                  </w:tcBorders>
                  <w:noWrap w:val="0"/>
                  <w:vAlign w:val="center"/>
                </w:tcPr>
                <w:p w14:paraId="5344AE6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资源开发效率要求</w:t>
                  </w:r>
                </w:p>
                <w:p w14:paraId="5D955C78">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61" w:type="pct"/>
                  <w:tcBorders>
                    <w:tl2br w:val="nil"/>
                    <w:tr2bl w:val="nil"/>
                  </w:tcBorders>
                  <w:noWrap w:val="0"/>
                  <w:vAlign w:val="center"/>
                </w:tcPr>
                <w:p w14:paraId="0B4501A2">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1.实施能源消耗总量和强度双控。</w:t>
                  </w:r>
                </w:p>
              </w:tc>
              <w:tc>
                <w:tcPr>
                  <w:tcW w:w="1165" w:type="pct"/>
                  <w:vMerge w:val="restart"/>
                  <w:tcBorders>
                    <w:tl2br w:val="nil"/>
                    <w:tr2bl w:val="nil"/>
                  </w:tcBorders>
                  <w:noWrap w:val="0"/>
                  <w:vAlign w:val="center"/>
                </w:tcPr>
                <w:p w14:paraId="36BB9CBD">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kern w:val="0"/>
                      <w:sz w:val="21"/>
                      <w:szCs w:val="21"/>
                      <w:highlight w:val="none"/>
                      <w:vertAlign w:val="baseline"/>
                      <w:lang w:val="en-US" w:eastAsia="zh-CN"/>
                    </w:rPr>
                    <w:t>本项目</w:t>
                  </w:r>
                  <w:r>
                    <w:rPr>
                      <w:rFonts w:hint="default" w:ascii="Times New Roman" w:hAnsi="Times New Roman" w:cs="Times New Roman"/>
                      <w:color w:val="auto"/>
                      <w:kern w:val="0"/>
                      <w:sz w:val="21"/>
                      <w:szCs w:val="21"/>
                      <w:highlight w:val="none"/>
                      <w:vertAlign w:val="baseline"/>
                      <w:lang w:val="en-US" w:eastAsia="zh-CN"/>
                    </w:rPr>
                    <w:t>仅使用电能</w:t>
                  </w:r>
                  <w:r>
                    <w:rPr>
                      <w:rFonts w:hint="eastAsia" w:ascii="Times New Roman" w:hAnsi="Times New Roman" w:cs="Times New Roman"/>
                      <w:color w:val="auto"/>
                      <w:kern w:val="0"/>
                      <w:sz w:val="21"/>
                      <w:szCs w:val="21"/>
                      <w:highlight w:val="none"/>
                      <w:vertAlign w:val="baseline"/>
                      <w:lang w:val="en-US" w:eastAsia="zh-CN"/>
                    </w:rPr>
                    <w:t>和水能</w:t>
                  </w:r>
                  <w:r>
                    <w:rPr>
                      <w:rFonts w:hint="default" w:ascii="Times New Roman" w:hAnsi="Times New Roman" w:cs="Times New Roman"/>
                      <w:color w:val="auto"/>
                      <w:kern w:val="0"/>
                      <w:sz w:val="21"/>
                      <w:szCs w:val="21"/>
                      <w:highlight w:val="none"/>
                      <w:vertAlign w:val="baseline"/>
                      <w:lang w:val="en-US" w:eastAsia="zh-CN"/>
                    </w:rPr>
                    <w:t>，</w:t>
                  </w:r>
                  <w:r>
                    <w:rPr>
                      <w:rFonts w:hint="eastAsia" w:cs="Times New Roman"/>
                      <w:color w:val="auto"/>
                      <w:kern w:val="0"/>
                      <w:sz w:val="21"/>
                      <w:szCs w:val="21"/>
                      <w:highlight w:val="none"/>
                      <w:vertAlign w:val="baseline"/>
                      <w:lang w:val="en-US" w:eastAsia="zh-CN"/>
                    </w:rPr>
                    <w:t>属于清洁能源，</w:t>
                  </w:r>
                  <w:r>
                    <w:rPr>
                      <w:rFonts w:hint="default" w:ascii="Times New Roman" w:hAnsi="Times New Roman" w:cs="Times New Roman"/>
                      <w:color w:val="auto"/>
                      <w:kern w:val="0"/>
                      <w:sz w:val="21"/>
                      <w:szCs w:val="21"/>
                      <w:highlight w:val="none"/>
                      <w:vertAlign w:val="baseline"/>
                      <w:lang w:val="en-US" w:eastAsia="zh-CN"/>
                    </w:rPr>
                    <w:t>不涉及其他</w:t>
                  </w:r>
                  <w:r>
                    <w:rPr>
                      <w:rFonts w:hint="eastAsia" w:cs="Times New Roman"/>
                      <w:color w:val="auto"/>
                      <w:kern w:val="0"/>
                      <w:sz w:val="21"/>
                      <w:szCs w:val="21"/>
                      <w:highlight w:val="none"/>
                      <w:vertAlign w:val="baseline"/>
                      <w:lang w:val="en-US" w:eastAsia="zh-CN"/>
                    </w:rPr>
                    <w:t>能源</w:t>
                  </w:r>
                  <w:r>
                    <w:rPr>
                      <w:rFonts w:hint="default" w:ascii="Times New Roman" w:hAnsi="Times New Roman" w:eastAsia="宋体" w:cs="Times New Roman"/>
                      <w:b w:val="0"/>
                      <w:bCs w:val="0"/>
                      <w:color w:val="auto"/>
                      <w:sz w:val="21"/>
                      <w:szCs w:val="21"/>
                      <w:highlight w:val="none"/>
                      <w:lang w:eastAsia="zh-CN"/>
                    </w:rPr>
                    <w:t>；</w:t>
                  </w:r>
                </w:p>
              </w:tc>
              <w:tc>
                <w:tcPr>
                  <w:tcW w:w="350" w:type="pct"/>
                  <w:vMerge w:val="restart"/>
                  <w:tcBorders>
                    <w:tl2br w:val="nil"/>
                    <w:tr2bl w:val="nil"/>
                  </w:tcBorders>
                  <w:noWrap w:val="0"/>
                  <w:vAlign w:val="center"/>
                </w:tcPr>
                <w:p w14:paraId="4F5605BE">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符合</w:t>
                  </w:r>
                </w:p>
              </w:tc>
            </w:tr>
            <w:tr w14:paraId="17C7F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75" w:type="pct"/>
                  <w:vMerge w:val="continue"/>
                  <w:tcBorders>
                    <w:tl2br w:val="nil"/>
                    <w:tr2bl w:val="nil"/>
                  </w:tcBorders>
                  <w:noWrap w:val="0"/>
                  <w:vAlign w:val="center"/>
                </w:tcPr>
                <w:p w14:paraId="4C4A315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159FAEA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61" w:type="pct"/>
                  <w:tcBorders>
                    <w:tl2br w:val="nil"/>
                    <w:tr2bl w:val="nil"/>
                  </w:tcBorders>
                  <w:noWrap w:val="0"/>
                  <w:vAlign w:val="center"/>
                </w:tcPr>
                <w:p w14:paraId="091A04BF">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2.强化产业园区单位土地面积投资强度和效用指标的刚性约束，提高土地利用效率。</w:t>
                  </w:r>
                </w:p>
              </w:tc>
              <w:tc>
                <w:tcPr>
                  <w:tcW w:w="1165" w:type="pct"/>
                  <w:vMerge w:val="continue"/>
                  <w:tcBorders>
                    <w:tl2br w:val="nil"/>
                    <w:tr2bl w:val="nil"/>
                  </w:tcBorders>
                  <w:noWrap w:val="0"/>
                  <w:vAlign w:val="center"/>
                </w:tcPr>
                <w:p w14:paraId="22F42DA9">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350" w:type="pct"/>
                  <w:vMerge w:val="continue"/>
                  <w:tcBorders>
                    <w:tl2br w:val="nil"/>
                    <w:tr2bl w:val="nil"/>
                  </w:tcBorders>
                  <w:noWrap w:val="0"/>
                  <w:vAlign w:val="center"/>
                </w:tcPr>
                <w:p w14:paraId="4F3F4B58">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640CD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2" w:hRule="atLeast"/>
              </w:trPr>
              <w:tc>
                <w:tcPr>
                  <w:tcW w:w="475" w:type="pct"/>
                  <w:vMerge w:val="continue"/>
                  <w:tcBorders>
                    <w:tl2br w:val="nil"/>
                    <w:tr2bl w:val="nil"/>
                  </w:tcBorders>
                  <w:noWrap w:val="0"/>
                  <w:vAlign w:val="center"/>
                </w:tcPr>
                <w:p w14:paraId="3485B49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16BBBA1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61" w:type="pct"/>
                  <w:tcBorders>
                    <w:tl2br w:val="nil"/>
                    <w:tr2bl w:val="nil"/>
                  </w:tcBorders>
                  <w:noWrap w:val="0"/>
                  <w:vAlign w:val="center"/>
                </w:tcPr>
                <w:p w14:paraId="347DFCE1">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3.具备使用再生水条件但未充分利用的钢铁、火电、化工、制浆造纸、印染等项目，不得批准其新增取水许可。在沿海地区电力、化工、石化等行业，推行直接利用海水作为循环冷却等工业用水。</w:t>
                  </w:r>
                </w:p>
              </w:tc>
              <w:tc>
                <w:tcPr>
                  <w:tcW w:w="1165" w:type="pct"/>
                  <w:vMerge w:val="continue"/>
                  <w:tcBorders>
                    <w:tl2br w:val="nil"/>
                    <w:tr2bl w:val="nil"/>
                  </w:tcBorders>
                  <w:noWrap w:val="0"/>
                  <w:vAlign w:val="center"/>
                </w:tcPr>
                <w:p w14:paraId="14EE6926">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350" w:type="pct"/>
                  <w:vMerge w:val="continue"/>
                  <w:tcBorders>
                    <w:tl2br w:val="nil"/>
                    <w:tr2bl w:val="nil"/>
                  </w:tcBorders>
                  <w:noWrap w:val="0"/>
                  <w:vAlign w:val="center"/>
                </w:tcPr>
                <w:p w14:paraId="3A90DF7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5B8007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75" w:type="pct"/>
                  <w:vMerge w:val="continue"/>
                  <w:tcBorders>
                    <w:tl2br w:val="nil"/>
                    <w:tr2bl w:val="nil"/>
                  </w:tcBorders>
                  <w:noWrap w:val="0"/>
                  <w:vAlign w:val="center"/>
                </w:tcPr>
                <w:p w14:paraId="544648F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1375CC8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61" w:type="pct"/>
                  <w:tcBorders>
                    <w:tl2br w:val="nil"/>
                    <w:tr2bl w:val="nil"/>
                  </w:tcBorders>
                  <w:noWrap w:val="0"/>
                  <w:vAlign w:val="center"/>
                </w:tcPr>
                <w:p w14:paraId="7FEAE4B7">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4.落实“闽环规〔2023〕1号”文件要求，不再新建每小时35蒸吨以下燃煤锅炉，以及每小时10蒸吨及以下燃生物质和其他使用高污染燃料的锅炉。集中供热管网覆盖范围内禁止新建、扩建分散燃煤、燃油等供热锅炉。</w:t>
                  </w:r>
                </w:p>
              </w:tc>
              <w:tc>
                <w:tcPr>
                  <w:tcW w:w="1165" w:type="pct"/>
                  <w:vMerge w:val="continue"/>
                  <w:tcBorders>
                    <w:tl2br w:val="nil"/>
                    <w:tr2bl w:val="nil"/>
                  </w:tcBorders>
                  <w:noWrap w:val="0"/>
                  <w:vAlign w:val="center"/>
                </w:tcPr>
                <w:p w14:paraId="45A9F738">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350" w:type="pct"/>
                  <w:vMerge w:val="continue"/>
                  <w:tcBorders>
                    <w:tl2br w:val="nil"/>
                    <w:tr2bl w:val="nil"/>
                  </w:tcBorders>
                  <w:noWrap w:val="0"/>
                  <w:vAlign w:val="center"/>
                </w:tcPr>
                <w:p w14:paraId="7B390FD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r w14:paraId="4C4F5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75" w:type="pct"/>
                  <w:vMerge w:val="continue"/>
                  <w:tcBorders>
                    <w:tl2br w:val="nil"/>
                    <w:tr2bl w:val="nil"/>
                  </w:tcBorders>
                  <w:noWrap w:val="0"/>
                  <w:vAlign w:val="center"/>
                </w:tcPr>
                <w:p w14:paraId="2F50DBE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c>
                <w:tcPr>
                  <w:tcW w:w="247" w:type="pct"/>
                  <w:vMerge w:val="continue"/>
                  <w:tcBorders>
                    <w:tl2br w:val="nil"/>
                    <w:tr2bl w:val="nil"/>
                  </w:tcBorders>
                  <w:noWrap w:val="0"/>
                  <w:vAlign w:val="center"/>
                </w:tcPr>
                <w:p w14:paraId="17A3E2C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61" w:type="pct"/>
                  <w:tcBorders>
                    <w:tl2br w:val="nil"/>
                    <w:tr2bl w:val="nil"/>
                  </w:tcBorders>
                  <w:noWrap w:val="0"/>
                  <w:vAlign w:val="center"/>
                </w:tcPr>
                <w:p w14:paraId="2446205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vertAlign w:val="baseline"/>
                      <w:lang w:val="en-US" w:eastAsia="zh-CN"/>
                    </w:rPr>
                  </w:pPr>
                  <w:r>
                    <w:rPr>
                      <w:rFonts w:hint="eastAsia"/>
                      <w:vertAlign w:val="baseline"/>
                      <w:lang w:val="en-US" w:eastAsia="zh-CN"/>
                    </w:rPr>
                    <w:t>5.落实“闽环保大气〔2023〕5号”文件要求，按照“提气、转电、控煤”的发展思路，推动陶瓷行业进一步优化用能结构，实现能源消费清洁低碳化。</w:t>
                  </w:r>
                </w:p>
              </w:tc>
              <w:tc>
                <w:tcPr>
                  <w:tcW w:w="1165" w:type="pct"/>
                  <w:vMerge w:val="continue"/>
                  <w:tcBorders>
                    <w:tl2br w:val="nil"/>
                    <w:tr2bl w:val="nil"/>
                  </w:tcBorders>
                  <w:noWrap w:val="0"/>
                  <w:vAlign w:val="center"/>
                </w:tcPr>
                <w:p w14:paraId="7263F0DC">
                  <w:pPr>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350" w:type="pct"/>
                  <w:vMerge w:val="continue"/>
                  <w:tcBorders>
                    <w:tl2br w:val="nil"/>
                    <w:tr2bl w:val="nil"/>
                  </w:tcBorders>
                  <w:noWrap w:val="0"/>
                  <w:vAlign w:val="center"/>
                </w:tcPr>
                <w:p w14:paraId="1AFD715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rPr>
                  </w:pPr>
                </w:p>
              </w:tc>
            </w:tr>
          </w:tbl>
          <w:p w14:paraId="485E1B1D">
            <w:pPr>
              <w:keepNext w:val="0"/>
              <w:keepLines w:val="0"/>
              <w:pageBreakBefore w:val="0"/>
              <w:widowControl w:val="0"/>
              <w:kinsoku/>
              <w:wordWrap/>
              <w:overflowPunct/>
              <w:topLinePunct w:val="0"/>
              <w:autoSpaceDE w:val="0"/>
              <w:autoSpaceDN w:val="0"/>
              <w:bidi w:val="0"/>
              <w:adjustRightInd w:val="0"/>
              <w:snapToGrid w:val="0"/>
              <w:spacing w:before="323" w:beforeLines="100" w:line="240" w:lineRule="auto"/>
              <w:ind w:left="0" w:right="0" w:firstLine="0" w:firstLineChars="0"/>
              <w:jc w:val="center"/>
              <w:textAlignment w:val="auto"/>
              <w:rPr>
                <w:rFonts w:hint="default" w:ascii="Times New Roman" w:hAnsi="Times New Roman" w:eastAsia="宋体" w:cs="Times New Roman"/>
                <w:b/>
                <w:bCs/>
                <w:color w:val="auto"/>
                <w:kern w:val="0"/>
                <w:sz w:val="24"/>
                <w:szCs w:val="24"/>
                <w:u w:val="none"/>
              </w:rPr>
            </w:pPr>
            <w:r>
              <w:rPr>
                <w:rFonts w:hint="default" w:ascii="Times New Roman" w:hAnsi="Times New Roman" w:eastAsia="宋体" w:cs="Times New Roman"/>
                <w:b/>
                <w:bCs/>
                <w:color w:val="auto"/>
                <w:kern w:val="0"/>
                <w:sz w:val="24"/>
                <w:szCs w:val="24"/>
                <w:u w:val="none"/>
              </w:rPr>
              <w:t>表</w:t>
            </w:r>
            <w:r>
              <w:rPr>
                <w:rFonts w:hint="default" w:ascii="Times New Roman" w:hAnsi="Times New Roman" w:eastAsia="宋体" w:cs="Times New Roman"/>
                <w:b/>
                <w:bCs/>
                <w:color w:val="auto"/>
                <w:kern w:val="0"/>
                <w:sz w:val="24"/>
                <w:szCs w:val="24"/>
                <w:u w:val="none"/>
                <w:lang w:val="en-US" w:eastAsia="zh-CN"/>
              </w:rPr>
              <w:t>1.1-</w:t>
            </w:r>
            <w:r>
              <w:rPr>
                <w:rFonts w:hint="eastAsia" w:ascii="Times New Roman" w:hAnsi="Times New Roman" w:eastAsia="宋体" w:cs="Times New Roman"/>
                <w:b/>
                <w:bCs/>
                <w:color w:val="auto"/>
                <w:kern w:val="0"/>
                <w:sz w:val="24"/>
                <w:szCs w:val="24"/>
                <w:u w:val="none"/>
                <w:lang w:val="en-US" w:eastAsia="zh-CN"/>
              </w:rPr>
              <w:t>3</w:t>
            </w:r>
            <w:r>
              <w:rPr>
                <w:rFonts w:hint="default" w:ascii="Times New Roman" w:hAnsi="Times New Roman" w:eastAsia="宋体" w:cs="Times New Roman"/>
                <w:b/>
                <w:bCs/>
                <w:color w:val="auto"/>
                <w:kern w:val="0"/>
                <w:sz w:val="24"/>
                <w:szCs w:val="24"/>
                <w:u w:val="none"/>
              </w:rPr>
              <w:t xml:space="preserve"> </w:t>
            </w:r>
            <w:r>
              <w:rPr>
                <w:rFonts w:hint="eastAsia" w:ascii="Times New Roman" w:hAnsi="Times New Roman" w:eastAsia="宋体" w:cs="Times New Roman"/>
                <w:b/>
                <w:bCs/>
                <w:color w:val="auto"/>
                <w:sz w:val="24"/>
                <w:szCs w:val="24"/>
                <w:highlight w:val="none"/>
                <w:lang w:val="en-US" w:eastAsia="zh-CN"/>
              </w:rPr>
              <w:t>福州市</w:t>
            </w:r>
            <w:r>
              <w:rPr>
                <w:rFonts w:hint="default" w:ascii="Times New Roman" w:hAnsi="Times New Roman" w:eastAsia="宋体" w:cs="Times New Roman"/>
                <w:b/>
                <w:bCs/>
                <w:color w:val="auto"/>
                <w:sz w:val="24"/>
                <w:szCs w:val="24"/>
                <w:highlight w:val="none"/>
              </w:rPr>
              <w:t>生态环境总体准入要求的符合性分析</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901"/>
              <w:gridCol w:w="7390"/>
              <w:gridCol w:w="2716"/>
              <w:gridCol w:w="891"/>
            </w:tblGrid>
            <w:tr w14:paraId="5931C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85" w:type="pct"/>
                  <w:tcBorders>
                    <w:tl2br w:val="nil"/>
                    <w:tr2bl w:val="nil"/>
                  </w:tcBorders>
                  <w:vAlign w:val="center"/>
                </w:tcPr>
                <w:p w14:paraId="32234017">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适用范围</w:t>
                  </w:r>
                </w:p>
              </w:tc>
              <w:tc>
                <w:tcPr>
                  <w:tcW w:w="3284" w:type="pct"/>
                  <w:gridSpan w:val="2"/>
                  <w:tcBorders>
                    <w:tl2br w:val="nil"/>
                    <w:tr2bl w:val="nil"/>
                  </w:tcBorders>
                  <w:vAlign w:val="center"/>
                </w:tcPr>
                <w:p w14:paraId="41300C5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准入要求</w:t>
                  </w:r>
                </w:p>
              </w:tc>
              <w:tc>
                <w:tcPr>
                  <w:tcW w:w="1076" w:type="pct"/>
                  <w:tcBorders>
                    <w:tl2br w:val="nil"/>
                    <w:tr2bl w:val="nil"/>
                  </w:tcBorders>
                  <w:vAlign w:val="center"/>
                </w:tcPr>
                <w:p w14:paraId="1375B471">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本项目情况</w:t>
                  </w:r>
                </w:p>
              </w:tc>
              <w:tc>
                <w:tcPr>
                  <w:tcW w:w="353" w:type="pct"/>
                  <w:tcBorders>
                    <w:tl2br w:val="nil"/>
                    <w:tr2bl w:val="nil"/>
                  </w:tcBorders>
                  <w:vAlign w:val="center"/>
                </w:tcPr>
                <w:p w14:paraId="0D28D6F0">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符合性</w:t>
                  </w:r>
                </w:p>
              </w:tc>
            </w:tr>
            <w:tr w14:paraId="180BB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restart"/>
                  <w:tcBorders>
                    <w:tl2br w:val="nil"/>
                    <w:tr2bl w:val="nil"/>
                  </w:tcBorders>
                  <w:vAlign w:val="center"/>
                </w:tcPr>
                <w:p w14:paraId="1E9983C2">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城镇生活类重点管控单元</w:t>
                  </w:r>
                </w:p>
              </w:tc>
              <w:tc>
                <w:tcPr>
                  <w:tcW w:w="357" w:type="pct"/>
                  <w:tcBorders>
                    <w:tl2br w:val="nil"/>
                    <w:tr2bl w:val="nil"/>
                  </w:tcBorders>
                  <w:vAlign w:val="center"/>
                </w:tcPr>
                <w:p w14:paraId="13A6746A">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空间布局约束</w:t>
                  </w:r>
                </w:p>
              </w:tc>
              <w:tc>
                <w:tcPr>
                  <w:tcW w:w="2927" w:type="pct"/>
                  <w:tcBorders>
                    <w:tl2br w:val="nil"/>
                    <w:tr2bl w:val="nil"/>
                  </w:tcBorders>
                  <w:vAlign w:val="center"/>
                </w:tcPr>
                <w:p w14:paraId="359E02A1">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严禁在城镇人口密集区新建危险化学品生产企业；现有不符合安全和卫生防护距离要求的危险化学品生产企业2025年底前完成就地改造达标、搬迁进入规范化工园区或关闭退出。</w:t>
                  </w:r>
                </w:p>
              </w:tc>
              <w:tc>
                <w:tcPr>
                  <w:tcW w:w="1076" w:type="pct"/>
                  <w:tcBorders>
                    <w:tl2br w:val="nil"/>
                    <w:tr2bl w:val="nil"/>
                  </w:tcBorders>
                  <w:vAlign w:val="center"/>
                </w:tcPr>
                <w:p w14:paraId="10D371B5">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default" w:ascii="Times New Roman" w:hAnsi="Times New Roman" w:eastAsia="宋体" w:cs="Times New Roman"/>
                      <w:color w:val="auto"/>
                      <w:sz w:val="21"/>
                      <w:szCs w:val="21"/>
                      <w:u w:val="none"/>
                      <w:vertAlign w:val="baseline"/>
                      <w:lang w:val="en-US"/>
                    </w:rPr>
                  </w:pPr>
                  <w:r>
                    <w:rPr>
                      <w:rFonts w:hint="eastAsia"/>
                      <w:color w:val="auto"/>
                      <w:u w:val="none"/>
                      <w:vertAlign w:val="baseline"/>
                      <w:lang w:val="en-US" w:eastAsia="zh-CN"/>
                    </w:rPr>
                    <w:t>本项目不属于危险化学品生产企业，不属于有色金属、印染、原料药制造、化工等企业；本项目位于</w:t>
                  </w:r>
                  <w:r>
                    <w:rPr>
                      <w:rFonts w:hint="eastAsia"/>
                      <w:color w:val="auto"/>
                      <w:sz w:val="21"/>
                      <w:szCs w:val="21"/>
                      <w:u w:val="none"/>
                      <w:lang w:eastAsia="zh-CN"/>
                    </w:rPr>
                    <w:t>福清融侨经济技术开发区内。</w:t>
                  </w:r>
                </w:p>
              </w:tc>
              <w:tc>
                <w:tcPr>
                  <w:tcW w:w="353" w:type="pct"/>
                  <w:tcBorders>
                    <w:tl2br w:val="nil"/>
                    <w:tr2bl w:val="nil"/>
                  </w:tcBorders>
                  <w:vAlign w:val="center"/>
                </w:tcPr>
                <w:p w14:paraId="3A0614BD">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符合</w:t>
                  </w:r>
                </w:p>
              </w:tc>
            </w:tr>
            <w:tr w14:paraId="145E1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continue"/>
                  <w:tcBorders>
                    <w:tl2br w:val="nil"/>
                    <w:tr2bl w:val="nil"/>
                  </w:tcBorders>
                  <w:vAlign w:val="center"/>
                </w:tcPr>
                <w:p w14:paraId="23E69FA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357" w:type="pct"/>
                  <w:tcBorders>
                    <w:tl2br w:val="nil"/>
                    <w:tr2bl w:val="nil"/>
                  </w:tcBorders>
                  <w:vAlign w:val="center"/>
                </w:tcPr>
                <w:p w14:paraId="46AFB48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污染物排放管控</w:t>
                  </w:r>
                </w:p>
              </w:tc>
              <w:tc>
                <w:tcPr>
                  <w:tcW w:w="2927" w:type="pct"/>
                  <w:tcBorders>
                    <w:tl2br w:val="nil"/>
                    <w:tr2bl w:val="nil"/>
                  </w:tcBorders>
                  <w:vAlign w:val="center"/>
                </w:tcPr>
                <w:p w14:paraId="2D83ADA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在城市建成区新建大气污染型项目，二氧化硫、氮氧化物排放量应实行倍量削减替代。</w:t>
                  </w:r>
                </w:p>
              </w:tc>
              <w:tc>
                <w:tcPr>
                  <w:tcW w:w="1076" w:type="pct"/>
                  <w:tcBorders>
                    <w:tl2br w:val="nil"/>
                    <w:tr2bl w:val="nil"/>
                  </w:tcBorders>
                  <w:vAlign w:val="center"/>
                </w:tcPr>
                <w:p w14:paraId="7D94A08A">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sz w:val="21"/>
                      <w:szCs w:val="21"/>
                      <w:u w:val="none"/>
                      <w:vertAlign w:val="baseline"/>
                      <w:lang w:eastAsia="zh-CN"/>
                    </w:rPr>
                  </w:pPr>
                  <w:r>
                    <w:rPr>
                      <w:rFonts w:hint="eastAsia" w:ascii="Times New Roman" w:hAnsi="Times New Roman" w:eastAsia="宋体" w:cs="Times New Roman"/>
                      <w:color w:val="auto"/>
                      <w:kern w:val="0"/>
                      <w:sz w:val="21"/>
                      <w:szCs w:val="21"/>
                      <w:u w:val="none"/>
                      <w:lang w:val="en-US" w:eastAsia="zh-CN" w:bidi="ar"/>
                    </w:rPr>
                    <w:t>本项目不涉及</w:t>
                  </w:r>
                  <w:r>
                    <w:rPr>
                      <w:rFonts w:hint="eastAsia"/>
                      <w:color w:val="auto"/>
                      <w:u w:val="none"/>
                      <w:vertAlign w:val="baseline"/>
                      <w:lang w:val="en-US" w:eastAsia="zh-CN"/>
                    </w:rPr>
                    <w:t>新增二氧化硫、氮氧化物的排放，</w:t>
                  </w:r>
                  <w:r>
                    <w:rPr>
                      <w:rFonts w:hint="default" w:ascii="Times New Roman" w:hAnsi="Times New Roman" w:eastAsia="宋体" w:cs="Times New Roman"/>
                      <w:color w:val="auto"/>
                      <w:kern w:val="0"/>
                      <w:sz w:val="21"/>
                      <w:szCs w:val="21"/>
                      <w:u w:val="none"/>
                      <w:lang w:val="en-US" w:eastAsia="zh-CN" w:bidi="ar"/>
                    </w:rPr>
                    <w:t>本项目</w:t>
                  </w:r>
                  <w:r>
                    <w:rPr>
                      <w:rFonts w:hint="eastAsia" w:ascii="Times New Roman" w:hAnsi="Times New Roman" w:eastAsia="宋体" w:cs="Times New Roman"/>
                      <w:color w:val="auto"/>
                      <w:kern w:val="0"/>
                      <w:sz w:val="21"/>
                      <w:szCs w:val="21"/>
                      <w:u w:val="none"/>
                      <w:lang w:val="en-US" w:eastAsia="zh-CN" w:bidi="ar"/>
                    </w:rPr>
                    <w:t>涉及</w:t>
                  </w:r>
                  <w:r>
                    <w:rPr>
                      <w:rFonts w:hint="default" w:ascii="Times New Roman" w:hAnsi="Times New Roman" w:eastAsia="宋体" w:cs="Times New Roman"/>
                      <w:color w:val="auto"/>
                      <w:sz w:val="21"/>
                      <w:szCs w:val="21"/>
                      <w:highlight w:val="none"/>
                      <w:u w:val="none"/>
                      <w:vertAlign w:val="baseline"/>
                      <w:lang w:eastAsia="zh-CN"/>
                    </w:rPr>
                    <w:t>新增</w:t>
                  </w:r>
                  <w:r>
                    <w:rPr>
                      <w:rFonts w:hint="default" w:ascii="Times New Roman" w:hAnsi="Times New Roman" w:eastAsia="宋体" w:cs="Times New Roman"/>
                      <w:color w:val="auto"/>
                      <w:sz w:val="21"/>
                      <w:szCs w:val="21"/>
                      <w:u w:val="none"/>
                    </w:rPr>
                    <w:t>VOCs排放，VOCs排放实行区域内倍量替代</w:t>
                  </w:r>
                  <w:r>
                    <w:rPr>
                      <w:rFonts w:hint="eastAsia" w:ascii="Times New Roman" w:hAnsi="Times New Roman" w:cs="Times New Roman"/>
                      <w:color w:val="auto"/>
                      <w:sz w:val="21"/>
                      <w:szCs w:val="21"/>
                      <w:u w:val="none"/>
                      <w:lang w:eastAsia="zh-CN"/>
                    </w:rPr>
                    <w:t>。</w:t>
                  </w:r>
                </w:p>
              </w:tc>
              <w:tc>
                <w:tcPr>
                  <w:tcW w:w="353" w:type="pct"/>
                  <w:tcBorders>
                    <w:tl2br w:val="nil"/>
                    <w:tr2bl w:val="nil"/>
                  </w:tcBorders>
                  <w:vAlign w:val="center"/>
                </w:tcPr>
                <w:p w14:paraId="597E47DA">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符合</w:t>
                  </w:r>
                </w:p>
              </w:tc>
            </w:tr>
            <w:tr w14:paraId="6D20DB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restart"/>
                  <w:tcBorders>
                    <w:tl2br w:val="nil"/>
                    <w:tr2bl w:val="nil"/>
                  </w:tcBorders>
                  <w:vAlign w:val="center"/>
                </w:tcPr>
                <w:p w14:paraId="08255DE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福州市陆域</w:t>
                  </w:r>
                </w:p>
              </w:tc>
              <w:tc>
                <w:tcPr>
                  <w:tcW w:w="357" w:type="pct"/>
                  <w:vMerge w:val="restart"/>
                  <w:tcBorders>
                    <w:tl2br w:val="nil"/>
                    <w:tr2bl w:val="nil"/>
                  </w:tcBorders>
                  <w:vAlign w:val="center"/>
                </w:tcPr>
                <w:p w14:paraId="47E3DE3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eastAsia" w:ascii="Times New Roman" w:hAnsi="Times New Roman" w:eastAsia="宋体" w:cs="Times New Roman"/>
                      <w:color w:val="auto"/>
                      <w:kern w:val="0"/>
                      <w:sz w:val="21"/>
                      <w:szCs w:val="21"/>
                      <w:u w:val="none"/>
                      <w:vertAlign w:val="baseline"/>
                      <w:lang w:val="en-US" w:eastAsia="zh-CN"/>
                    </w:rPr>
                    <w:t>空间布局约束</w:t>
                  </w:r>
                </w:p>
              </w:tc>
              <w:tc>
                <w:tcPr>
                  <w:tcW w:w="2927" w:type="pct"/>
                  <w:tcBorders>
                    <w:tl2br w:val="nil"/>
                    <w:tr2bl w:val="nil"/>
                  </w:tcBorders>
                  <w:vAlign w:val="center"/>
                </w:tcPr>
                <w:p w14:paraId="3D17BE72">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b/>
                      <w:bCs/>
                      <w:vertAlign w:val="baseline"/>
                      <w:lang w:val="en-US" w:eastAsia="zh-CN"/>
                    </w:rPr>
                  </w:pPr>
                  <w:r>
                    <w:rPr>
                      <w:rFonts w:hint="eastAsia" w:ascii="Times New Roman" w:hAnsi="Times New Roman" w:eastAsia="宋体" w:cs="Times New Roman"/>
                      <w:b/>
                      <w:bCs/>
                      <w:vertAlign w:val="baseline"/>
                      <w:lang w:val="en-US" w:eastAsia="zh-CN"/>
                    </w:rPr>
                    <w:t>一、优先保护单元中的生态保护红线</w:t>
                  </w:r>
                </w:p>
                <w:p w14:paraId="7A8C2D1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1.</w:t>
                  </w:r>
                  <w:r>
                    <w:rPr>
                      <w:rFonts w:hint="eastAsia" w:ascii="Times New Roman" w:hAnsi="Times New Roman" w:eastAsia="宋体" w:cs="Times New Roman"/>
                      <w:vertAlign w:val="baseline"/>
                      <w:lang w:val="en-US" w:eastAsia="zh-CN"/>
                    </w:rPr>
                    <w:t>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56C9E492">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宋体" w:hAnsi="宋体" w:eastAsia="宋体" w:cs="宋体"/>
                      <w:vertAlign w:val="baseline"/>
                      <w:lang w:val="en-US" w:eastAsia="zh-CN"/>
                    </w:rPr>
                    <w:t>（</w:t>
                  </w:r>
                  <w:r>
                    <w:rPr>
                      <w:rFonts w:hint="default" w:ascii="Times New Roman" w:hAnsi="Times New Roman" w:eastAsia="宋体" w:cs="Times New Roman"/>
                      <w:vertAlign w:val="baseline"/>
                      <w:lang w:val="en-US" w:eastAsia="zh-CN"/>
                    </w:rPr>
                    <w:t>1</w:t>
                  </w:r>
                  <w:r>
                    <w:rPr>
                      <w:rFonts w:hint="eastAsia" w:ascii="宋体" w:hAnsi="宋体" w:eastAsia="宋体" w:cs="宋体"/>
                      <w:vertAlign w:val="baseline"/>
                      <w:lang w:val="en-US" w:eastAsia="zh-CN"/>
                    </w:rPr>
                    <w:t>）</w:t>
                  </w:r>
                  <w:r>
                    <w:rPr>
                      <w:rFonts w:hint="eastAsia" w:ascii="Times New Roman" w:hAnsi="Times New Roman" w:eastAsia="宋体" w:cs="Times New Roman"/>
                      <w:vertAlign w:val="baseline"/>
                      <w:lang w:val="en-US" w:eastAsia="zh-CN"/>
                    </w:rPr>
                    <w:t>管护巡护、保护执法、科学研究、调查监测、测绘导航、防灾减灾救灾、军事国防、疫情防控等活动及相关的必要设施</w:t>
                  </w:r>
                  <w:r>
                    <w:rPr>
                      <w:rFonts w:hint="eastAsia" w:cs="Times New Roman"/>
                      <w:vertAlign w:val="baseline"/>
                      <w:lang w:val="en-US" w:eastAsia="zh-CN"/>
                    </w:rPr>
                    <w:t>修缮</w:t>
                  </w:r>
                  <w:r>
                    <w:rPr>
                      <w:rFonts w:hint="eastAsia" w:ascii="Times New Roman" w:hAnsi="Times New Roman" w:eastAsia="宋体" w:cs="Times New Roman"/>
                      <w:vertAlign w:val="baseline"/>
                      <w:lang w:val="en-US" w:eastAsia="zh-CN"/>
                    </w:rPr>
                    <w:t>。</w:t>
                  </w:r>
                </w:p>
                <w:p w14:paraId="2F38FC34">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（2）</w:t>
                  </w:r>
                  <w:r>
                    <w:rPr>
                      <w:rFonts w:hint="eastAsia" w:ascii="Times New Roman" w:hAnsi="Times New Roman" w:eastAsia="宋体" w:cs="Times New Roman"/>
                      <w:vertAlign w:val="baseline"/>
                      <w:lang w:val="en-US" w:eastAsia="zh-CN"/>
                    </w:rPr>
                    <w:t>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2C1F1D71">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（3）</w:t>
                  </w:r>
                  <w:r>
                    <w:rPr>
                      <w:rFonts w:hint="eastAsia" w:ascii="Times New Roman" w:hAnsi="Times New Roman" w:eastAsia="宋体" w:cs="Times New Roman"/>
                      <w:vertAlign w:val="baseline"/>
                      <w:lang w:val="en-US" w:eastAsia="zh-CN"/>
                    </w:rPr>
                    <w:t>经依法批准的考古调查发掘、古生物化石调查发掘、标本采集和文物保护活动。</w:t>
                  </w:r>
                </w:p>
                <w:p w14:paraId="6A69C8D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（4）按规定对人工商品林进行抚育采伐，或以提升森林质量、优化栖息地、建设生物防火隔离带等为目的的树种更新，依法开展的竹林采伐经营。</w:t>
                  </w:r>
                </w:p>
                <w:p w14:paraId="61FDE5CB">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（5）不破坏生态功能的适度参观旅游、科普宣教及符合相关规划的配套性服务设施和相关的必要公共设施建设及维护。</w:t>
                  </w:r>
                </w:p>
                <w:p w14:paraId="3237C9F5">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（6）必须且无法避让、符合县级以上国土空间规划的线性基础设施、通讯和防洪、供水设施建设和船舶航行、航道疏浚清淤等活动；已有的合法水利、交通运输等设施运行维护改造。</w:t>
                  </w:r>
                </w:p>
                <w:p w14:paraId="55B96C4B">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2B17C153">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（8）依据县级以上国土空间规划和生态保护修复专项规划开展的生态修复。</w:t>
                  </w:r>
                </w:p>
                <w:p w14:paraId="62E8DCA8">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（9）法律法规规定允许的其他人为活动。</w:t>
                  </w:r>
                </w:p>
                <w:p w14:paraId="278A25B9">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2.</w:t>
                  </w:r>
                  <w:r>
                    <w:rPr>
                      <w:rFonts w:hint="eastAsia" w:ascii="Times New Roman" w:hAnsi="Times New Roman" w:eastAsia="宋体" w:cs="Times New Roman"/>
                      <w:vertAlign w:val="baseline"/>
                      <w:lang w:val="en-US" w:eastAsia="zh-CN"/>
                    </w:rPr>
                    <w:t>依据《福建省自然资源厅福建省生态环境厅福建省林业局关于进一步加强生态保护红线监管的通知（试行）》（闽自然资发〔2023〕56号），允许占用生态保护红线的重大项目范围：</w:t>
                  </w:r>
                </w:p>
                <w:p w14:paraId="60BDF7AC">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（1）党中央、国务院发布文件或批准规划中明确具体名称的项目和国务院批准的项目。</w:t>
                  </w:r>
                </w:p>
                <w:p w14:paraId="0DDBC4B5">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（2）中央军委及其有关部门批准的军事国防项目。</w:t>
                  </w:r>
                </w:p>
                <w:p w14:paraId="5D2C5371">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（3）国家级规划（指国务院及其有关部门正式颁布）明确的交通、水利项目。</w:t>
                  </w:r>
                </w:p>
                <w:p w14:paraId="18536F20">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（4）国家级规划明确的电网项目，国家级规划明确的且符合国家产业政策的能源矿产勘查开采、油气管线、水电、核电项目。</w:t>
                  </w:r>
                </w:p>
                <w:p w14:paraId="1D78858C">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（5）为贯彻落实党中央、国务院重大决策部署</w:t>
                  </w:r>
                  <w:r>
                    <w:rPr>
                      <w:rFonts w:hint="eastAsia" w:cs="Times New Roman"/>
                      <w:vertAlign w:val="baseline"/>
                      <w:lang w:val="en-US" w:eastAsia="zh-CN"/>
                    </w:rPr>
                    <w:t>，由</w:t>
                  </w:r>
                  <w:r>
                    <w:rPr>
                      <w:rFonts w:hint="eastAsia" w:ascii="Times New Roman" w:hAnsi="Times New Roman" w:eastAsia="宋体" w:cs="Times New Roman"/>
                      <w:vertAlign w:val="baseline"/>
                      <w:lang w:val="en-US" w:eastAsia="zh-CN"/>
                    </w:rPr>
                    <w:t>国务院投资主管部门或国务院投资主管部门会同有关部门确认的交通、能源、水利等基础设施项目。</w:t>
                  </w:r>
                </w:p>
                <w:p w14:paraId="1F584015">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vertAlign w:val="baseline"/>
                      <w:lang w:val="en-US" w:eastAsia="zh-CN"/>
                    </w:rPr>
                  </w:pPr>
                  <w:r>
                    <w:rPr>
                      <w:rFonts w:hint="eastAsia" w:ascii="Times New Roman" w:hAnsi="Times New Roman" w:eastAsia="宋体" w:cs="Times New Roman"/>
                      <w:vertAlign w:val="baseline"/>
                      <w:lang w:val="en-US" w:eastAsia="zh-CN"/>
                    </w:rPr>
                    <w:t>（6）按照国家重大项目用地保障工作机制要求，国家发展</w:t>
                  </w:r>
                  <w:r>
                    <w:rPr>
                      <w:rFonts w:hint="eastAsia" w:cs="Times New Roman"/>
                      <w:vertAlign w:val="baseline"/>
                      <w:lang w:val="en-US" w:eastAsia="zh-CN"/>
                    </w:rPr>
                    <w:t>和改革委员会</w:t>
                  </w:r>
                  <w:r>
                    <w:rPr>
                      <w:rFonts w:hint="eastAsia" w:ascii="Times New Roman" w:hAnsi="Times New Roman" w:eastAsia="宋体" w:cs="Times New Roman"/>
                      <w:vertAlign w:val="baseline"/>
                      <w:lang w:val="en-US" w:eastAsia="zh-CN"/>
                    </w:rPr>
                    <w:t>同有关部门确认的需中央加大建设用地保障力度，确实难以避让的国家重大项目。</w:t>
                  </w:r>
                </w:p>
              </w:tc>
              <w:tc>
                <w:tcPr>
                  <w:tcW w:w="1076" w:type="pct"/>
                  <w:tcBorders>
                    <w:tl2br w:val="nil"/>
                    <w:tr2bl w:val="nil"/>
                  </w:tcBorders>
                  <w:vAlign w:val="center"/>
                </w:tcPr>
                <w:p w14:paraId="7FE719D4">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w:t>
                  </w:r>
                  <w:r>
                    <w:rPr>
                      <w:rFonts w:hint="eastAsia" w:ascii="Times New Roman" w:hAnsi="Times New Roman" w:eastAsia="宋体" w:cs="Times New Roman"/>
                      <w:color w:val="auto"/>
                      <w:sz w:val="21"/>
                      <w:szCs w:val="21"/>
                      <w:u w:val="none"/>
                      <w:lang w:val="en-US" w:eastAsia="zh-CN"/>
                    </w:rPr>
                    <w:t>本项目不涉及自然保护区、风景名胜区、饮用水水源保护区等区域，不在优先保护单</w:t>
                  </w:r>
                  <w:r>
                    <w:rPr>
                      <w:rFonts w:hint="eastAsia" w:cs="Times New Roman"/>
                      <w:color w:val="auto"/>
                      <w:sz w:val="21"/>
                      <w:szCs w:val="21"/>
                      <w:u w:val="none"/>
                      <w:lang w:val="en-US" w:eastAsia="zh-CN"/>
                    </w:rPr>
                    <w:t>位单</w:t>
                  </w:r>
                  <w:r>
                    <w:rPr>
                      <w:rFonts w:hint="eastAsia" w:ascii="Times New Roman" w:hAnsi="Times New Roman" w:eastAsia="宋体" w:cs="Times New Roman"/>
                      <w:color w:val="auto"/>
                      <w:sz w:val="21"/>
                      <w:szCs w:val="21"/>
                      <w:u w:val="none"/>
                      <w:lang w:val="en-US" w:eastAsia="zh-CN"/>
                    </w:rPr>
                    <w:t>元内，不涉及生态保护红线的占用。</w:t>
                  </w:r>
                </w:p>
                <w:p w14:paraId="374B5FA6">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eastAsia="宋体" w:cs="Times New Roman"/>
                      <w:color w:val="auto"/>
                      <w:sz w:val="21"/>
                      <w:szCs w:val="21"/>
                      <w:u w:val="none"/>
                      <w:lang w:val="en-US" w:eastAsia="zh-CN"/>
                    </w:rPr>
                    <w:t>本项目不属于重大项目。</w:t>
                  </w:r>
                </w:p>
                <w:p w14:paraId="7D35E577">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353" w:type="pct"/>
                  <w:tcBorders>
                    <w:tl2br w:val="nil"/>
                    <w:tr2bl w:val="nil"/>
                  </w:tcBorders>
                  <w:vAlign w:val="center"/>
                </w:tcPr>
                <w:p w14:paraId="6A40166B">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符合</w:t>
                  </w:r>
                </w:p>
              </w:tc>
            </w:tr>
            <w:tr w14:paraId="2019D3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continue"/>
                  <w:tcBorders>
                    <w:tl2br w:val="nil"/>
                    <w:tr2bl w:val="nil"/>
                  </w:tcBorders>
                  <w:vAlign w:val="center"/>
                </w:tcPr>
                <w:p w14:paraId="069FEC00">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357" w:type="pct"/>
                  <w:vMerge w:val="continue"/>
                  <w:tcBorders>
                    <w:tl2br w:val="nil"/>
                    <w:tr2bl w:val="nil"/>
                  </w:tcBorders>
                  <w:vAlign w:val="center"/>
                </w:tcPr>
                <w:p w14:paraId="3EFAD490">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2927" w:type="pct"/>
                  <w:tcBorders>
                    <w:tl2br w:val="nil"/>
                    <w:tr2bl w:val="nil"/>
                  </w:tcBorders>
                  <w:vAlign w:val="center"/>
                </w:tcPr>
                <w:p w14:paraId="766DF5B4">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b/>
                      <w:bCs/>
                      <w:vertAlign w:val="baseline"/>
                      <w:lang w:val="en-US" w:eastAsia="zh-CN"/>
                    </w:rPr>
                  </w:pPr>
                  <w:r>
                    <w:rPr>
                      <w:rFonts w:hint="eastAsia" w:ascii="Times New Roman" w:hAnsi="Times New Roman" w:eastAsia="宋体" w:cs="Times New Roman"/>
                      <w:b/>
                      <w:bCs/>
                      <w:vertAlign w:val="baseline"/>
                      <w:lang w:val="en-US" w:eastAsia="zh-CN"/>
                    </w:rPr>
                    <w:t>二、优先保护单元中的一般生态空间</w:t>
                  </w:r>
                </w:p>
                <w:p w14:paraId="43DF2CFA">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1.</w:t>
                  </w:r>
                  <w:r>
                    <w:rPr>
                      <w:rFonts w:hint="eastAsia" w:ascii="Times New Roman" w:hAnsi="Times New Roman" w:eastAsia="宋体" w:cs="Times New Roman"/>
                      <w:vertAlign w:val="baseline"/>
                      <w:lang w:val="en-US" w:eastAsia="zh-CN"/>
                    </w:rPr>
                    <w:t>一般生态空间以保护和修复生态环境、提供生态产品和服务为首要任务，因地制宜地发展不影响主体功能定位的适宜产业。</w:t>
                  </w:r>
                </w:p>
                <w:p w14:paraId="3A26F86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2.</w:t>
                  </w:r>
                  <w:r>
                    <w:rPr>
                      <w:rFonts w:hint="eastAsia" w:ascii="Times New Roman" w:hAnsi="Times New Roman" w:eastAsia="宋体" w:cs="Times New Roman"/>
                      <w:vertAlign w:val="baseline"/>
                      <w:lang w:val="en-US" w:eastAsia="zh-CN"/>
                    </w:rPr>
                    <w:t>一般生态空间内未纳入生态保护红线的饮用水水源保护区等各类法定保护地，其管控要求依照相关法律法规执行。</w:t>
                  </w:r>
                </w:p>
                <w:p w14:paraId="5628CCFB">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3.</w:t>
                  </w:r>
                  <w:r>
                    <w:rPr>
                      <w:rFonts w:hint="eastAsia" w:ascii="Times New Roman" w:hAnsi="Times New Roman" w:eastAsia="宋体" w:cs="Times New Roman"/>
                      <w:vertAlign w:val="baseline"/>
                      <w:lang w:val="en-US" w:eastAsia="zh-CN"/>
                    </w:rPr>
                    <w:t>一般生态空间内现有合法的水泥厂、矿山开发等生产性设施及生活垃圾处置等民生工程予以保留，应按照法律法规要求落实污染防治和生态保护措施，避免对生态功能造成破坏。</w:t>
                  </w:r>
                </w:p>
              </w:tc>
              <w:tc>
                <w:tcPr>
                  <w:tcW w:w="1076" w:type="pct"/>
                  <w:tcBorders>
                    <w:tl2br w:val="nil"/>
                    <w:tr2bl w:val="nil"/>
                  </w:tcBorders>
                  <w:vAlign w:val="center"/>
                </w:tcPr>
                <w:p w14:paraId="266D053F">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w:t>
                  </w:r>
                  <w:r>
                    <w:rPr>
                      <w:rFonts w:hint="eastAsia" w:ascii="Times New Roman" w:hAnsi="Times New Roman" w:eastAsia="宋体" w:cs="Times New Roman"/>
                      <w:color w:val="auto"/>
                      <w:sz w:val="21"/>
                      <w:szCs w:val="21"/>
                      <w:u w:val="none"/>
                      <w:lang w:val="en-US" w:eastAsia="zh-CN"/>
                    </w:rPr>
                    <w:t>本项目位于福清市重点管控单元1</w:t>
                  </w:r>
                  <w:r>
                    <w:rPr>
                      <w:rFonts w:hint="eastAsia" w:cs="Times New Roman"/>
                      <w:color w:val="auto"/>
                      <w:sz w:val="21"/>
                      <w:szCs w:val="21"/>
                      <w:u w:val="none"/>
                      <w:lang w:val="en-US" w:eastAsia="zh-CN"/>
                    </w:rPr>
                    <w:t>（</w:t>
                  </w:r>
                  <w:r>
                    <w:rPr>
                      <w:rFonts w:hint="eastAsia" w:ascii="Times New Roman" w:hAnsi="Times New Roman" w:eastAsia="宋体" w:cs="Times New Roman"/>
                      <w:color w:val="auto"/>
                      <w:sz w:val="21"/>
                      <w:szCs w:val="21"/>
                      <w:u w:val="none"/>
                      <w:lang w:val="en-US" w:eastAsia="zh-CN"/>
                    </w:rPr>
                    <w:t>重点管控单元</w:t>
                  </w:r>
                  <w:r>
                    <w:rPr>
                      <w:rFonts w:hint="eastAsia" w:cs="Times New Roman"/>
                      <w:color w:val="auto"/>
                      <w:sz w:val="21"/>
                      <w:szCs w:val="21"/>
                      <w:u w:val="none"/>
                      <w:lang w:val="en-US" w:eastAsia="zh-CN"/>
                    </w:rPr>
                    <w:t>）</w:t>
                  </w:r>
                  <w:r>
                    <w:rPr>
                      <w:rFonts w:hint="eastAsia" w:ascii="Times New Roman" w:hAnsi="Times New Roman" w:eastAsia="宋体" w:cs="Times New Roman"/>
                      <w:color w:val="auto"/>
                      <w:sz w:val="21"/>
                      <w:szCs w:val="21"/>
                      <w:u w:val="none"/>
                      <w:lang w:val="en-US" w:eastAsia="zh-CN"/>
                    </w:rPr>
                    <w:t>，不属于优先保护单元。</w:t>
                  </w:r>
                </w:p>
                <w:p w14:paraId="1A074B28">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eastAsia="宋体" w:cs="Times New Roman"/>
                      <w:color w:val="auto"/>
                      <w:sz w:val="21"/>
                      <w:szCs w:val="21"/>
                      <w:u w:val="none"/>
                      <w:lang w:val="en-US" w:eastAsia="zh-CN"/>
                    </w:rPr>
                    <w:t>本项目不涉及饮用水水源保护区</w:t>
                  </w:r>
                </w:p>
                <w:p w14:paraId="6EF68CB9">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lang w:val="en-US" w:eastAsia="zh-CN"/>
                    </w:rPr>
                    <w:t>3.</w:t>
                  </w:r>
                  <w:r>
                    <w:rPr>
                      <w:rFonts w:hint="eastAsia" w:ascii="Times New Roman" w:hAnsi="Times New Roman" w:eastAsia="宋体" w:cs="Times New Roman"/>
                      <w:color w:val="auto"/>
                      <w:sz w:val="21"/>
                      <w:szCs w:val="21"/>
                      <w:u w:val="none"/>
                      <w:lang w:val="en-US" w:eastAsia="zh-CN"/>
                    </w:rPr>
                    <w:t>项目不属于</w:t>
                  </w:r>
                  <w:r>
                    <w:rPr>
                      <w:rFonts w:hint="eastAsia" w:ascii="Times New Roman" w:hAnsi="Times New Roman" w:eastAsia="宋体" w:cs="Times New Roman"/>
                      <w:vertAlign w:val="baseline"/>
                      <w:lang w:val="en-US" w:eastAsia="zh-CN"/>
                    </w:rPr>
                    <w:t>水泥厂、矿山开发等生产性设施项目</w:t>
                  </w:r>
                </w:p>
              </w:tc>
              <w:tc>
                <w:tcPr>
                  <w:tcW w:w="353" w:type="pct"/>
                  <w:tcBorders>
                    <w:tl2br w:val="nil"/>
                    <w:tr2bl w:val="nil"/>
                  </w:tcBorders>
                  <w:vAlign w:val="center"/>
                </w:tcPr>
                <w:p w14:paraId="005FFDD2">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vertAlign w:val="baseline"/>
                      <w:lang w:val="en-US" w:eastAsia="zh-CN"/>
                    </w:rPr>
                    <w:t>符合</w:t>
                  </w:r>
                </w:p>
              </w:tc>
            </w:tr>
            <w:tr w14:paraId="3023D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continue"/>
                  <w:tcBorders>
                    <w:tl2br w:val="nil"/>
                    <w:tr2bl w:val="nil"/>
                  </w:tcBorders>
                  <w:vAlign w:val="center"/>
                </w:tcPr>
                <w:p w14:paraId="0E9FBEAD">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357" w:type="pct"/>
                  <w:vMerge w:val="continue"/>
                  <w:tcBorders>
                    <w:tl2br w:val="nil"/>
                    <w:tr2bl w:val="nil"/>
                  </w:tcBorders>
                  <w:vAlign w:val="center"/>
                </w:tcPr>
                <w:p w14:paraId="68FA84DC">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2927" w:type="pct"/>
                  <w:tcBorders>
                    <w:tl2br w:val="nil"/>
                    <w:tr2bl w:val="nil"/>
                  </w:tcBorders>
                  <w:vAlign w:val="center"/>
                </w:tcPr>
                <w:p w14:paraId="041FD0AA">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b/>
                      <w:bCs/>
                      <w:vertAlign w:val="baseline"/>
                      <w:lang w:val="en-US" w:eastAsia="zh-CN"/>
                    </w:rPr>
                    <w:t>三、其它要求</w:t>
                  </w:r>
                </w:p>
                <w:p w14:paraId="5145879A">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1.</w:t>
                  </w:r>
                  <w:r>
                    <w:rPr>
                      <w:rFonts w:hint="eastAsia" w:ascii="Times New Roman" w:hAnsi="Times New Roman" w:eastAsia="宋体" w:cs="Times New Roman"/>
                      <w:vertAlign w:val="baseline"/>
                      <w:lang w:val="en-US" w:eastAsia="zh-CN"/>
                    </w:rPr>
                    <w:t>福州市石化中上游项目重点在福州江阴港城经济区、可门港经济区化工新材料产业园布局。</w:t>
                  </w:r>
                </w:p>
                <w:p w14:paraId="7E719AF8">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2.</w:t>
                  </w:r>
                  <w:r>
                    <w:rPr>
                      <w:rFonts w:hint="eastAsia" w:ascii="Times New Roman" w:hAnsi="Times New Roman" w:eastAsia="宋体" w:cs="Times New Roman"/>
                      <w:vertAlign w:val="baseline"/>
                      <w:lang w:val="en-US" w:eastAsia="zh-CN"/>
                    </w:rPr>
                    <w:t>禁止在闽江马尾罗星塔以上流域范围新、扩建制革项目，严控新（扩）建植物制浆、印染、合成革及人造革、电镀项目。</w:t>
                  </w:r>
                </w:p>
                <w:p w14:paraId="7BCE79D8">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3.</w:t>
                  </w:r>
                  <w:r>
                    <w:rPr>
                      <w:rFonts w:hint="eastAsia" w:ascii="Times New Roman" w:hAnsi="Times New Roman" w:eastAsia="宋体" w:cs="Times New Roman"/>
                      <w:vertAlign w:val="baseline"/>
                      <w:lang w:val="en-US" w:eastAsia="zh-CN"/>
                    </w:rPr>
                    <w:t>禁止在通风廊道和主导风向的上风向布局大气重污染企业，推进建成区大气重污染企业搬迁或升级改造、环境风险企业搬迁或关闭退出。</w:t>
                  </w:r>
                </w:p>
                <w:p w14:paraId="567BC779">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4.</w:t>
                  </w:r>
                  <w:r>
                    <w:rPr>
                      <w:rFonts w:hint="eastAsia" w:ascii="Times New Roman" w:hAnsi="Times New Roman" w:eastAsia="宋体" w:cs="Times New Roman"/>
                      <w:vertAlign w:val="baseline"/>
                      <w:lang w:val="en-US" w:eastAsia="zh-CN"/>
                    </w:rPr>
                    <w:t>禁止新、改、扩建生产高VOCs含量有机溶剂型涂料、油墨和胶黏剂的项目。</w:t>
                  </w:r>
                </w:p>
                <w:p w14:paraId="3BC457C5">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5.</w:t>
                  </w:r>
                  <w:r>
                    <w:rPr>
                      <w:rFonts w:hint="eastAsia" w:ascii="Times New Roman" w:hAnsi="Times New Roman" w:eastAsia="宋体" w:cs="Times New Roman"/>
                      <w:vertAlign w:val="baseline"/>
                      <w:lang w:val="en-US" w:eastAsia="zh-CN"/>
                    </w:rPr>
                    <w:t>持续加强闽清等地建陶产业的环境综合治理，充分衔接国土空间规划和生态环境分区管控，并对照产业政策、城市总体发展规划等要求，进一步明确发展定位，优化产业布局和规模。</w:t>
                  </w:r>
                </w:p>
                <w:p w14:paraId="32E7083D">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6.</w:t>
                  </w:r>
                  <w:r>
                    <w:rPr>
                      <w:rFonts w:hint="eastAsia" w:ascii="Times New Roman" w:hAnsi="Times New Roman" w:eastAsia="宋体" w:cs="Times New Roman"/>
                      <w:vertAlign w:val="baseline"/>
                      <w:lang w:val="en-US" w:eastAsia="zh-CN"/>
                    </w:rPr>
                    <w:t>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5A504FAD">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7.</w:t>
                  </w:r>
                  <w:r>
                    <w:rPr>
                      <w:rFonts w:hint="eastAsia" w:ascii="Times New Roman" w:hAnsi="Times New Roman" w:eastAsia="宋体" w:cs="Times New Roman"/>
                      <w:vertAlign w:val="baseline"/>
                      <w:lang w:val="en-US" w:eastAsia="zh-CN"/>
                    </w:rPr>
                    <w:t>禁止在流域上游新建、扩建重污染企业和项目。</w:t>
                  </w:r>
                </w:p>
                <w:p w14:paraId="151E1458">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8.</w:t>
                  </w:r>
                  <w:r>
                    <w:rPr>
                      <w:rFonts w:hint="eastAsia" w:ascii="Times New Roman" w:hAnsi="Times New Roman" w:eastAsia="宋体" w:cs="Times New Roman"/>
                      <w:vertAlign w:val="baseline"/>
                      <w:lang w:val="en-US" w:eastAsia="zh-CN"/>
                    </w:rPr>
                    <w:t>重要敏感水体及富营养化湖库生态缓冲带除相关政府部门批准的科学研究活动外，禁止其它可能对保护区构成危害或不良影响的大规模生产、建设活动。</w:t>
                  </w:r>
                </w:p>
                <w:p w14:paraId="18494656">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eastAsia" w:ascii="Times New Roman" w:hAnsi="Times New Roman" w:eastAsia="宋体" w:cs="Times New Roman"/>
                      <w:vertAlign w:val="baseline"/>
                      <w:lang w:val="en-US" w:eastAsia="zh-CN"/>
                    </w:rPr>
                  </w:pPr>
                  <w:r>
                    <w:rPr>
                      <w:rFonts w:hint="eastAsia" w:cs="Times New Roman"/>
                      <w:vertAlign w:val="baseline"/>
                      <w:lang w:val="en-US" w:eastAsia="zh-CN"/>
                    </w:rPr>
                    <w:t>9.</w:t>
                  </w:r>
                  <w:r>
                    <w:rPr>
                      <w:rFonts w:hint="eastAsia" w:ascii="Times New Roman" w:hAnsi="Times New Roman" w:eastAsia="宋体" w:cs="Times New Roman"/>
                      <w:vertAlign w:val="baseline"/>
                      <w:lang w:val="en-US" w:eastAsia="zh-CN"/>
                    </w:rPr>
                    <w:t>新、改、扩建煤电、钢铁、建材、石化、化工等“两高”项目，严格落实国家、省、市产业规划、产业政策、“三线一单”、规划环评，以及产能置换、煤炭消费减量替代、区域污染削减等相关要求。</w:t>
                  </w:r>
                </w:p>
                <w:p w14:paraId="2A4F28E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10.</w:t>
                  </w:r>
                  <w:r>
                    <w:rPr>
                      <w:rFonts w:hint="eastAsia" w:ascii="Times New Roman" w:hAnsi="Times New Roman" w:eastAsia="宋体" w:cs="Times New Roman"/>
                      <w:vertAlign w:val="baseline"/>
                      <w:lang w:val="en-US" w:eastAsia="zh-CN"/>
                    </w:rPr>
                    <w:t>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w:t>
                  </w:r>
                  <w:r>
                    <w:rPr>
                      <w:rFonts w:hint="eastAsia" w:cs="Times New Roman"/>
                      <w:vertAlign w:val="baseline"/>
                      <w:lang w:val="en-US" w:eastAsia="zh-CN"/>
                    </w:rPr>
                    <w:t>行严</w:t>
                  </w:r>
                  <w:r>
                    <w:rPr>
                      <w:rFonts w:hint="eastAsia" w:ascii="Times New Roman" w:hAnsi="Times New Roman" w:eastAsia="宋体" w:cs="Times New Roman"/>
                      <w:vertAlign w:val="baseline"/>
                      <w:lang w:val="en-US" w:eastAsia="zh-CN"/>
                    </w:rPr>
                    <w:t>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076" w:type="pct"/>
                  <w:tcBorders>
                    <w:tl2br w:val="nil"/>
                    <w:tr2bl w:val="nil"/>
                  </w:tcBorders>
                  <w:vAlign w:val="center"/>
                </w:tcPr>
                <w:p w14:paraId="28B695F7">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w:t>
                  </w:r>
                  <w:r>
                    <w:rPr>
                      <w:rFonts w:hint="eastAsia" w:ascii="Times New Roman" w:hAnsi="Times New Roman" w:eastAsia="宋体" w:cs="Times New Roman"/>
                      <w:color w:val="auto"/>
                      <w:sz w:val="21"/>
                      <w:szCs w:val="21"/>
                      <w:u w:val="none"/>
                      <w:lang w:val="en-US" w:eastAsia="zh-CN"/>
                    </w:rPr>
                    <w:t>本项目不属于石化植物制浆、印染、合成革及人造革、电镀项目，不涉及油墨、涂料、胶粘剂的使用，不属于陶瓷企业。不属于煤电、钢铁、建材、石化、化工等“两高”项目；</w:t>
                  </w:r>
                </w:p>
                <w:p w14:paraId="73A01687">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default" w:ascii="Times New Roman" w:hAnsi="Times New Roman" w:eastAsia="宋体" w:cs="Times New Roman"/>
                      <w:vertAlign w:val="baseline"/>
                      <w:lang w:val="en-US" w:eastAsia="zh-CN"/>
                    </w:rPr>
                  </w:pPr>
                  <w:r>
                    <w:rPr>
                      <w:rFonts w:hint="eastAsia" w:cs="Times New Roman"/>
                      <w:color w:val="auto"/>
                      <w:sz w:val="21"/>
                      <w:szCs w:val="21"/>
                      <w:u w:val="none"/>
                      <w:lang w:val="en-US" w:eastAsia="zh-CN"/>
                    </w:rPr>
                    <w:t>2.</w:t>
                  </w:r>
                  <w:r>
                    <w:rPr>
                      <w:rFonts w:hint="eastAsia" w:ascii="Times New Roman" w:hAnsi="Times New Roman" w:eastAsia="宋体" w:cs="Times New Roman"/>
                      <w:color w:val="auto"/>
                      <w:sz w:val="21"/>
                      <w:szCs w:val="21"/>
                      <w:u w:val="none"/>
                      <w:lang w:val="en-US" w:eastAsia="zh-CN"/>
                    </w:rPr>
                    <w:t>项目不属于</w:t>
                  </w:r>
                  <w:r>
                    <w:rPr>
                      <w:rFonts w:hint="eastAsia" w:ascii="Times New Roman" w:hAnsi="Times New Roman" w:eastAsia="宋体" w:cs="Times New Roman"/>
                      <w:vertAlign w:val="baseline"/>
                      <w:lang w:val="en-US" w:eastAsia="zh-CN"/>
                    </w:rPr>
                    <w:t>高VOCs含量有机溶剂型涂料、油墨和胶黏剂的项目；</w:t>
                  </w:r>
                </w:p>
                <w:p w14:paraId="5F012DF7">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lang w:val="en-US" w:eastAsia="zh-CN"/>
                    </w:rPr>
                    <w:t>3.</w:t>
                  </w:r>
                  <w:r>
                    <w:rPr>
                      <w:rFonts w:hint="eastAsia" w:ascii="Times New Roman" w:hAnsi="Times New Roman" w:eastAsia="宋体" w:cs="Times New Roman"/>
                      <w:color w:val="auto"/>
                      <w:sz w:val="21"/>
                      <w:szCs w:val="21"/>
                      <w:u w:val="none"/>
                      <w:lang w:val="en-US" w:eastAsia="zh-CN"/>
                    </w:rPr>
                    <w:t>项目所在地属于工业用地，不涉及基本农田、永久基本农田、防风固沙林和农田保护林等。</w:t>
                  </w:r>
                </w:p>
              </w:tc>
              <w:tc>
                <w:tcPr>
                  <w:tcW w:w="353" w:type="pct"/>
                  <w:tcBorders>
                    <w:tl2br w:val="nil"/>
                    <w:tr2bl w:val="nil"/>
                  </w:tcBorders>
                  <w:vAlign w:val="center"/>
                </w:tcPr>
                <w:p w14:paraId="7B37AE24">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vertAlign w:val="baseline"/>
                      <w:lang w:val="en-US" w:eastAsia="zh-CN"/>
                    </w:rPr>
                    <w:t>符合</w:t>
                  </w:r>
                </w:p>
              </w:tc>
            </w:tr>
            <w:tr w14:paraId="74D2B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continue"/>
                  <w:tcBorders>
                    <w:tl2br w:val="nil"/>
                    <w:tr2bl w:val="nil"/>
                  </w:tcBorders>
                  <w:vAlign w:val="center"/>
                </w:tcPr>
                <w:p w14:paraId="5419CA5B">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357" w:type="pct"/>
                  <w:tcBorders>
                    <w:tl2br w:val="nil"/>
                    <w:tr2bl w:val="nil"/>
                  </w:tcBorders>
                  <w:vAlign w:val="center"/>
                </w:tcPr>
                <w:p w14:paraId="382B8D5A">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val="0"/>
                      <w:bCs w:val="0"/>
                      <w:color w:val="auto"/>
                      <w:sz w:val="21"/>
                      <w:szCs w:val="21"/>
                      <w:u w:val="none"/>
                      <w:vertAlign w:val="baseline"/>
                    </w:rPr>
                  </w:pPr>
                  <w:r>
                    <w:rPr>
                      <w:rFonts w:hint="default" w:ascii="Times New Roman" w:hAnsi="Times New Roman" w:eastAsia="宋体" w:cs="Times New Roman"/>
                      <w:b w:val="0"/>
                      <w:bCs w:val="0"/>
                      <w:vertAlign w:val="baseline"/>
                      <w:lang w:val="en-US" w:eastAsia="zh-CN"/>
                    </w:rPr>
                    <w:t>污染物排放管控</w:t>
                  </w:r>
                </w:p>
              </w:tc>
              <w:tc>
                <w:tcPr>
                  <w:tcW w:w="2927" w:type="pct"/>
                  <w:tcBorders>
                    <w:tl2br w:val="nil"/>
                    <w:tr2bl w:val="nil"/>
                  </w:tcBorders>
                  <w:vAlign w:val="center"/>
                </w:tcPr>
                <w:p w14:paraId="55AC3CA4">
                  <w:pPr>
                    <w:keepNext w:val="0"/>
                    <w:keepLines w:val="0"/>
                    <w:pageBreakBefore w:val="0"/>
                    <w:widowControl w:val="0"/>
                    <w:numPr>
                      <w:ilvl w:val="0"/>
                      <w:numId w:val="3"/>
                    </w:numPr>
                    <w:kinsoku/>
                    <w:wordWrap/>
                    <w:overflowPunct/>
                    <w:topLinePunct w:val="0"/>
                    <w:autoSpaceDE/>
                    <w:autoSpaceDN/>
                    <w:bidi w:val="0"/>
                    <w:adjustRightInd/>
                    <w:snapToGrid/>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工业类新（改、扩）建项目新增主要污染物（水污染物化学需氧量、氨氮和大气污染物二氧化硫、氮氧化物）排放总量指标应符合区域环境质量和总量控制要求，立足于通过</w:t>
                  </w:r>
                  <w:r>
                    <w:rPr>
                      <w:rFonts w:hint="eastAsia" w:cs="Times New Roman"/>
                      <w:b w:val="0"/>
                      <w:bCs w:val="0"/>
                      <w:vertAlign w:val="baseline"/>
                      <w:lang w:val="en-US" w:eastAsia="zh-CN"/>
                    </w:rPr>
                    <w:t>“</w:t>
                  </w:r>
                  <w:r>
                    <w:rPr>
                      <w:rFonts w:hint="default" w:ascii="Times New Roman" w:hAnsi="Times New Roman" w:eastAsia="宋体" w:cs="Times New Roman"/>
                      <w:b w:val="0"/>
                      <w:bCs w:val="0"/>
                      <w:vertAlign w:val="baseline"/>
                      <w:lang w:val="en-US" w:eastAsia="zh-CN"/>
                    </w:rPr>
                    <w:t>以新带老</w:t>
                  </w:r>
                  <w:r>
                    <w:rPr>
                      <w:rFonts w:hint="eastAsia" w:cs="Times New Roman"/>
                      <w:b w:val="0"/>
                      <w:bCs w:val="0"/>
                      <w:vertAlign w:val="baseline"/>
                      <w:lang w:val="en-US" w:eastAsia="zh-CN"/>
                    </w:rPr>
                    <w:t>”</w:t>
                  </w:r>
                  <w:r>
                    <w:rPr>
                      <w:rFonts w:hint="default" w:ascii="Times New Roman" w:hAnsi="Times New Roman" w:eastAsia="宋体" w:cs="Times New Roman"/>
                      <w:b w:val="0"/>
                      <w:bCs w:val="0"/>
                      <w:vertAlign w:val="baseline"/>
                      <w:lang w:val="en-US" w:eastAsia="zh-CN"/>
                    </w:rPr>
                    <w:t>、削减存量，努力实现区域、企业自身总量平衡。总量指标来源、审核和监督管理按照“榕环保综〔2017〕90号</w:t>
                  </w:r>
                  <w:r>
                    <w:rPr>
                      <w:rFonts w:hint="eastAsia" w:cs="Times New Roman"/>
                      <w:b w:val="0"/>
                      <w:bCs w:val="0"/>
                      <w:vertAlign w:val="baseline"/>
                      <w:lang w:val="en-US" w:eastAsia="zh-CN"/>
                    </w:rPr>
                    <w:t>”</w:t>
                  </w:r>
                  <w:r>
                    <w:rPr>
                      <w:rFonts w:hint="default" w:ascii="Times New Roman" w:hAnsi="Times New Roman" w:eastAsia="宋体" w:cs="Times New Roman"/>
                      <w:b w:val="0"/>
                      <w:bCs w:val="0"/>
                      <w:vertAlign w:val="baseline"/>
                      <w:lang w:val="en-US" w:eastAsia="zh-CN"/>
                    </w:rPr>
                    <w:t>等相关文件执行。</w:t>
                  </w:r>
                </w:p>
                <w:p w14:paraId="7ADC2657">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新、改、扩建涉VOCs排放项目，应从源头加强控制，使用低（无）VOCs含量的原辅材料，实施新建项目VOCs排放区域内1.2及以上倍量替代。</w:t>
                  </w:r>
                </w:p>
                <w:p w14:paraId="30DADCA6">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14:paraId="2FB83B5D">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氟化工、印染、电镀等行业企业实行水污染物特别排放限值。</w:t>
                  </w:r>
                </w:p>
                <w:p w14:paraId="4E34CE47">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新、改、扩建重点行业［2］建设项目要遵循重点重金属污染物排放“等量替代”原则，总量来源原则上应是同一重点行业内的削减量，当同一重点行业无法满足时可从其他重点行业调剂。</w:t>
                  </w:r>
                </w:p>
                <w:p w14:paraId="37CE3D29">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每小时35（含）—65蒸吨燃煤锅炉和位于县级及以上城市建成区内保留的燃煤、燃油、燃生物质锅炉，原则上2024年底前必须全面实现超低排放。</w:t>
                  </w:r>
                </w:p>
                <w:p w14:paraId="7B045073">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水泥行业新改扩建项目严格对照超低排放、能效标杆水平建设实施；现有项目超低排放改造应按文件（闽环规〔2023〕2号）的时限要求分步推进，2025年底前全面完成［3］［4］。</w:t>
                  </w:r>
                </w:p>
                <w:p w14:paraId="7218591F">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1076" w:type="pct"/>
                  <w:tcBorders>
                    <w:tl2br w:val="nil"/>
                    <w:tr2bl w:val="nil"/>
                  </w:tcBorders>
                  <w:vAlign w:val="center"/>
                </w:tcPr>
                <w:p w14:paraId="0D6F1C63">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sz w:val="21"/>
                      <w:szCs w:val="21"/>
                      <w:u w:val="none"/>
                      <w:lang w:val="en-US" w:eastAsia="zh-CN"/>
                    </w:rPr>
                    <w:t>1.本项目不新增</w:t>
                  </w:r>
                  <w:r>
                    <w:rPr>
                      <w:rFonts w:hint="eastAsia"/>
                      <w:color w:val="auto"/>
                      <w:u w:val="none"/>
                      <w:vertAlign w:val="baseline"/>
                      <w:lang w:val="en-US" w:eastAsia="zh-CN"/>
                    </w:rPr>
                    <w:t>水污染物化学需氧量、氨氮和大气污染物二氧化硫、氮氧化物的排放；</w:t>
                  </w:r>
                </w:p>
                <w:p w14:paraId="37D78996">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2.本项目新增VOCs排放，区域内实行倍量替代；</w:t>
                  </w:r>
                </w:p>
                <w:p w14:paraId="30694337">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3.本项目不属于钢铁、水泥、平板玻璃、有色金属冶炼、化工等工业项目；</w:t>
                  </w:r>
                </w:p>
                <w:p w14:paraId="644B8583">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4.本项目不属于氟化工、印染、电镀等行业企业；</w:t>
                  </w:r>
                </w:p>
                <w:p w14:paraId="23EAC476">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5.本项目不涉及重点污染物排放；</w:t>
                  </w:r>
                </w:p>
                <w:p w14:paraId="222E853B">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6.本项目不设置锅炉，不燃煤、燃油、生物质和其他使用高污染燃料的锅炉；</w:t>
                  </w:r>
                </w:p>
                <w:p w14:paraId="5FB08D01">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u w:val="none"/>
                      <w:vertAlign w:val="baseline"/>
                      <w:lang w:val="en-US" w:eastAsia="zh-CN"/>
                    </w:rPr>
                    <w:t>7.本项目不属于水泥行业；</w:t>
                  </w:r>
                </w:p>
                <w:p w14:paraId="3FA0617D">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olor w:val="auto"/>
                      <w:u w:val="none"/>
                      <w:vertAlign w:val="baseline"/>
                      <w:lang w:val="en-US" w:eastAsia="zh-CN"/>
                    </w:rPr>
                    <w:t>8.本项目不属于印染、皮革、农药、医药、涂料等企业，不涉及废药品、废农药以及抗生素生产过程中产生的废母液、废反应基和废培养基等废物的产生。</w:t>
                  </w:r>
                </w:p>
              </w:tc>
              <w:tc>
                <w:tcPr>
                  <w:tcW w:w="353" w:type="pct"/>
                  <w:tcBorders>
                    <w:tl2br w:val="nil"/>
                    <w:tr2bl w:val="nil"/>
                  </w:tcBorders>
                  <w:vAlign w:val="center"/>
                </w:tcPr>
                <w:p w14:paraId="12A4F248">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vertAlign w:val="baseline"/>
                      <w:lang w:val="en-US" w:eastAsia="zh-CN"/>
                    </w:rPr>
                    <w:t>符合</w:t>
                  </w:r>
                </w:p>
              </w:tc>
            </w:tr>
            <w:tr w14:paraId="3B4B34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 w:type="pct"/>
                  <w:vMerge w:val="continue"/>
                  <w:tcBorders>
                    <w:tl2br w:val="nil"/>
                    <w:tr2bl w:val="nil"/>
                  </w:tcBorders>
                  <w:vAlign w:val="center"/>
                </w:tcPr>
                <w:p w14:paraId="441AC077">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p>
              </w:tc>
              <w:tc>
                <w:tcPr>
                  <w:tcW w:w="357" w:type="pct"/>
                  <w:tcBorders>
                    <w:tl2br w:val="nil"/>
                    <w:tr2bl w:val="nil"/>
                  </w:tcBorders>
                  <w:vAlign w:val="center"/>
                </w:tcPr>
                <w:p w14:paraId="672893E0">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资源开发效率要求</w:t>
                  </w:r>
                </w:p>
              </w:tc>
              <w:tc>
                <w:tcPr>
                  <w:tcW w:w="2927" w:type="pct"/>
                  <w:tcBorders>
                    <w:tl2br w:val="nil"/>
                    <w:tr2bl w:val="nil"/>
                  </w:tcBorders>
                  <w:vAlign w:val="center"/>
                </w:tcPr>
                <w:p w14:paraId="3DD595C9">
                  <w:pPr>
                    <w:keepNext w:val="0"/>
                    <w:keepLines w:val="0"/>
                    <w:pageBreakBefore w:val="0"/>
                    <w:widowControl w:val="0"/>
                    <w:numPr>
                      <w:ilvl w:val="0"/>
                      <w:numId w:val="4"/>
                    </w:numPr>
                    <w:kinsoku/>
                    <w:wordWrap/>
                    <w:overflowPunct/>
                    <w:topLinePunct w:val="0"/>
                    <w:autoSpaceDE/>
                    <w:autoSpaceDN/>
                    <w:bidi w:val="0"/>
                    <w:adjustRightInd/>
                    <w:snapToGrid/>
                    <w:ind w:left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14:paraId="2B8B9C95">
                  <w:pPr>
                    <w:keepNext w:val="0"/>
                    <w:keepLines w:val="0"/>
                    <w:pageBreakBefore w:val="0"/>
                    <w:widowControl w:val="0"/>
                    <w:numPr>
                      <w:ilvl w:val="0"/>
                      <w:numId w:val="4"/>
                    </w:numPr>
                    <w:kinsoku/>
                    <w:wordWrap/>
                    <w:overflowPunct/>
                    <w:topLinePunct w:val="0"/>
                    <w:autoSpaceDE/>
                    <w:autoSpaceDN/>
                    <w:bidi w:val="0"/>
                    <w:adjustRightInd/>
                    <w:snapToGrid/>
                    <w:ind w:leftChars="0"/>
                    <w:textAlignment w:val="auto"/>
                    <w:rPr>
                      <w:rFonts w:hint="default" w:ascii="Times New Roman" w:hAnsi="Times New Roman" w:eastAsia="宋体" w:cs="Times New Roman"/>
                      <w:b w:val="0"/>
                      <w:bCs w:val="0"/>
                      <w:vertAlign w:val="baseline"/>
                      <w:lang w:val="en-US" w:eastAsia="zh-CN"/>
                    </w:rPr>
                  </w:pPr>
                  <w:r>
                    <w:rPr>
                      <w:rFonts w:hint="default" w:ascii="Times New Roman" w:hAnsi="Times New Roman" w:eastAsia="宋体" w:cs="Times New Roman"/>
                      <w:b w:val="0"/>
                      <w:bCs w:val="0"/>
                      <w:vertAlign w:val="baseline"/>
                      <w:lang w:val="en-US" w:eastAsia="zh-CN"/>
                    </w:rPr>
                    <w:t>按照</w:t>
                  </w:r>
                  <w:r>
                    <w:rPr>
                      <w:rFonts w:hint="eastAsia" w:ascii="Times New Roman" w:hAnsi="Times New Roman" w:eastAsia="宋体" w:cs="Times New Roman"/>
                      <w:b w:val="0"/>
                      <w:bCs w:val="0"/>
                      <w:vertAlign w:val="baseline"/>
                      <w:lang w:val="en-US" w:eastAsia="zh-CN"/>
                    </w:rPr>
                    <w:t>“</w:t>
                  </w:r>
                  <w:r>
                    <w:rPr>
                      <w:rFonts w:hint="default" w:ascii="Times New Roman" w:hAnsi="Times New Roman" w:eastAsia="宋体" w:cs="Times New Roman"/>
                      <w:b w:val="0"/>
                      <w:bCs w:val="0"/>
                      <w:vertAlign w:val="baseline"/>
                      <w:lang w:val="en-US" w:eastAsia="zh-CN"/>
                    </w:rPr>
                    <w:t>提气、转电、控煤</w:t>
                  </w:r>
                  <w:r>
                    <w:rPr>
                      <w:rFonts w:hint="eastAsia" w:ascii="Times New Roman" w:hAnsi="Times New Roman" w:eastAsia="宋体" w:cs="Times New Roman"/>
                      <w:b w:val="0"/>
                      <w:bCs w:val="0"/>
                      <w:vertAlign w:val="baseline"/>
                      <w:lang w:val="en-US" w:eastAsia="zh-CN"/>
                    </w:rPr>
                    <w:t>”</w:t>
                  </w:r>
                  <w:r>
                    <w:rPr>
                      <w:rFonts w:hint="default" w:ascii="Times New Roman" w:hAnsi="Times New Roman" w:eastAsia="宋体" w:cs="Times New Roman"/>
                      <w:b w:val="0"/>
                      <w:bCs w:val="0"/>
                      <w:vertAlign w:val="baseline"/>
                      <w:lang w:val="en-US" w:eastAsia="zh-CN"/>
                    </w:rPr>
                    <w:t>的发展思路，推动陶瓷行业进一步优化用能结构，实现能源消费清洁低碳化。</w:t>
                  </w:r>
                </w:p>
              </w:tc>
              <w:tc>
                <w:tcPr>
                  <w:tcW w:w="1076" w:type="pct"/>
                  <w:tcBorders>
                    <w:tl2br w:val="nil"/>
                    <w:tr2bl w:val="nil"/>
                  </w:tcBorders>
                  <w:vAlign w:val="center"/>
                </w:tcPr>
                <w:p w14:paraId="59EEF799">
                  <w:pPr>
                    <w:keepNext w:val="0"/>
                    <w:keepLines w:val="0"/>
                    <w:pageBreakBefore w:val="0"/>
                    <w:widowControl w:val="0"/>
                    <w:kinsoku/>
                    <w:wordWrap/>
                    <w:overflowPunct/>
                    <w:topLinePunct w:val="0"/>
                    <w:autoSpaceDE/>
                    <w:autoSpaceDN/>
                    <w:bidi w:val="0"/>
                    <w:adjustRightInd/>
                    <w:snapToGrid/>
                    <w:spacing w:line="340" w:lineRule="atLeast"/>
                    <w:jc w:val="left"/>
                    <w:textAlignment w:val="auto"/>
                    <w:rPr>
                      <w:rFonts w:hint="eastAsia"/>
                      <w:color w:val="auto"/>
                      <w:u w:val="none"/>
                      <w:vertAlign w:val="baseline"/>
                      <w:lang w:val="en-US" w:eastAsia="zh-CN"/>
                    </w:rPr>
                  </w:pPr>
                  <w:r>
                    <w:rPr>
                      <w:rFonts w:hint="eastAsia"/>
                      <w:color w:val="auto"/>
                      <w:sz w:val="21"/>
                      <w:szCs w:val="21"/>
                      <w:u w:val="none"/>
                      <w:lang w:val="en-US" w:eastAsia="zh-CN"/>
                    </w:rPr>
                    <w:t>1.</w:t>
                  </w:r>
                  <w:r>
                    <w:rPr>
                      <w:rFonts w:hint="eastAsia"/>
                      <w:color w:val="auto"/>
                      <w:u w:val="none"/>
                      <w:vertAlign w:val="baseline"/>
                      <w:lang w:val="en-US" w:eastAsia="zh-CN"/>
                    </w:rPr>
                    <w:t>本项目不设置锅炉，不燃煤、燃油、生物质和其他使用高污染燃料的锅炉；</w:t>
                  </w:r>
                </w:p>
                <w:p w14:paraId="45E48FFC">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olor w:val="auto"/>
                      <w:sz w:val="21"/>
                      <w:szCs w:val="21"/>
                      <w:u w:val="none"/>
                      <w:lang w:val="en-US" w:eastAsia="zh-CN"/>
                    </w:rPr>
                    <w:t>2.本项目不属于陶瓷行业。</w:t>
                  </w:r>
                </w:p>
              </w:tc>
              <w:tc>
                <w:tcPr>
                  <w:tcW w:w="353" w:type="pct"/>
                  <w:tcBorders>
                    <w:tl2br w:val="nil"/>
                    <w:tr2bl w:val="nil"/>
                  </w:tcBorders>
                  <w:vAlign w:val="center"/>
                </w:tcPr>
                <w:p w14:paraId="667A0119">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rPr>
                  </w:pPr>
                  <w:r>
                    <w:rPr>
                      <w:rFonts w:hint="eastAsia" w:cs="Times New Roman"/>
                      <w:color w:val="auto"/>
                      <w:sz w:val="21"/>
                      <w:szCs w:val="21"/>
                      <w:u w:val="none"/>
                      <w:vertAlign w:val="baseline"/>
                      <w:lang w:val="en-US" w:eastAsia="zh-CN"/>
                    </w:rPr>
                    <w:t>符合</w:t>
                  </w:r>
                </w:p>
              </w:tc>
            </w:tr>
          </w:tbl>
          <w:p w14:paraId="6A5689AF">
            <w:pPr>
              <w:keepNext w:val="0"/>
              <w:keepLines w:val="0"/>
              <w:pageBreakBefore w:val="0"/>
              <w:widowControl w:val="0"/>
              <w:kinsoku/>
              <w:wordWrap/>
              <w:overflowPunct/>
              <w:topLinePunct w:val="0"/>
              <w:autoSpaceDE w:val="0"/>
              <w:autoSpaceDN w:val="0"/>
              <w:bidi w:val="0"/>
              <w:adjustRightInd w:val="0"/>
              <w:snapToGrid w:val="0"/>
              <w:spacing w:before="323" w:beforeLines="10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表1.1-4本项目与</w:t>
            </w:r>
            <w:r>
              <w:rPr>
                <w:rFonts w:hint="eastAsia" w:ascii="Times New Roman" w:hAnsi="Times New Roman" w:eastAsia="宋体" w:cs="Times New Roman"/>
                <w:b/>
                <w:bCs/>
                <w:color w:val="auto"/>
                <w:sz w:val="24"/>
                <w:szCs w:val="24"/>
                <w:highlight w:val="none"/>
                <w:lang w:val="en-US" w:eastAsia="zh-CN"/>
              </w:rPr>
              <w:t>福清市</w:t>
            </w:r>
            <w:r>
              <w:rPr>
                <w:rFonts w:hint="default" w:ascii="Times New Roman" w:hAnsi="Times New Roman" w:eastAsia="宋体" w:cs="Times New Roman"/>
                <w:b/>
                <w:bCs/>
                <w:color w:val="auto"/>
                <w:sz w:val="24"/>
                <w:szCs w:val="24"/>
                <w:highlight w:val="none"/>
                <w:lang w:val="en-US" w:eastAsia="zh-CN"/>
              </w:rPr>
              <w:t>重点管控单元</w:t>
            </w: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环境管控单元准入要求</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1085"/>
              <w:gridCol w:w="758"/>
              <w:gridCol w:w="692"/>
              <w:gridCol w:w="5611"/>
              <w:gridCol w:w="2071"/>
              <w:gridCol w:w="725"/>
            </w:tblGrid>
            <w:tr w14:paraId="50531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4" w:type="pct"/>
                  <w:tcBorders>
                    <w:tl2br w:val="nil"/>
                    <w:tr2bl w:val="nil"/>
                  </w:tcBorders>
                  <w:vAlign w:val="center"/>
                </w:tcPr>
                <w:p w14:paraId="1C79664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环境管控单位编码</w:t>
                  </w:r>
                </w:p>
              </w:tc>
              <w:tc>
                <w:tcPr>
                  <w:tcW w:w="430" w:type="pct"/>
                  <w:tcBorders>
                    <w:tl2br w:val="nil"/>
                    <w:tr2bl w:val="nil"/>
                  </w:tcBorders>
                  <w:vAlign w:val="center"/>
                </w:tcPr>
                <w:p w14:paraId="025F7BFA">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环境管控单元名称</w:t>
                  </w:r>
                </w:p>
              </w:tc>
              <w:tc>
                <w:tcPr>
                  <w:tcW w:w="300" w:type="pct"/>
                  <w:tcBorders>
                    <w:tl2br w:val="nil"/>
                    <w:tr2bl w:val="nil"/>
                  </w:tcBorders>
                  <w:vAlign w:val="center"/>
                </w:tcPr>
                <w:p w14:paraId="616E0CFD">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管控类别</w:t>
                  </w:r>
                </w:p>
              </w:tc>
              <w:tc>
                <w:tcPr>
                  <w:tcW w:w="2496" w:type="pct"/>
                  <w:gridSpan w:val="2"/>
                  <w:tcBorders>
                    <w:tl2br w:val="nil"/>
                    <w:tr2bl w:val="nil"/>
                  </w:tcBorders>
                  <w:vAlign w:val="center"/>
                </w:tcPr>
                <w:p w14:paraId="49A70DB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管控要求</w:t>
                  </w:r>
                </w:p>
              </w:tc>
              <w:tc>
                <w:tcPr>
                  <w:tcW w:w="820" w:type="pct"/>
                  <w:tcBorders>
                    <w:tl2br w:val="nil"/>
                    <w:tr2bl w:val="nil"/>
                  </w:tcBorders>
                  <w:vAlign w:val="center"/>
                </w:tcPr>
                <w:p w14:paraId="3B1A335F">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val="en-US" w:eastAsia="zh-CN"/>
                    </w:rPr>
                    <w:t>本项目情况</w:t>
                  </w:r>
                </w:p>
              </w:tc>
              <w:tc>
                <w:tcPr>
                  <w:tcW w:w="287" w:type="pct"/>
                  <w:tcBorders>
                    <w:tl2br w:val="nil"/>
                    <w:tr2bl w:val="nil"/>
                  </w:tcBorders>
                  <w:vAlign w:val="center"/>
                </w:tcPr>
                <w:p w14:paraId="07DEB055">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val="en-US" w:eastAsia="zh-CN"/>
                    </w:rPr>
                    <w:t>符合性</w:t>
                  </w:r>
                </w:p>
              </w:tc>
            </w:tr>
            <w:tr w14:paraId="7DE9A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4" w:type="pct"/>
                  <w:vMerge w:val="restart"/>
                  <w:tcBorders>
                    <w:tl2br w:val="nil"/>
                    <w:tr2bl w:val="nil"/>
                  </w:tcBorders>
                  <w:vAlign w:val="center"/>
                </w:tcPr>
                <w:p w14:paraId="5F51BE0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sz w:val="21"/>
                      <w:szCs w:val="21"/>
                      <w:vertAlign w:val="baseline"/>
                      <w:lang w:val="en-US" w:eastAsia="zh-CN"/>
                    </w:rPr>
                    <w:t>ZH35018120008</w:t>
                  </w:r>
                </w:p>
              </w:tc>
              <w:tc>
                <w:tcPr>
                  <w:tcW w:w="430" w:type="pct"/>
                  <w:vMerge w:val="restart"/>
                  <w:tcBorders>
                    <w:tl2br w:val="nil"/>
                    <w:tr2bl w:val="nil"/>
                  </w:tcBorders>
                  <w:vAlign w:val="center"/>
                </w:tcPr>
                <w:p w14:paraId="14F70788">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福清市重点管控单元1</w:t>
                  </w:r>
                </w:p>
              </w:tc>
              <w:tc>
                <w:tcPr>
                  <w:tcW w:w="300" w:type="pct"/>
                  <w:vMerge w:val="restart"/>
                  <w:tcBorders>
                    <w:tl2br w:val="nil"/>
                    <w:tr2bl w:val="nil"/>
                  </w:tcBorders>
                  <w:vAlign w:val="center"/>
                </w:tcPr>
                <w:p w14:paraId="78E6EA0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重点管控单位</w:t>
                  </w:r>
                </w:p>
              </w:tc>
              <w:tc>
                <w:tcPr>
                  <w:tcW w:w="274" w:type="pct"/>
                  <w:tcBorders>
                    <w:tl2br w:val="nil"/>
                    <w:tr2bl w:val="nil"/>
                  </w:tcBorders>
                  <w:vAlign w:val="center"/>
                </w:tcPr>
                <w:p w14:paraId="66980AE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空间布局约束</w:t>
                  </w:r>
                </w:p>
              </w:tc>
              <w:tc>
                <w:tcPr>
                  <w:tcW w:w="2221" w:type="pct"/>
                  <w:tcBorders>
                    <w:tl2br w:val="nil"/>
                    <w:tr2bl w:val="nil"/>
                  </w:tcBorders>
                  <w:vAlign w:val="center"/>
                </w:tcPr>
                <w:p w14:paraId="31AF72B3">
                  <w:pPr>
                    <w:keepNext w:val="0"/>
                    <w:keepLines w:val="0"/>
                    <w:pageBreakBefore w:val="0"/>
                    <w:widowControl w:val="0"/>
                    <w:numPr>
                      <w:ilvl w:val="0"/>
                      <w:numId w:val="5"/>
                    </w:numPr>
                    <w:kinsoku/>
                    <w:wordWrap/>
                    <w:overflowPunct/>
                    <w:topLinePunct w:val="0"/>
                    <w:bidi w:val="0"/>
                    <w:adjustRightInd/>
                    <w:snapToGrid/>
                    <w:spacing w:line="240" w:lineRule="auto"/>
                    <w:jc w:val="left"/>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14:paraId="71876145">
                  <w:pPr>
                    <w:keepNext w:val="0"/>
                    <w:keepLines w:val="0"/>
                    <w:pageBreakBefore w:val="0"/>
                    <w:widowControl w:val="0"/>
                    <w:numPr>
                      <w:ilvl w:val="0"/>
                      <w:numId w:val="5"/>
                    </w:numPr>
                    <w:kinsoku/>
                    <w:wordWrap/>
                    <w:overflowPunct/>
                    <w:topLinePunct w:val="0"/>
                    <w:bidi w:val="0"/>
                    <w:adjustRightInd/>
                    <w:snapToGrid/>
                    <w:spacing w:line="240" w:lineRule="auto"/>
                    <w:ind w:left="0" w:leftChars="0" w:firstLine="0" w:firstLineChars="0"/>
                    <w:jc w:val="left"/>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严格控制包装印刷、工业涂装、制鞋等高VOCs排放的项目建设，相关新建项目必须进入工业园区。</w:t>
                  </w:r>
                </w:p>
                <w:p w14:paraId="3917B65D">
                  <w:pPr>
                    <w:keepNext w:val="0"/>
                    <w:keepLines w:val="0"/>
                    <w:pageBreakBefore w:val="0"/>
                    <w:widowControl w:val="0"/>
                    <w:numPr>
                      <w:ilvl w:val="0"/>
                      <w:numId w:val="0"/>
                    </w:numPr>
                    <w:kinsoku/>
                    <w:wordWrap/>
                    <w:overflowPunct/>
                    <w:topLinePunct w:val="0"/>
                    <w:bidi w:val="0"/>
                    <w:adjustRightInd/>
                    <w:snapToGrid/>
                    <w:spacing w:line="240" w:lineRule="auto"/>
                    <w:ind w:leftChars="0"/>
                    <w:jc w:val="left"/>
                    <w:textAlignment w:val="auto"/>
                    <w:rPr>
                      <w:rFonts w:hint="default" w:ascii="Times New Roman" w:hAnsi="Times New Roman" w:eastAsia="宋体" w:cs="Times New Roman"/>
                      <w:sz w:val="21"/>
                      <w:szCs w:val="21"/>
                      <w:vertAlign w:val="baseline"/>
                      <w:lang w:val="en-US" w:eastAsia="zh-CN"/>
                    </w:rPr>
                  </w:pPr>
                  <w:r>
                    <w:rPr>
                      <w:rFonts w:hint="eastAsia" w:cs="Times New Roman"/>
                      <w:b w:val="0"/>
                      <w:bCs w:val="0"/>
                      <w:sz w:val="21"/>
                      <w:szCs w:val="21"/>
                      <w:vertAlign w:val="baseline"/>
                      <w:lang w:val="en-US" w:eastAsia="zh-CN"/>
                    </w:rPr>
                    <w:t>3.</w:t>
                  </w:r>
                  <w:r>
                    <w:rPr>
                      <w:rFonts w:hint="default" w:ascii="Times New Roman" w:hAnsi="Times New Roman" w:eastAsia="宋体" w:cs="Times New Roman"/>
                      <w:b w:val="0"/>
                      <w:bCs w:val="0"/>
                      <w:sz w:val="21"/>
                      <w:szCs w:val="21"/>
                      <w:vertAlign w:val="baseline"/>
                      <w:lang w:val="en-US" w:eastAsia="zh-CN"/>
                    </w:rPr>
                    <w:t>禁止开发利用未经评估和无害化处理的列入建设用地污染地块名录及开发利用负面清单的土地。</w:t>
                  </w:r>
                </w:p>
              </w:tc>
              <w:tc>
                <w:tcPr>
                  <w:tcW w:w="820" w:type="pct"/>
                  <w:tcBorders>
                    <w:tl2br w:val="nil"/>
                    <w:tr2bl w:val="nil"/>
                  </w:tcBorders>
                  <w:vAlign w:val="center"/>
                </w:tcPr>
                <w:p w14:paraId="6D1F45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lang w:val="en-US" w:eastAsia="zh-CN"/>
                    </w:rPr>
                    <w:t>本项目不属于危险化学品生产企业，不属于有色金属、印染、原料药制造、化工等企业；本项目位于</w:t>
                  </w:r>
                  <w:r>
                    <w:rPr>
                      <w:rFonts w:hint="default" w:ascii="Times New Roman" w:hAnsi="Times New Roman" w:eastAsia="宋体" w:cs="Times New Roman"/>
                      <w:color w:val="auto"/>
                      <w:sz w:val="21"/>
                      <w:szCs w:val="21"/>
                      <w:u w:val="none"/>
                      <w:lang w:eastAsia="zh-CN"/>
                    </w:rPr>
                    <w:t>福清融侨经济技术开发区内。</w:t>
                  </w:r>
                </w:p>
              </w:tc>
              <w:tc>
                <w:tcPr>
                  <w:tcW w:w="287" w:type="pct"/>
                  <w:tcBorders>
                    <w:tl2br w:val="nil"/>
                    <w:tr2bl w:val="nil"/>
                  </w:tcBorders>
                  <w:vAlign w:val="center"/>
                </w:tcPr>
                <w:p w14:paraId="20326DBE">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val="en-US" w:eastAsia="zh-CN"/>
                    </w:rPr>
                    <w:t>符合</w:t>
                  </w:r>
                </w:p>
              </w:tc>
            </w:tr>
            <w:tr w14:paraId="38BDF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4" w:type="pct"/>
                  <w:vMerge w:val="continue"/>
                  <w:tcBorders>
                    <w:tl2br w:val="nil"/>
                    <w:tr2bl w:val="nil"/>
                  </w:tcBorders>
                  <w:vAlign w:val="center"/>
                </w:tcPr>
                <w:p w14:paraId="76B1CBC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430" w:type="pct"/>
                  <w:vMerge w:val="continue"/>
                  <w:tcBorders>
                    <w:tl2br w:val="nil"/>
                    <w:tr2bl w:val="nil"/>
                  </w:tcBorders>
                  <w:vAlign w:val="center"/>
                </w:tcPr>
                <w:p w14:paraId="3E552B3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300" w:type="pct"/>
                  <w:vMerge w:val="continue"/>
                  <w:tcBorders>
                    <w:tl2br w:val="nil"/>
                    <w:tr2bl w:val="nil"/>
                  </w:tcBorders>
                  <w:vAlign w:val="center"/>
                </w:tcPr>
                <w:p w14:paraId="51FBE820">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4" w:type="pct"/>
                  <w:tcBorders>
                    <w:tl2br w:val="nil"/>
                    <w:tr2bl w:val="nil"/>
                  </w:tcBorders>
                  <w:vAlign w:val="center"/>
                </w:tcPr>
                <w:p w14:paraId="0D0CE6D6">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污染物排放管控</w:t>
                  </w:r>
                </w:p>
              </w:tc>
              <w:tc>
                <w:tcPr>
                  <w:tcW w:w="2221" w:type="pct"/>
                  <w:tcBorders>
                    <w:tl2br w:val="nil"/>
                    <w:tr2bl w:val="nil"/>
                  </w:tcBorders>
                  <w:vAlign w:val="center"/>
                </w:tcPr>
                <w:p w14:paraId="24D477BE">
                  <w:pPr>
                    <w:keepNext w:val="0"/>
                    <w:keepLines w:val="0"/>
                    <w:pageBreakBefore w:val="0"/>
                    <w:widowControl w:val="0"/>
                    <w:kinsoku/>
                    <w:wordWrap/>
                    <w:overflowPunct/>
                    <w:topLinePunct w:val="0"/>
                    <w:bidi w:val="0"/>
                    <w:adjustRightInd/>
                    <w:snapToGrid/>
                    <w:spacing w:line="240" w:lineRule="auto"/>
                    <w:ind w:left="0" w:right="0" w:firstLine="0" w:firstLineChars="0"/>
                    <w:jc w:val="left"/>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落实新增二氧化硫、氮氧化物和VOCs排放总量控制要求。</w:t>
                  </w:r>
                </w:p>
              </w:tc>
              <w:tc>
                <w:tcPr>
                  <w:tcW w:w="820" w:type="pct"/>
                  <w:tcBorders>
                    <w:tl2br w:val="nil"/>
                    <w:tr2bl w:val="nil"/>
                  </w:tcBorders>
                  <w:vAlign w:val="center"/>
                </w:tcPr>
                <w:p w14:paraId="04B08498">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kern w:val="0"/>
                      <w:sz w:val="21"/>
                      <w:szCs w:val="21"/>
                      <w:u w:val="none"/>
                      <w:lang w:val="en-US" w:eastAsia="zh-CN" w:bidi="ar"/>
                    </w:rPr>
                    <w:t>本项目不涉及</w:t>
                  </w:r>
                  <w:r>
                    <w:rPr>
                      <w:rFonts w:hint="default" w:ascii="Times New Roman" w:hAnsi="Times New Roman" w:eastAsia="宋体" w:cs="Times New Roman"/>
                      <w:color w:val="auto"/>
                      <w:sz w:val="21"/>
                      <w:szCs w:val="21"/>
                      <w:u w:val="none"/>
                      <w:vertAlign w:val="baseline"/>
                      <w:lang w:val="en-US" w:eastAsia="zh-CN"/>
                    </w:rPr>
                    <w:t>新增二氧化硫、氮氧化物的排放，</w:t>
                  </w:r>
                  <w:r>
                    <w:rPr>
                      <w:rFonts w:hint="default" w:ascii="Times New Roman" w:hAnsi="Times New Roman" w:eastAsia="宋体" w:cs="Times New Roman"/>
                      <w:color w:val="auto"/>
                      <w:kern w:val="0"/>
                      <w:sz w:val="21"/>
                      <w:szCs w:val="21"/>
                      <w:u w:val="none"/>
                      <w:lang w:val="en-US" w:eastAsia="zh-CN" w:bidi="ar"/>
                    </w:rPr>
                    <w:t>本项目涉及</w:t>
                  </w:r>
                  <w:r>
                    <w:rPr>
                      <w:rFonts w:hint="default" w:ascii="Times New Roman" w:hAnsi="Times New Roman" w:eastAsia="宋体" w:cs="Times New Roman"/>
                      <w:color w:val="auto"/>
                      <w:sz w:val="21"/>
                      <w:szCs w:val="21"/>
                      <w:highlight w:val="none"/>
                      <w:u w:val="none"/>
                      <w:vertAlign w:val="baseline"/>
                      <w:lang w:eastAsia="zh-CN"/>
                    </w:rPr>
                    <w:t>新增</w:t>
                  </w:r>
                  <w:r>
                    <w:rPr>
                      <w:rFonts w:hint="default" w:ascii="Times New Roman" w:hAnsi="Times New Roman" w:eastAsia="宋体" w:cs="Times New Roman"/>
                      <w:color w:val="auto"/>
                      <w:sz w:val="21"/>
                      <w:szCs w:val="21"/>
                      <w:u w:val="none"/>
                    </w:rPr>
                    <w:t>VOCs排放，VOCs排放实行区域内倍量替代</w:t>
                  </w:r>
                  <w:r>
                    <w:rPr>
                      <w:rFonts w:hint="default" w:ascii="Times New Roman" w:hAnsi="Times New Roman" w:eastAsia="宋体" w:cs="Times New Roman"/>
                      <w:color w:val="auto"/>
                      <w:sz w:val="21"/>
                      <w:szCs w:val="21"/>
                      <w:u w:val="none"/>
                      <w:lang w:eastAsia="zh-CN"/>
                    </w:rPr>
                    <w:t>。</w:t>
                  </w:r>
                </w:p>
              </w:tc>
              <w:tc>
                <w:tcPr>
                  <w:tcW w:w="287" w:type="pct"/>
                  <w:tcBorders>
                    <w:tl2br w:val="nil"/>
                    <w:tr2bl w:val="nil"/>
                  </w:tcBorders>
                  <w:vAlign w:val="center"/>
                </w:tcPr>
                <w:p w14:paraId="66DCB17F">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val="en-US" w:eastAsia="zh-CN"/>
                    </w:rPr>
                    <w:t>符合</w:t>
                  </w:r>
                </w:p>
              </w:tc>
            </w:tr>
            <w:tr w14:paraId="253A4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4" w:type="pct"/>
                  <w:vMerge w:val="continue"/>
                  <w:tcBorders>
                    <w:tl2br w:val="nil"/>
                    <w:tr2bl w:val="nil"/>
                  </w:tcBorders>
                  <w:vAlign w:val="center"/>
                </w:tcPr>
                <w:p w14:paraId="3086E1B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430" w:type="pct"/>
                  <w:vMerge w:val="continue"/>
                  <w:tcBorders>
                    <w:tl2br w:val="nil"/>
                    <w:tr2bl w:val="nil"/>
                  </w:tcBorders>
                  <w:vAlign w:val="center"/>
                </w:tcPr>
                <w:p w14:paraId="45B50451">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300" w:type="pct"/>
                  <w:vMerge w:val="continue"/>
                  <w:tcBorders>
                    <w:tl2br w:val="nil"/>
                    <w:tr2bl w:val="nil"/>
                  </w:tcBorders>
                  <w:vAlign w:val="center"/>
                </w:tcPr>
                <w:p w14:paraId="5778E0B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4" w:type="pct"/>
                  <w:tcBorders>
                    <w:tl2br w:val="nil"/>
                    <w:tr2bl w:val="nil"/>
                  </w:tcBorders>
                  <w:vAlign w:val="center"/>
                </w:tcPr>
                <w:p w14:paraId="29800BE8">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环境风险防控</w:t>
                  </w:r>
                </w:p>
              </w:tc>
              <w:tc>
                <w:tcPr>
                  <w:tcW w:w="2221" w:type="pct"/>
                  <w:tcBorders>
                    <w:tl2br w:val="nil"/>
                    <w:tr2bl w:val="nil"/>
                  </w:tcBorders>
                  <w:vAlign w:val="center"/>
                </w:tcPr>
                <w:p w14:paraId="726B0D75">
                  <w:pPr>
                    <w:keepNext w:val="0"/>
                    <w:keepLines w:val="0"/>
                    <w:pageBreakBefore w:val="0"/>
                    <w:widowControl w:val="0"/>
                    <w:kinsoku/>
                    <w:wordWrap/>
                    <w:overflowPunct/>
                    <w:topLinePunct w:val="0"/>
                    <w:bidi w:val="0"/>
                    <w:adjustRightInd/>
                    <w:snapToGrid/>
                    <w:spacing w:line="240" w:lineRule="auto"/>
                    <w:jc w:val="left"/>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820" w:type="pct"/>
                  <w:tcBorders>
                    <w:tl2br w:val="nil"/>
                    <w:tr2bl w:val="nil"/>
                  </w:tcBorders>
                  <w:vAlign w:val="center"/>
                </w:tcPr>
                <w:p w14:paraId="2ED55BAF">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rPr>
                    <w:t>不涉及</w:t>
                  </w:r>
                </w:p>
              </w:tc>
              <w:tc>
                <w:tcPr>
                  <w:tcW w:w="287" w:type="pct"/>
                  <w:tcBorders>
                    <w:tl2br w:val="nil"/>
                    <w:tr2bl w:val="nil"/>
                  </w:tcBorders>
                  <w:vAlign w:val="center"/>
                </w:tcPr>
                <w:p w14:paraId="2B336325">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符合</w:t>
                  </w:r>
                </w:p>
              </w:tc>
            </w:tr>
            <w:tr w14:paraId="60A44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4" w:type="pct"/>
                  <w:vMerge w:val="continue"/>
                  <w:tcBorders>
                    <w:tl2br w:val="nil"/>
                    <w:tr2bl w:val="nil"/>
                  </w:tcBorders>
                  <w:vAlign w:val="center"/>
                </w:tcPr>
                <w:p w14:paraId="2AC506F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430" w:type="pct"/>
                  <w:vMerge w:val="continue"/>
                  <w:tcBorders>
                    <w:tl2br w:val="nil"/>
                    <w:tr2bl w:val="nil"/>
                  </w:tcBorders>
                  <w:vAlign w:val="center"/>
                </w:tcPr>
                <w:p w14:paraId="23C8C9B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300" w:type="pct"/>
                  <w:vMerge w:val="continue"/>
                  <w:tcBorders>
                    <w:tl2br w:val="nil"/>
                    <w:tr2bl w:val="nil"/>
                  </w:tcBorders>
                  <w:vAlign w:val="center"/>
                </w:tcPr>
                <w:p w14:paraId="677754C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p>
              </w:tc>
              <w:tc>
                <w:tcPr>
                  <w:tcW w:w="274" w:type="pct"/>
                  <w:tcBorders>
                    <w:tl2br w:val="nil"/>
                    <w:tr2bl w:val="nil"/>
                  </w:tcBorders>
                  <w:vAlign w:val="center"/>
                </w:tcPr>
                <w:p w14:paraId="3C2D6E0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vertAlign w:val="baseline"/>
                      <w:lang w:val="en-US" w:eastAsia="zh-CN"/>
                    </w:rPr>
                  </w:pPr>
                  <w:r>
                    <w:rPr>
                      <w:rFonts w:hint="default" w:ascii="Times New Roman" w:hAnsi="Times New Roman" w:eastAsia="宋体" w:cs="Times New Roman"/>
                      <w:color w:val="auto"/>
                      <w:kern w:val="0"/>
                      <w:sz w:val="21"/>
                      <w:szCs w:val="21"/>
                      <w:u w:val="none"/>
                      <w:vertAlign w:val="baseline"/>
                      <w:lang w:val="en-US" w:eastAsia="zh-CN"/>
                    </w:rPr>
                    <w:t>资源开发效率要求</w:t>
                  </w:r>
                </w:p>
              </w:tc>
              <w:tc>
                <w:tcPr>
                  <w:tcW w:w="2221" w:type="pct"/>
                  <w:tcBorders>
                    <w:tl2br w:val="nil"/>
                    <w:tr2bl w:val="nil"/>
                  </w:tcBorders>
                  <w:vAlign w:val="center"/>
                </w:tcPr>
                <w:p w14:paraId="4889C75F">
                  <w:pPr>
                    <w:keepNext w:val="0"/>
                    <w:keepLines w:val="0"/>
                    <w:pageBreakBefore w:val="0"/>
                    <w:widowControl w:val="0"/>
                    <w:kinsoku/>
                    <w:wordWrap/>
                    <w:overflowPunct/>
                    <w:topLinePunct w:val="0"/>
                    <w:bidi w:val="0"/>
                    <w:adjustRightInd/>
                    <w:snapToGrid/>
                    <w:spacing w:line="240" w:lineRule="auto"/>
                    <w:jc w:val="left"/>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高污染燃料禁燃区内禁止燃用高污染燃料，禁止新建、扩建燃用高污染燃料的设施。已建的燃用高污染燃料设施，限期改用电、天然气、液化石油气等清洁能源。</w:t>
                  </w:r>
                </w:p>
              </w:tc>
              <w:tc>
                <w:tcPr>
                  <w:tcW w:w="820" w:type="pct"/>
                  <w:tcBorders>
                    <w:tl2br w:val="nil"/>
                    <w:tr2bl w:val="nil"/>
                  </w:tcBorders>
                  <w:vAlign w:val="center"/>
                </w:tcPr>
                <w:p w14:paraId="0817751E">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s="Times New Roman"/>
                      <w:color w:val="auto"/>
                      <w:kern w:val="0"/>
                      <w:sz w:val="21"/>
                      <w:szCs w:val="21"/>
                      <w:u w:val="none"/>
                      <w:lang w:val="en-US" w:eastAsia="zh-CN" w:bidi="ar"/>
                    </w:rPr>
                  </w:pPr>
                  <w:r>
                    <w:t>项目用电作为能源，未使用高污染燃料</w:t>
                  </w:r>
                  <w:r>
                    <w:rPr>
                      <w:rFonts w:hint="eastAsia"/>
                      <w:lang w:eastAsia="zh-CN"/>
                    </w:rPr>
                    <w:t>。</w:t>
                  </w:r>
                </w:p>
              </w:tc>
              <w:tc>
                <w:tcPr>
                  <w:tcW w:w="287" w:type="pct"/>
                  <w:tcBorders>
                    <w:tl2br w:val="nil"/>
                    <w:tr2bl w:val="nil"/>
                  </w:tcBorders>
                  <w:vAlign w:val="center"/>
                </w:tcPr>
                <w:p w14:paraId="175B9048">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符合</w:t>
                  </w:r>
                </w:p>
              </w:tc>
            </w:tr>
          </w:tbl>
          <w:p w14:paraId="64B7E231">
            <w:pPr>
              <w:pStyle w:val="15"/>
              <w:keepLines w:val="0"/>
              <w:pageBreakBefore w:val="0"/>
              <w:wordWrap/>
              <w:topLinePunct w:val="0"/>
              <w:bidi w:val="0"/>
              <w:spacing w:before="0" w:after="0" w:line="360" w:lineRule="auto"/>
              <w:ind w:left="0" w:right="0" w:firstLine="0" w:firstLineChars="0"/>
              <w:jc w:val="left"/>
              <w:rPr>
                <w:rFonts w:hint="default" w:ascii="Times New Roman" w:hAnsi="Times New Roman" w:eastAsia="宋体" w:cs="Times New Roman"/>
                <w:color w:val="auto"/>
                <w:sz w:val="24"/>
                <w:szCs w:val="24"/>
                <w:u w:val="none"/>
                <w:lang w:eastAsia="zh-CN"/>
              </w:rPr>
            </w:pPr>
          </w:p>
        </w:tc>
      </w:tr>
    </w:tbl>
    <w:p w14:paraId="7594B590">
      <w:pPr>
        <w:jc w:val="both"/>
        <w:rPr>
          <w:rFonts w:hint="eastAsia" w:eastAsia="楷体_GB2312" w:cs="Times New Roman"/>
          <w:color w:val="auto"/>
          <w:sz w:val="36"/>
          <w:szCs w:val="36"/>
          <w:u w:val="none"/>
          <w:lang w:eastAsia="zh-CN"/>
        </w:rPr>
        <w:sectPr>
          <w:pgSz w:w="16838" w:h="11906" w:orient="landscape"/>
          <w:pgMar w:top="1417" w:right="1587" w:bottom="1417" w:left="1587" w:header="851" w:footer="992" w:gutter="0"/>
          <w:pgBorders>
            <w:top w:val="none" w:sz="0" w:space="0"/>
            <w:left w:val="none" w:sz="0" w:space="0"/>
            <w:bottom w:val="none" w:sz="0" w:space="0"/>
            <w:right w:val="none" w:sz="0" w:space="0"/>
          </w:pgBorders>
          <w:pgNumType w:fmt="decimal"/>
          <w:cols w:space="0" w:num="1"/>
          <w:rtlGutter w:val="0"/>
          <w:docGrid w:type="lines" w:linePitch="324" w:charSpace="0"/>
        </w:sectPr>
      </w:pP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8646"/>
      </w:tblGrid>
      <w:tr w14:paraId="2E803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pct"/>
          </w:tcPr>
          <w:p w14:paraId="657FFD95">
            <w:pPr>
              <w:pStyle w:val="11"/>
              <w:rPr>
                <w:rFonts w:hint="eastAsia"/>
                <w:vertAlign w:val="baseline"/>
                <w:lang w:eastAsia="zh-CN"/>
              </w:rPr>
            </w:pPr>
          </w:p>
        </w:tc>
        <w:tc>
          <w:tcPr>
            <w:tcW w:w="4653" w:type="pct"/>
          </w:tcPr>
          <w:p w14:paraId="793BCAD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根据上述分析，本项目符合根据《福建省人民政府关于实施“三线一单”生态环境分区管控的通知》(闽政(2020)12号)中的相关规定。</w:t>
            </w:r>
          </w:p>
          <w:p w14:paraId="1F982FA9">
            <w:pPr>
              <w:pStyle w:val="35"/>
              <w:keepNext w:val="0"/>
              <w:keepLines w:val="0"/>
              <w:pageBreakBefore w:val="0"/>
              <w:widowControl w:val="0"/>
              <w:kinsoku/>
              <w:wordWrap/>
              <w:overflowPunct/>
              <w:topLinePunct w:val="0"/>
              <w:autoSpaceDE/>
              <w:autoSpaceDN/>
              <w:bidi w:val="0"/>
              <w:adjustRightInd/>
              <w:spacing w:line="360" w:lineRule="auto"/>
              <w:ind w:firstLine="482" w:firstLineChars="200"/>
              <w:jc w:val="left"/>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平面布局合理性分析</w:t>
            </w:r>
          </w:p>
          <w:p w14:paraId="20F0DF21">
            <w:pPr>
              <w:pStyle w:val="36"/>
              <w:keepNext w:val="0"/>
              <w:keepLines w:val="0"/>
              <w:pageBreakBefore w:val="0"/>
              <w:kinsoku/>
              <w:wordWrap/>
              <w:overflowPunct/>
              <w:topLinePunct w:val="0"/>
              <w:bidi w:val="0"/>
              <w:spacing w:line="360" w:lineRule="auto"/>
              <w:ind w:firstLine="480"/>
              <w:jc w:val="both"/>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w:t>
            </w:r>
            <w:r>
              <w:rPr>
                <w:rFonts w:hint="eastAsia" w:cs="Times New Roman"/>
                <w:color w:val="auto"/>
                <w:sz w:val="24"/>
                <w:szCs w:val="24"/>
                <w:highlight w:val="none"/>
                <w:lang w:val="en-US" w:eastAsia="zh-CN"/>
              </w:rPr>
              <w:t>购置</w:t>
            </w:r>
            <w:r>
              <w:rPr>
                <w:rFonts w:hint="eastAsia" w:cs="Times New Roman"/>
                <w:color w:val="auto"/>
                <w:sz w:val="24"/>
                <w:szCs w:val="24"/>
                <w:u w:val="none"/>
                <w:lang w:val="en-US" w:eastAsia="zh-CN"/>
              </w:rPr>
              <w:t>福清市阳下街道均和云谷·福清科技港39号厂房</w:t>
            </w:r>
            <w:r>
              <w:rPr>
                <w:rFonts w:hint="eastAsia" w:ascii="宋体" w:hAnsi="宋体" w:eastAsia="宋体" w:cs="宋体"/>
                <w:color w:val="auto"/>
                <w:sz w:val="24"/>
                <w:szCs w:val="24"/>
                <w:u w:val="none"/>
                <w:lang w:val="en-US" w:eastAsia="zh-CN"/>
              </w:rPr>
              <w:t>作为生产场所，合计面积</w:t>
            </w:r>
            <w:r>
              <w:rPr>
                <w:rFonts w:hint="eastAsia" w:ascii="Times New Roman" w:hAnsi="Times New Roman" w:cs="宋体"/>
                <w:color w:val="auto"/>
                <w:sz w:val="24"/>
                <w:szCs w:val="24"/>
                <w:u w:val="none"/>
                <w:lang w:val="en-US" w:eastAsia="zh-CN"/>
              </w:rPr>
              <w:t>4188.94</w:t>
            </w:r>
            <w:r>
              <w:rPr>
                <w:rFonts w:hint="eastAsia" w:ascii="Times New Roman" w:hAnsi="Times New Roman" w:eastAsia="宋体" w:cs="宋体"/>
                <w:color w:val="auto"/>
                <w:sz w:val="24"/>
                <w:szCs w:val="24"/>
                <w:u w:val="none"/>
                <w:lang w:val="en-US" w:eastAsia="zh-CN"/>
              </w:rPr>
              <w:t>m</w:t>
            </w:r>
            <w:r>
              <w:rPr>
                <w:rFonts w:hint="eastAsia" w:ascii="Times New Roman" w:hAnsi="Times New Roman" w:eastAsia="宋体" w:cs="宋体"/>
                <w:color w:val="auto"/>
                <w:sz w:val="24"/>
                <w:szCs w:val="24"/>
                <w:u w:val="none"/>
                <w:vertAlign w:val="superscript"/>
                <w:lang w:val="en-US" w:eastAsia="zh-CN"/>
              </w:rPr>
              <w:t>2</w:t>
            </w:r>
            <w:r>
              <w:rPr>
                <w:rFonts w:hint="eastAsia" w:ascii="宋体" w:hAnsi="宋体" w:eastAsia="宋体" w:cs="宋体"/>
                <w:color w:val="auto"/>
                <w:sz w:val="24"/>
                <w:szCs w:val="24"/>
                <w:highlight w:val="none"/>
                <w:u w:val="none"/>
                <w:lang w:val="en-US" w:eastAsia="zh-CN"/>
              </w:rPr>
              <w:t>（</w:t>
            </w:r>
            <w:r>
              <w:rPr>
                <w:rFonts w:hint="eastAsia" w:ascii="宋体" w:hAnsi="宋体" w:cs="宋体"/>
                <w:color w:val="auto"/>
                <w:sz w:val="24"/>
                <w:szCs w:val="24"/>
                <w:highlight w:val="none"/>
                <w:u w:val="none"/>
                <w:lang w:val="en-US" w:eastAsia="zh-CN"/>
              </w:rPr>
              <w:t>厂房</w:t>
            </w:r>
            <w:r>
              <w:rPr>
                <w:rFonts w:hint="eastAsia" w:ascii="宋体" w:hAnsi="宋体" w:eastAsia="宋体" w:cs="宋体"/>
                <w:color w:val="auto"/>
                <w:sz w:val="24"/>
                <w:szCs w:val="24"/>
                <w:highlight w:val="none"/>
                <w:u w:val="none"/>
                <w:lang w:val="en-US" w:eastAsia="zh-CN"/>
              </w:rPr>
              <w:t>购置合同详见</w:t>
            </w:r>
            <w:r>
              <w:rPr>
                <w:rFonts w:hint="eastAsia" w:ascii="宋体" w:hAnsi="宋体" w:eastAsia="宋体" w:cs="宋体"/>
                <w:b/>
                <w:bCs/>
                <w:color w:val="auto"/>
                <w:sz w:val="24"/>
                <w:szCs w:val="24"/>
                <w:highlight w:val="none"/>
                <w:u w:val="none"/>
                <w:lang w:val="en-US" w:eastAsia="zh-CN"/>
              </w:rPr>
              <w:t>附件</w:t>
            </w:r>
            <w:r>
              <w:rPr>
                <w:rFonts w:hint="eastAsia" w:ascii="宋体" w:hAnsi="宋体" w:cs="宋体"/>
                <w:b/>
                <w:bCs/>
                <w:color w:val="auto"/>
                <w:sz w:val="24"/>
                <w:szCs w:val="24"/>
                <w:highlight w:val="none"/>
                <w:u w:val="none"/>
                <w:lang w:val="en-US" w:eastAsia="zh-CN"/>
              </w:rPr>
              <w:t>五</w:t>
            </w:r>
            <w:r>
              <w:rPr>
                <w:rFonts w:hint="eastAsia" w:ascii="宋体" w:hAnsi="宋体" w:eastAsia="宋体" w:cs="宋体"/>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rPr>
              <w:t>厂区内厂房布置简单，</w:t>
            </w:r>
            <w:r>
              <w:rPr>
                <w:rFonts w:hint="eastAsia" w:cs="Times New Roman"/>
                <w:color w:val="auto"/>
                <w:sz w:val="24"/>
                <w:szCs w:val="24"/>
                <w:highlight w:val="none"/>
                <w:lang w:val="en-US" w:eastAsia="zh-CN"/>
              </w:rPr>
              <w:t>一层为注塑、粉碎、烘干、仓库等，二层为喷粉、组装等，三层为包胶、线束组装，四层为办公区。</w:t>
            </w:r>
            <w:r>
              <w:rPr>
                <w:rFonts w:hint="default" w:ascii="Times New Roman" w:hAnsi="Times New Roman" w:eastAsia="宋体" w:cs="Times New Roman"/>
                <w:color w:val="auto"/>
                <w:sz w:val="24"/>
                <w:szCs w:val="24"/>
                <w:highlight w:val="none"/>
              </w:rPr>
              <w:t>各功能分区明确，生产车间内平面布置基本上根据生产工艺需要和物料流向，各工序布置间距较近，便于生产操作，同时也避免物料来回运输消耗能源，厂区总平面布置基</w:t>
            </w:r>
            <w:r>
              <w:rPr>
                <w:rFonts w:hint="default" w:ascii="Times New Roman" w:hAnsi="Times New Roman" w:eastAsia="宋体" w:cs="Times New Roman"/>
                <w:color w:val="auto"/>
                <w:sz w:val="24"/>
                <w:szCs w:val="24"/>
                <w:highlight w:val="none"/>
                <w:lang w:val="en-US" w:eastAsia="zh-CN"/>
              </w:rPr>
              <w:t>本合理</w:t>
            </w:r>
            <w:r>
              <w:rPr>
                <w:rFonts w:hint="default" w:ascii="Times New Roman" w:hAnsi="Times New Roman" w:eastAsia="宋体" w:cs="Times New Roman"/>
                <w:color w:val="auto"/>
                <w:sz w:val="24"/>
                <w:szCs w:val="24"/>
                <w:highlight w:val="none"/>
              </w:rPr>
              <w:t>。</w:t>
            </w:r>
          </w:p>
          <w:p w14:paraId="528A92B9">
            <w:pPr>
              <w:pStyle w:val="35"/>
              <w:keepNext w:val="0"/>
              <w:keepLines w:val="0"/>
              <w:pageBreakBefore w:val="0"/>
              <w:widowControl w:val="0"/>
              <w:kinsoku/>
              <w:wordWrap/>
              <w:overflowPunct/>
              <w:topLinePunct w:val="0"/>
              <w:autoSpaceDE/>
              <w:autoSpaceDN/>
              <w:bidi w:val="0"/>
              <w:adjustRightInd/>
              <w:spacing w:line="360" w:lineRule="auto"/>
              <w:ind w:firstLine="482" w:firstLineChars="200"/>
              <w:jc w:val="left"/>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与周边相容性分析</w:t>
            </w:r>
          </w:p>
          <w:p w14:paraId="2FBE4674">
            <w:pPr>
              <w:widowControl/>
              <w:spacing w:line="360" w:lineRule="auto"/>
              <w:ind w:firstLine="480" w:firstLineChars="200"/>
              <w:jc w:val="both"/>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szCs w:val="24"/>
                <w:u w:val="none"/>
                <w:lang w:eastAsia="zh-CN"/>
              </w:rPr>
              <w:t>本项目位于</w:t>
            </w:r>
            <w:r>
              <w:rPr>
                <w:rFonts w:hint="eastAsia" w:ascii="Times New Roman" w:hAnsi="Times New Roman" w:eastAsia="宋体" w:cs="Times New Roman"/>
                <w:color w:val="auto"/>
                <w:sz w:val="24"/>
                <w:szCs w:val="24"/>
                <w:highlight w:val="none"/>
                <w:u w:val="none"/>
                <w:lang w:val="en-US" w:eastAsia="zh-CN"/>
              </w:rPr>
              <w:t>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w:t>
            </w:r>
            <w:r>
              <w:rPr>
                <w:rFonts w:hint="eastAsia" w:ascii="Times New Roman" w:hAnsi="Times New Roman" w:eastAsia="宋体" w:cs="Times New Roman"/>
                <w:color w:val="auto"/>
                <w:sz w:val="24"/>
                <w:lang w:val="en-US" w:eastAsia="zh-CN"/>
              </w:rPr>
              <w:t>根据调查项目厂址不位于自然保护区、风景名胜区、饮用水水源保护区和其他需要特别保护等法律法规禁止开发建设的区域，用地为工业用地，与区域内土地利用规划不冲突。</w:t>
            </w:r>
            <w:r>
              <w:rPr>
                <w:rFonts w:hint="default" w:ascii="Times New Roman" w:hAnsi="Times New Roman" w:eastAsia="宋体" w:cs="Times New Roman"/>
                <w:color w:val="auto"/>
                <w:sz w:val="24"/>
                <w:lang w:val="en-US" w:eastAsia="zh-CN"/>
              </w:rPr>
              <w:t>根据现场勘查，</w:t>
            </w:r>
            <w:r>
              <w:rPr>
                <w:rFonts w:hint="eastAsia" w:ascii="Times New Roman" w:hAnsi="Times New Roman" w:eastAsia="宋体" w:cs="Times New Roman"/>
                <w:color w:val="auto"/>
                <w:sz w:val="24"/>
                <w:lang w:val="en-US" w:eastAsia="zh-CN"/>
              </w:rPr>
              <w:t>项目</w:t>
            </w:r>
            <w:r>
              <w:rPr>
                <w:rFonts w:hint="eastAsia"/>
                <w:color w:val="auto"/>
                <w:sz w:val="24"/>
                <w:lang w:val="en-US" w:eastAsia="zh-CN"/>
              </w:rPr>
              <w:t>厂界外50米范围内不存在声环境保护目标，厂界</w:t>
            </w:r>
            <w:r>
              <w:rPr>
                <w:rFonts w:hint="eastAsia" w:ascii="Times New Roman" w:hAnsi="Times New Roman" w:eastAsia="宋体" w:cs="Times New Roman"/>
                <w:color w:val="auto"/>
                <w:sz w:val="24"/>
                <w:lang w:val="en-US" w:eastAsia="zh-CN"/>
              </w:rPr>
              <w:t>外500米范围内距离项目最近的西南侧约</w:t>
            </w:r>
            <w:r>
              <w:rPr>
                <w:rFonts w:hint="eastAsia" w:cs="Times New Roman"/>
                <w:color w:val="auto"/>
                <w:sz w:val="24"/>
                <w:lang w:val="en-US" w:eastAsia="zh-CN"/>
              </w:rPr>
              <w:t>177</w:t>
            </w:r>
            <w:r>
              <w:rPr>
                <w:rFonts w:hint="eastAsia" w:ascii="Times New Roman" w:hAnsi="Times New Roman" w:eastAsia="宋体" w:cs="Times New Roman"/>
                <w:color w:val="auto"/>
                <w:sz w:val="24"/>
                <w:lang w:val="en-US" w:eastAsia="zh-CN"/>
              </w:rPr>
              <w:t>m的下田村居民点，</w:t>
            </w:r>
            <w:r>
              <w:rPr>
                <w:rFonts w:hint="default" w:ascii="Times New Roman" w:hAnsi="Times New Roman" w:eastAsia="宋体" w:cs="Times New Roman"/>
                <w:color w:val="auto"/>
                <w:sz w:val="24"/>
                <w:lang w:eastAsia="zh-CN"/>
              </w:rPr>
              <w:t>周边</w:t>
            </w:r>
            <w:r>
              <w:rPr>
                <w:rFonts w:hint="eastAsia" w:cs="Times New Roman"/>
                <w:color w:val="auto"/>
                <w:sz w:val="24"/>
                <w:lang w:eastAsia="zh-CN"/>
              </w:rPr>
              <w:t>分布以工业企业为主</w:t>
            </w:r>
            <w:r>
              <w:rPr>
                <w:rFonts w:hint="eastAsia" w:ascii="Times New Roman" w:hAnsi="Times New Roman" w:eastAsia="宋体" w:cs="Times New Roman"/>
                <w:color w:val="auto"/>
                <w:sz w:val="24"/>
                <w:lang w:val="en-US" w:eastAsia="zh-CN"/>
              </w:rPr>
              <w:t>等</w:t>
            </w:r>
            <w:r>
              <w:rPr>
                <w:rFonts w:hint="eastAsia" w:ascii="Times New Roman" w:hAnsi="Times New Roman" w:eastAsia="宋体" w:cs="Times New Roman"/>
                <w:color w:val="auto"/>
                <w:sz w:val="24"/>
                <w:lang w:eastAsia="zh-CN"/>
              </w:rPr>
              <w:t>，项目</w:t>
            </w:r>
            <w:r>
              <w:rPr>
                <w:rFonts w:hint="eastAsia" w:ascii="Times New Roman" w:hAnsi="Times New Roman" w:eastAsia="宋体" w:cs="Times New Roman"/>
                <w:color w:val="auto"/>
                <w:sz w:val="24"/>
                <w:highlight w:val="none"/>
                <w:lang w:eastAsia="zh-CN"/>
              </w:rPr>
              <w:t>周边环境示意图</w:t>
            </w:r>
            <w:r>
              <w:rPr>
                <w:rFonts w:hint="eastAsia" w:cs="Times New Roman"/>
                <w:color w:val="auto"/>
                <w:sz w:val="24"/>
                <w:highlight w:val="none"/>
                <w:lang w:val="en-US" w:eastAsia="zh-CN"/>
              </w:rPr>
              <w:t>及保护目标</w:t>
            </w:r>
            <w:r>
              <w:rPr>
                <w:rFonts w:hint="eastAsia" w:ascii="Times New Roman" w:hAnsi="Times New Roman" w:eastAsia="宋体" w:cs="Times New Roman"/>
                <w:color w:val="auto"/>
                <w:sz w:val="24"/>
                <w:highlight w:val="none"/>
                <w:lang w:eastAsia="zh-CN"/>
              </w:rPr>
              <w:t>详见</w:t>
            </w:r>
            <w:r>
              <w:rPr>
                <w:rFonts w:hint="eastAsia" w:ascii="Times New Roman" w:hAnsi="Times New Roman" w:eastAsia="宋体" w:cs="Times New Roman"/>
                <w:b/>
                <w:bCs/>
                <w:color w:val="auto"/>
                <w:sz w:val="24"/>
                <w:highlight w:val="none"/>
                <w:lang w:eastAsia="zh-CN"/>
              </w:rPr>
              <w:t>附图</w:t>
            </w:r>
            <w:r>
              <w:rPr>
                <w:rFonts w:hint="eastAsia" w:cs="Times New Roman"/>
                <w:b/>
                <w:bCs/>
                <w:color w:val="auto"/>
                <w:sz w:val="24"/>
                <w:highlight w:val="none"/>
                <w:lang w:val="en-US" w:eastAsia="zh-CN"/>
              </w:rPr>
              <w:t>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pacing w:val="0"/>
                <w:sz w:val="24"/>
                <w:szCs w:val="24"/>
                <w:highlight w:val="none"/>
                <w:u w:val="none"/>
                <w:lang w:eastAsia="zh-CN"/>
              </w:rPr>
              <w:t>项目周边环境现状拍摄图详</w:t>
            </w:r>
            <w:r>
              <w:rPr>
                <w:rFonts w:hint="default" w:ascii="Times New Roman" w:hAnsi="Times New Roman" w:eastAsia="宋体" w:cs="Times New Roman"/>
                <w:color w:val="auto"/>
                <w:sz w:val="24"/>
                <w:highlight w:val="none"/>
                <w:lang w:eastAsia="zh-CN"/>
              </w:rPr>
              <w:t>见</w:t>
            </w:r>
            <w:r>
              <w:rPr>
                <w:rFonts w:hint="default" w:ascii="Times New Roman" w:hAnsi="Times New Roman" w:eastAsia="宋体" w:cs="Times New Roman"/>
                <w:b/>
                <w:bCs/>
                <w:color w:val="auto"/>
                <w:sz w:val="24"/>
                <w:highlight w:val="none"/>
                <w:lang w:eastAsia="zh-CN"/>
              </w:rPr>
              <w:t>附图</w:t>
            </w:r>
            <w:r>
              <w:rPr>
                <w:rFonts w:hint="eastAsia" w:cs="Times New Roman"/>
                <w:b/>
                <w:bCs/>
                <w:color w:val="auto"/>
                <w:sz w:val="24"/>
                <w:highlight w:val="none"/>
                <w:lang w:val="en-US" w:eastAsia="zh-CN"/>
              </w:rPr>
              <w:t>三</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lang w:eastAsia="zh-CN"/>
              </w:rPr>
              <w:t>建设单位在</w:t>
            </w:r>
            <w:r>
              <w:rPr>
                <w:rFonts w:hint="eastAsia" w:cs="Times New Roman"/>
                <w:color w:val="auto"/>
                <w:sz w:val="24"/>
                <w:lang w:eastAsia="zh-CN"/>
              </w:rPr>
              <w:t>切实落实</w:t>
            </w:r>
            <w:r>
              <w:rPr>
                <w:rFonts w:hint="default" w:ascii="Times New Roman" w:hAnsi="Times New Roman" w:eastAsia="宋体" w:cs="Times New Roman"/>
                <w:color w:val="auto"/>
                <w:sz w:val="24"/>
                <w:lang w:eastAsia="zh-CN"/>
              </w:rPr>
              <w:t>本评价提出的各项污染治理措施的前提下，可实现污染物达标排放</w:t>
            </w:r>
            <w:r>
              <w:rPr>
                <w:rFonts w:hint="eastAsia" w:cs="Times New Roman"/>
                <w:color w:val="auto"/>
                <w:sz w:val="24"/>
                <w:lang w:eastAsia="zh-CN"/>
              </w:rPr>
              <w:t>且</w:t>
            </w:r>
            <w:r>
              <w:rPr>
                <w:rFonts w:hint="default" w:ascii="Times New Roman" w:hAnsi="Times New Roman" w:eastAsia="宋体" w:cs="Times New Roman"/>
                <w:color w:val="auto"/>
                <w:sz w:val="24"/>
                <w:lang w:eastAsia="zh-CN"/>
              </w:rPr>
              <w:t>各污染物排放源强较低，运营期产生的</w:t>
            </w:r>
            <w:r>
              <w:rPr>
                <w:rFonts w:hint="eastAsia" w:cs="Times New Roman"/>
                <w:color w:val="auto"/>
                <w:sz w:val="24"/>
                <w:lang w:eastAsia="zh-CN"/>
              </w:rPr>
              <w:t>“</w:t>
            </w:r>
            <w:r>
              <w:rPr>
                <w:rFonts w:hint="default" w:ascii="Times New Roman" w:hAnsi="Times New Roman" w:eastAsia="宋体" w:cs="Times New Roman"/>
                <w:color w:val="auto"/>
                <w:sz w:val="24"/>
                <w:lang w:eastAsia="zh-CN"/>
              </w:rPr>
              <w:t>三废</w:t>
            </w:r>
            <w:r>
              <w:rPr>
                <w:rFonts w:hint="eastAsia" w:cs="Times New Roman"/>
                <w:color w:val="auto"/>
                <w:sz w:val="24"/>
                <w:lang w:eastAsia="zh-CN"/>
              </w:rPr>
              <w:t>”</w:t>
            </w:r>
            <w:r>
              <w:rPr>
                <w:rFonts w:hint="default" w:ascii="Times New Roman" w:hAnsi="Times New Roman" w:eastAsia="宋体" w:cs="Times New Roman"/>
                <w:color w:val="auto"/>
                <w:sz w:val="24"/>
                <w:lang w:eastAsia="zh-CN"/>
              </w:rPr>
              <w:t>及噪声对周边环境影响不明显，因此，项目建设与周边环境基本相容。</w:t>
            </w:r>
          </w:p>
          <w:p w14:paraId="765B522C">
            <w:pPr>
              <w:widowControl/>
              <w:numPr>
                <w:ilvl w:val="0"/>
                <w:numId w:val="0"/>
              </w:numPr>
              <w:spacing w:line="360" w:lineRule="auto"/>
              <w:ind w:firstLine="482" w:firstLineChars="200"/>
              <w:jc w:val="left"/>
              <w:rPr>
                <w:b/>
                <w:bCs/>
                <w:color w:val="auto"/>
                <w:sz w:val="24"/>
              </w:rPr>
            </w:pPr>
            <w:r>
              <w:rPr>
                <w:rFonts w:hint="eastAsia"/>
                <w:b/>
                <w:bCs/>
                <w:color w:val="auto"/>
                <w:sz w:val="24"/>
                <w:lang w:val="en-US" w:eastAsia="zh-CN"/>
              </w:rPr>
              <w:t>7.</w:t>
            </w:r>
            <w:r>
              <w:rPr>
                <w:b/>
                <w:bCs/>
                <w:color w:val="auto"/>
                <w:sz w:val="24"/>
              </w:rPr>
              <w:t>与挥发性有机物污染防治相关政策符合性分析</w:t>
            </w:r>
          </w:p>
          <w:p w14:paraId="2CD9E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宋体"/>
                <w:color w:val="auto"/>
                <w:sz w:val="24"/>
                <w:szCs w:val="24"/>
                <w:highlight w:val="none"/>
                <w:u w:val="none"/>
                <w:lang w:val="en-US" w:eastAsia="zh-CN" w:bidi="ar"/>
              </w:rPr>
            </w:pPr>
            <w:r>
              <w:rPr>
                <w:rFonts w:hint="eastAsia" w:cs="宋体"/>
                <w:color w:val="auto"/>
                <w:sz w:val="24"/>
                <w:szCs w:val="24"/>
                <w:highlight w:val="none"/>
                <w:u w:val="none"/>
                <w:lang w:bidi="ar"/>
              </w:rPr>
              <w:t>本项目与挥发性有机物污染防治政策相关内容符合性分析，符合性分析详见表</w:t>
            </w:r>
            <w:r>
              <w:rPr>
                <w:rFonts w:hint="eastAsia" w:cs="宋体"/>
                <w:color w:val="auto"/>
                <w:sz w:val="24"/>
                <w:szCs w:val="24"/>
                <w:highlight w:val="none"/>
                <w:u w:val="none"/>
                <w:lang w:val="en-US" w:eastAsia="zh-CN" w:bidi="ar"/>
              </w:rPr>
              <w:t>1.1-5</w:t>
            </w:r>
            <w:r>
              <w:rPr>
                <w:rFonts w:hint="eastAsia" w:cs="宋体"/>
                <w:color w:val="auto"/>
                <w:sz w:val="24"/>
                <w:szCs w:val="24"/>
                <w:highlight w:val="none"/>
                <w:u w:val="none"/>
                <w:lang w:bidi="ar"/>
              </w:rPr>
              <w:t>。</w:t>
            </w:r>
            <w:r>
              <w:rPr>
                <w:rFonts w:hint="eastAsia" w:cs="宋体"/>
                <w:color w:val="auto"/>
                <w:sz w:val="24"/>
                <w:szCs w:val="24"/>
                <w:highlight w:val="none"/>
                <w:u w:val="none"/>
                <w:lang w:eastAsia="zh-CN" w:bidi="ar"/>
              </w:rPr>
              <w:t>根据表</w:t>
            </w:r>
            <w:r>
              <w:rPr>
                <w:rFonts w:hint="eastAsia" w:cs="宋体"/>
                <w:color w:val="auto"/>
                <w:sz w:val="24"/>
                <w:szCs w:val="24"/>
                <w:highlight w:val="none"/>
                <w:u w:val="none"/>
                <w:lang w:val="en-US" w:eastAsia="zh-CN" w:bidi="ar"/>
              </w:rPr>
              <w:t>1.1-5的分析可知，本项目建设符合国家及地方的</w:t>
            </w:r>
            <w:r>
              <w:rPr>
                <w:rFonts w:hint="eastAsia" w:cs="宋体"/>
                <w:color w:val="auto"/>
                <w:sz w:val="24"/>
                <w:szCs w:val="24"/>
                <w:highlight w:val="none"/>
                <w:u w:val="none"/>
                <w:lang w:bidi="ar"/>
              </w:rPr>
              <w:t>挥发性有机物污染防治政策相关内容</w:t>
            </w:r>
            <w:r>
              <w:rPr>
                <w:rFonts w:hint="eastAsia" w:cs="宋体"/>
                <w:color w:val="auto"/>
                <w:sz w:val="24"/>
                <w:szCs w:val="24"/>
                <w:highlight w:val="none"/>
                <w:u w:val="none"/>
                <w:lang w:eastAsia="zh-CN" w:bidi="ar"/>
              </w:rPr>
              <w:t>的要求。</w:t>
            </w:r>
          </w:p>
          <w:p w14:paraId="0605C47A">
            <w:pPr>
              <w:keepNext w:val="0"/>
              <w:keepLines w:val="0"/>
              <w:pageBreakBefore w:val="0"/>
              <w:widowControl w:val="0"/>
              <w:kinsoku/>
              <w:wordWrap/>
              <w:overflowPunct/>
              <w:topLinePunct w:val="0"/>
              <w:autoSpaceDE w:val="0"/>
              <w:autoSpaceDN w:val="0"/>
              <w:bidi w:val="0"/>
              <w:adjustRightInd w:val="0"/>
              <w:snapToGrid w:val="0"/>
              <w:spacing w:before="323" w:beforeLines="100" w:line="240" w:lineRule="auto"/>
              <w:ind w:left="0" w:right="0" w:firstLine="0" w:firstLineChars="0"/>
              <w:jc w:val="center"/>
              <w:textAlignment w:val="auto"/>
              <w:rPr>
                <w:rFonts w:hint="default" w:ascii="Times New Roman" w:hAnsi="Times New Roman" w:eastAsia="黑体" w:cs="Times New Roman"/>
                <w:color w:val="auto"/>
                <w:sz w:val="24"/>
                <w:highlight w:val="none"/>
                <w:u w:val="none"/>
              </w:rPr>
            </w:pPr>
            <w:r>
              <w:rPr>
                <w:rFonts w:hint="eastAsia" w:ascii="Times New Roman" w:hAnsi="Times New Roman" w:eastAsia="宋体" w:cs="Times New Roman"/>
                <w:b/>
                <w:bCs/>
                <w:color w:val="auto"/>
                <w:sz w:val="24"/>
                <w:szCs w:val="24"/>
                <w:highlight w:val="none"/>
                <w:lang w:val="en-US" w:eastAsia="zh-CN"/>
              </w:rPr>
              <w:t>表1.1-5 挥发性有机物污染防治政策相关内容</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4088"/>
              <w:gridCol w:w="2648"/>
              <w:gridCol w:w="423"/>
            </w:tblGrid>
            <w:tr w14:paraId="04B19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52" w:type="pct"/>
                  <w:tcBorders>
                    <w:tl2br w:val="nil"/>
                    <w:tr2bl w:val="nil"/>
                  </w:tcBorders>
                  <w:vAlign w:val="center"/>
                </w:tcPr>
                <w:p w14:paraId="029C8AAB">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相关文件名称</w:t>
                  </w:r>
                </w:p>
              </w:tc>
              <w:tc>
                <w:tcPr>
                  <w:tcW w:w="2425" w:type="pct"/>
                  <w:tcBorders>
                    <w:tl2br w:val="nil"/>
                    <w:tr2bl w:val="nil"/>
                  </w:tcBorders>
                  <w:vAlign w:val="center"/>
                </w:tcPr>
                <w:p w14:paraId="752A422E">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相关内容</w:t>
                  </w:r>
                </w:p>
              </w:tc>
              <w:tc>
                <w:tcPr>
                  <w:tcW w:w="1571" w:type="pct"/>
                  <w:tcBorders>
                    <w:tl2br w:val="nil"/>
                    <w:tr2bl w:val="nil"/>
                  </w:tcBorders>
                  <w:vAlign w:val="center"/>
                </w:tcPr>
                <w:p w14:paraId="369F465E">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本项目内容</w:t>
                  </w:r>
                </w:p>
              </w:tc>
              <w:tc>
                <w:tcPr>
                  <w:tcW w:w="250" w:type="pct"/>
                  <w:tcBorders>
                    <w:tl2br w:val="nil"/>
                    <w:tr2bl w:val="nil"/>
                  </w:tcBorders>
                  <w:vAlign w:val="center"/>
                </w:tcPr>
                <w:p w14:paraId="5D5B2CE5">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符合性</w:t>
                  </w:r>
                </w:p>
              </w:tc>
            </w:tr>
            <w:tr w14:paraId="243CB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shd w:val="clear" w:color="auto" w:fill="auto"/>
                  <w:vAlign w:val="center"/>
                </w:tcPr>
                <w:p w14:paraId="2C40EDA1">
                  <w:pPr>
                    <w:pStyle w:val="37"/>
                    <w:keepNext w:val="0"/>
                    <w:keepLines w:val="0"/>
                    <w:pageBreakBefore w:val="0"/>
                    <w:widowControl w:val="0"/>
                    <w:kinsoku/>
                    <w:wordWrap/>
                    <w:overflowPunct/>
                    <w:topLinePunct w:val="0"/>
                    <w:autoSpaceDE/>
                    <w:autoSpaceDN w:val="0"/>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福建省“十四五”空气质量改善规划</w:t>
                  </w:r>
                  <w:r>
                    <w:rPr>
                      <w:rFonts w:hint="eastAsia" w:ascii="Times New Roman" w:hAnsi="Times New Roman" w:eastAsia="宋体" w:cs="Times New Roman"/>
                      <w:color w:val="auto"/>
                      <w:sz w:val="21"/>
                      <w:szCs w:val="21"/>
                      <w:lang w:eastAsia="zh-CN"/>
                    </w:rPr>
                    <w:t>》</w:t>
                  </w:r>
                </w:p>
                <w:p w14:paraId="4812D95C">
                  <w:pPr>
                    <w:pStyle w:val="37"/>
                    <w:keepNext w:val="0"/>
                    <w:keepLines w:val="0"/>
                    <w:pageBreakBefore w:val="0"/>
                    <w:widowControl w:val="0"/>
                    <w:kinsoku/>
                    <w:wordWrap/>
                    <w:overflowPunct/>
                    <w:topLinePunct w:val="0"/>
                    <w:autoSpaceDE/>
                    <w:autoSpaceDN w:val="0"/>
                    <w:bidi w:val="0"/>
                    <w:adjustRightInd w:val="0"/>
                    <w:snapToGrid w:val="0"/>
                    <w:spacing w:line="320" w:lineRule="exact"/>
                    <w:jc w:val="center"/>
                    <w:textAlignment w:val="auto"/>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(2022年1月</w:t>
                  </w:r>
                  <w:r>
                    <w:rPr>
                      <w:rFonts w:hint="eastAsia" w:cs="Times New Roman"/>
                      <w:color w:val="auto"/>
                      <w:sz w:val="21"/>
                      <w:szCs w:val="21"/>
                      <w:lang w:val="en-US" w:eastAsia="zh-CN"/>
                    </w:rPr>
                    <w:t>）</w:t>
                  </w:r>
                </w:p>
              </w:tc>
              <w:tc>
                <w:tcPr>
                  <w:tcW w:w="2425" w:type="pct"/>
                  <w:tcBorders>
                    <w:tl2br w:val="nil"/>
                    <w:tr2bl w:val="nil"/>
                  </w:tcBorders>
                  <w:shd w:val="clear" w:color="auto" w:fill="auto"/>
                  <w:vAlign w:val="center"/>
                </w:tcPr>
                <w:p w14:paraId="0C394461">
                  <w:pPr>
                    <w:pStyle w:val="37"/>
                    <w:keepNext w:val="0"/>
                    <w:keepLines w:val="0"/>
                    <w:pageBreakBefore w:val="0"/>
                    <w:widowControl w:val="0"/>
                    <w:kinsoku/>
                    <w:wordWrap/>
                    <w:overflowPunct/>
                    <w:topLinePunct w:val="0"/>
                    <w:autoSpaceDE/>
                    <w:autoSpaceDN w:val="0"/>
                    <w:bidi w:val="0"/>
                    <w:adjustRightInd w:val="0"/>
                    <w:snapToGrid w:val="0"/>
                    <w:spacing w:line="320" w:lineRule="exact"/>
                    <w:jc w:val="both"/>
                    <w:textAlignment w:val="auto"/>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rPr>
                    <w:t>推广使用水性、高固体分、无溶剂、粉末等低VOCs含量涂料，</w:t>
                  </w:r>
                  <w:r>
                    <w:rPr>
                      <w:rFonts w:hint="eastAsia" w:cs="Times New Roman"/>
                      <w:color w:val="auto"/>
                      <w:sz w:val="21"/>
                      <w:szCs w:val="21"/>
                      <w:lang w:eastAsia="zh-CN"/>
                    </w:rPr>
                    <w:t>……</w:t>
                  </w:r>
                  <w:r>
                    <w:rPr>
                      <w:rFonts w:hint="eastAsia" w:ascii="Times New Roman" w:hAnsi="Times New Roman" w:eastAsia="宋体" w:cs="Times New Roman"/>
                      <w:color w:val="auto"/>
                      <w:sz w:val="21"/>
                      <w:szCs w:val="21"/>
                      <w:lang w:eastAsia="zh-CN"/>
                    </w:rPr>
                    <w:t>电缆桥架</w:t>
                  </w:r>
                  <w:r>
                    <w:rPr>
                      <w:rFonts w:hint="eastAsia" w:ascii="Times New Roman" w:hAnsi="Times New Roman" w:eastAsia="宋体" w:cs="Times New Roman"/>
                      <w:color w:val="auto"/>
                      <w:sz w:val="21"/>
                      <w:szCs w:val="21"/>
                    </w:rPr>
                    <w:t>制造、</w:t>
                  </w:r>
                  <w:r>
                    <w:rPr>
                      <w:rFonts w:hint="eastAsia" w:ascii="Times New Roman" w:hAnsi="Times New Roman" w:eastAsia="宋体" w:cs="Times New Roman"/>
                      <w:b w:val="0"/>
                      <w:bCs w:val="0"/>
                      <w:color w:val="auto"/>
                      <w:sz w:val="21"/>
                      <w:szCs w:val="21"/>
                    </w:rPr>
                    <w:t>汽车零部件</w:t>
                  </w:r>
                  <w:r>
                    <w:rPr>
                      <w:rFonts w:hint="eastAsia" w:ascii="Times New Roman" w:hAnsi="Times New Roman" w:eastAsia="宋体" w:cs="Times New Roman"/>
                      <w:color w:val="auto"/>
                      <w:sz w:val="21"/>
                      <w:szCs w:val="21"/>
                    </w:rPr>
                    <w:t>、工程机械使用比例达到50%以上；</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严格执行涂料、油墨、胶粘剂、清洗剂VOCs含量限值标准，加大抽检力度，确保生产、销售、进口、使用符合标准的产品。严格涉VOCs建设项目环境影响评价，VOCs排放实行区域内等量替代，</w:t>
                  </w:r>
                  <w:r>
                    <w:rPr>
                      <w:rFonts w:hint="eastAsia" w:ascii="Times New Roman" w:hAnsi="Times New Roman" w:eastAsia="宋体" w:cs="Times New Roman"/>
                      <w:b/>
                      <w:bCs/>
                      <w:color w:val="auto"/>
                      <w:sz w:val="21"/>
                      <w:szCs w:val="21"/>
                    </w:rPr>
                    <w:t>福州</w:t>
                  </w:r>
                  <w:r>
                    <w:rPr>
                      <w:rFonts w:hint="eastAsia" w:ascii="Times New Roman" w:hAnsi="Times New Roman" w:eastAsia="宋体" w:cs="Times New Roman"/>
                      <w:color w:val="auto"/>
                      <w:sz w:val="21"/>
                      <w:szCs w:val="21"/>
                    </w:rPr>
                    <w:t>、厦门、漳州、泉州、莆田、宁德实施VOCs倍量替代。</w:t>
                  </w:r>
                </w:p>
              </w:tc>
              <w:tc>
                <w:tcPr>
                  <w:tcW w:w="1571" w:type="pct"/>
                  <w:vMerge w:val="restart"/>
                  <w:tcBorders>
                    <w:tl2br w:val="nil"/>
                    <w:tr2bl w:val="nil"/>
                  </w:tcBorders>
                  <w:vAlign w:val="center"/>
                </w:tcPr>
                <w:p w14:paraId="1633BE4D">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color w:val="auto"/>
                      <w:sz w:val="21"/>
                      <w:szCs w:val="21"/>
                      <w:lang w:eastAsia="zh-CN"/>
                    </w:rPr>
                  </w:pPr>
                  <w:r>
                    <w:rPr>
                      <w:rFonts w:hint="eastAsia" w:ascii="Times New Roman" w:hAnsi="Times New Roman" w:cs="Times New Roman"/>
                      <w:b w:val="0"/>
                      <w:bCs w:val="0"/>
                      <w:sz w:val="21"/>
                      <w:szCs w:val="21"/>
                      <w:vertAlign w:val="baseline"/>
                      <w:lang w:val="en-US" w:eastAsia="zh-CN"/>
                    </w:rPr>
                    <w:t>本项目属于</w:t>
                  </w:r>
                  <w:r>
                    <w:rPr>
                      <w:rFonts w:hint="eastAsia" w:cs="Times New Roman"/>
                      <w:b w:val="0"/>
                      <w:bCs w:val="0"/>
                      <w:sz w:val="21"/>
                      <w:szCs w:val="21"/>
                      <w:vertAlign w:val="baseline"/>
                      <w:lang w:val="en-US" w:eastAsia="zh-CN"/>
                    </w:rPr>
                    <w:t>工业连接器和工业线缆</w:t>
                  </w:r>
                  <w:r>
                    <w:rPr>
                      <w:rFonts w:hint="eastAsia" w:ascii="Times New Roman" w:hAnsi="Times New Roman" w:cs="Times New Roman"/>
                      <w:b w:val="0"/>
                      <w:bCs w:val="0"/>
                      <w:sz w:val="21"/>
                      <w:szCs w:val="21"/>
                      <w:vertAlign w:val="baseline"/>
                      <w:lang w:val="en-US" w:eastAsia="zh-CN"/>
                    </w:rPr>
                    <w:t>制造。生产过程中不涉及涂料使用，注塑</w:t>
                  </w:r>
                  <w:r>
                    <w:rPr>
                      <w:rFonts w:hint="eastAsia" w:cs="Times New Roman"/>
                      <w:b w:val="0"/>
                      <w:bCs w:val="0"/>
                      <w:sz w:val="21"/>
                      <w:szCs w:val="21"/>
                      <w:vertAlign w:val="baseline"/>
                      <w:lang w:val="en-US" w:eastAsia="zh-CN"/>
                    </w:rPr>
                    <w:t>、包胶、除油、烘烤</w:t>
                  </w:r>
                  <w:r>
                    <w:rPr>
                      <w:rFonts w:hint="eastAsia" w:ascii="Times New Roman" w:hAnsi="Times New Roman" w:cs="Times New Roman"/>
                      <w:b w:val="0"/>
                      <w:bCs w:val="0"/>
                      <w:sz w:val="21"/>
                      <w:szCs w:val="21"/>
                      <w:vertAlign w:val="baseline"/>
                      <w:lang w:val="en-US" w:eastAsia="zh-CN"/>
                    </w:rPr>
                    <w:t>所产生VOCs的排放量较小，</w:t>
                  </w:r>
                  <w:r>
                    <w:rPr>
                      <w:rFonts w:hint="eastAsia" w:cs="Times New Roman"/>
                      <w:color w:val="auto"/>
                      <w:kern w:val="2"/>
                      <w:sz w:val="21"/>
                      <w:szCs w:val="21"/>
                      <w:lang w:val="en-US" w:eastAsia="zh-CN" w:bidi="ar-SA"/>
                    </w:rPr>
                    <w:t>无</w:t>
                  </w:r>
                  <w:r>
                    <w:rPr>
                      <w:rFonts w:hint="default" w:ascii="Times New Roman" w:hAnsi="Times New Roman" w:cs="Times New Roman"/>
                      <w:color w:val="auto"/>
                      <w:kern w:val="2"/>
                      <w:sz w:val="21"/>
                      <w:szCs w:val="21"/>
                      <w:lang w:val="en-US" w:eastAsia="zh-CN" w:bidi="ar-SA"/>
                    </w:rPr>
                    <w:t>需</w:t>
                  </w:r>
                  <w:r>
                    <w:rPr>
                      <w:rFonts w:hint="default" w:ascii="Times New Roman" w:hAnsi="Times New Roman" w:cs="Times New Roman"/>
                      <w:b w:val="0"/>
                      <w:bCs w:val="0"/>
                      <w:color w:val="auto"/>
                      <w:sz w:val="21"/>
                      <w:szCs w:val="21"/>
                    </w:rPr>
                    <w:t>安装VOCs在线监控设备</w:t>
                  </w:r>
                  <w:r>
                    <w:rPr>
                      <w:rFonts w:hint="eastAsia" w:ascii="Times New Roman" w:hAnsi="Times New Roman" w:cs="Times New Roman"/>
                      <w:b w:val="0"/>
                      <w:bCs w:val="0"/>
                      <w:color w:val="auto"/>
                      <w:sz w:val="21"/>
                      <w:szCs w:val="21"/>
                      <w:lang w:eastAsia="zh-CN"/>
                    </w:rPr>
                    <w:t>；</w:t>
                  </w:r>
                </w:p>
                <w:p w14:paraId="6BBCCECB">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color w:val="auto"/>
                      <w:sz w:val="21"/>
                      <w:szCs w:val="21"/>
                      <w:lang w:val="en-US" w:eastAsia="zh-CN"/>
                    </w:rPr>
                    <w:t>项目建设位置位于</w:t>
                  </w:r>
                  <w:r>
                    <w:rPr>
                      <w:rFonts w:hint="eastAsia" w:ascii="Times New Roman" w:hAnsi="Times New Roman" w:eastAsia="宋体" w:cs="Times New Roman"/>
                      <w:b w:val="0"/>
                      <w:bCs w:val="0"/>
                      <w:color w:val="auto"/>
                      <w:sz w:val="21"/>
                      <w:szCs w:val="21"/>
                      <w:lang w:val="en-US" w:eastAsia="zh-CN"/>
                    </w:rPr>
                    <w:t>福建省福州市福清市阳下街道上亭村（购置</w:t>
                  </w:r>
                  <w:r>
                    <w:rPr>
                      <w:rFonts w:hint="eastAsia" w:cs="Times New Roman"/>
                      <w:b w:val="0"/>
                      <w:bCs w:val="0"/>
                      <w:color w:val="auto"/>
                      <w:sz w:val="21"/>
                      <w:szCs w:val="21"/>
                      <w:lang w:val="en-US" w:eastAsia="zh-CN"/>
                    </w:rPr>
                    <w:t>福清市阳下街道均和云谷·福清科技港39号厂房</w:t>
                  </w:r>
                  <w:r>
                    <w:rPr>
                      <w:rFonts w:hint="eastAsia" w:ascii="Times New Roman" w:hAnsi="Times New Roman" w:eastAsia="宋体" w:cs="Times New Roman"/>
                      <w:b w:val="0"/>
                      <w:bCs w:val="0"/>
                      <w:color w:val="auto"/>
                      <w:sz w:val="21"/>
                      <w:szCs w:val="21"/>
                      <w:lang w:val="en-US" w:eastAsia="zh-CN"/>
                    </w:rPr>
                    <w:t>），生产过</w:t>
                  </w:r>
                  <w:r>
                    <w:rPr>
                      <w:rFonts w:hint="eastAsia" w:cs="Times New Roman"/>
                      <w:b w:val="0"/>
                      <w:bCs w:val="0"/>
                      <w:color w:val="auto"/>
                      <w:sz w:val="21"/>
                      <w:szCs w:val="21"/>
                      <w:lang w:val="en-US" w:eastAsia="zh-CN"/>
                    </w:rPr>
                    <w:t>程中</w:t>
                  </w:r>
                  <w:r>
                    <w:rPr>
                      <w:rFonts w:hint="default" w:ascii="Times New Roman" w:hAnsi="Times New Roman" w:cs="Times New Roman"/>
                      <w:color w:val="auto"/>
                      <w:sz w:val="21"/>
                      <w:szCs w:val="21"/>
                    </w:rPr>
                    <w:t>排放的VOC</w:t>
                  </w:r>
                  <w:r>
                    <w:rPr>
                      <w:rFonts w:hint="eastAsia" w:ascii="Times New Roman" w:hAnsi="Times New Roman" w:cs="Times New Roman"/>
                      <w:color w:val="auto"/>
                      <w:sz w:val="21"/>
                      <w:szCs w:val="21"/>
                      <w:vertAlign w:val="subscript"/>
                      <w:lang w:val="en-US" w:eastAsia="zh-CN"/>
                    </w:rPr>
                    <w:t>s</w:t>
                  </w:r>
                  <w:r>
                    <w:rPr>
                      <w:rFonts w:hint="default" w:ascii="Times New Roman" w:hAnsi="Times New Roman" w:cs="Times New Roman"/>
                      <w:color w:val="auto"/>
                      <w:sz w:val="21"/>
                      <w:szCs w:val="21"/>
                    </w:rPr>
                    <w:t>由建设单位向生态环境主管部门申请倍量削减替代</w:t>
                  </w:r>
                </w:p>
              </w:tc>
              <w:tc>
                <w:tcPr>
                  <w:tcW w:w="250" w:type="pct"/>
                  <w:vMerge w:val="restart"/>
                  <w:tcBorders>
                    <w:tl2br w:val="nil"/>
                    <w:tr2bl w:val="nil"/>
                  </w:tcBorders>
                  <w:vAlign w:val="center"/>
                </w:tcPr>
                <w:p w14:paraId="5B05A0F8">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34EC0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shd w:val="clear" w:color="auto" w:fill="auto"/>
                  <w:vAlign w:val="center"/>
                </w:tcPr>
                <w:p w14:paraId="6E32594D">
                  <w:pPr>
                    <w:pStyle w:val="37"/>
                    <w:keepNext w:val="0"/>
                    <w:keepLines w:val="0"/>
                    <w:pageBreakBefore w:val="0"/>
                    <w:widowControl w:val="0"/>
                    <w:kinsoku/>
                    <w:wordWrap/>
                    <w:overflowPunct/>
                    <w:topLinePunct w:val="0"/>
                    <w:autoSpaceDE/>
                    <w:autoSpaceDN w:val="0"/>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2022年度福州市蓝天碧海净土保卫战行动计划通知</w:t>
                  </w:r>
                  <w:r>
                    <w:rPr>
                      <w:rFonts w:hint="default" w:ascii="Times New Roman" w:hAnsi="Times New Roman" w:cs="Times New Roman"/>
                      <w:color w:val="auto"/>
                      <w:sz w:val="21"/>
                      <w:szCs w:val="21"/>
                    </w:rPr>
                    <w:t>》</w:t>
                  </w:r>
                  <w:r>
                    <w:rPr>
                      <w:rFonts w:hint="eastAsia" w:cs="Times New Roman"/>
                      <w:color w:val="auto"/>
                      <w:sz w:val="21"/>
                      <w:szCs w:val="21"/>
                      <w:lang w:eastAsia="zh-CN"/>
                    </w:rPr>
                    <w:t>（</w:t>
                  </w:r>
                  <w:r>
                    <w:rPr>
                      <w:rFonts w:hint="default" w:ascii="Times New Roman" w:hAnsi="Times New Roman" w:cs="Times New Roman"/>
                      <w:color w:val="auto"/>
                      <w:sz w:val="21"/>
                      <w:szCs w:val="21"/>
                      <w:lang w:eastAsia="zh-CN"/>
                    </w:rPr>
                    <w:t>榕环委办</w:t>
                  </w:r>
                  <w:r>
                    <w:rPr>
                      <w:rFonts w:hint="eastAsia" w:ascii="Times New Roman" w:hAnsi="Times New Roman" w:cs="Times New Roman"/>
                      <w:color w:val="auto"/>
                      <w:sz w:val="21"/>
                      <w:szCs w:val="21"/>
                      <w:lang w:eastAsia="zh-CN"/>
                    </w:rPr>
                    <w:t>〔2022〕49号</w:t>
                  </w:r>
                  <w:r>
                    <w:rPr>
                      <w:rFonts w:hint="eastAsia" w:cs="Times New Roman"/>
                      <w:color w:val="auto"/>
                      <w:sz w:val="21"/>
                      <w:szCs w:val="21"/>
                      <w:lang w:eastAsia="zh-CN"/>
                    </w:rPr>
                    <w:t>）</w:t>
                  </w:r>
                </w:p>
              </w:tc>
              <w:tc>
                <w:tcPr>
                  <w:tcW w:w="2425" w:type="pct"/>
                  <w:tcBorders>
                    <w:tl2br w:val="nil"/>
                    <w:tr2bl w:val="nil"/>
                  </w:tcBorders>
                  <w:shd w:val="clear" w:color="auto" w:fill="auto"/>
                  <w:vAlign w:val="center"/>
                </w:tcPr>
                <w:p w14:paraId="637BCD35">
                  <w:pPr>
                    <w:pStyle w:val="37"/>
                    <w:keepNext w:val="0"/>
                    <w:keepLines w:val="0"/>
                    <w:pageBreakBefore w:val="0"/>
                    <w:widowControl w:val="0"/>
                    <w:kinsoku/>
                    <w:wordWrap/>
                    <w:overflowPunct/>
                    <w:topLinePunct w:val="0"/>
                    <w:autoSpaceDE/>
                    <w:autoSpaceDN w:val="0"/>
                    <w:bidi w:val="0"/>
                    <w:adjustRightInd w:val="0"/>
                    <w:snapToGrid w:val="0"/>
                    <w:spacing w:line="320" w:lineRule="exact"/>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四是严格涉VOCs建设项目环境影响评价审批。新、改、扩建涉VOCs排放项目，应使用低</w:t>
                  </w:r>
                  <w:r>
                    <w:rPr>
                      <w:rFonts w:hint="eastAsia" w:cs="Times New Roman"/>
                      <w:color w:val="auto"/>
                      <w:sz w:val="21"/>
                      <w:szCs w:val="21"/>
                      <w:lang w:eastAsia="zh-CN"/>
                    </w:rPr>
                    <w:t>（</w:t>
                  </w:r>
                  <w:r>
                    <w:rPr>
                      <w:rFonts w:hint="default" w:ascii="Times New Roman" w:hAnsi="Times New Roman" w:cs="Times New Roman"/>
                      <w:color w:val="auto"/>
                      <w:sz w:val="21"/>
                      <w:szCs w:val="21"/>
                    </w:rPr>
                    <w:t>无</w:t>
                  </w:r>
                  <w:r>
                    <w:rPr>
                      <w:rFonts w:hint="eastAsia" w:cs="Times New Roman"/>
                      <w:color w:val="auto"/>
                      <w:sz w:val="21"/>
                      <w:szCs w:val="21"/>
                      <w:lang w:eastAsia="zh-CN"/>
                    </w:rPr>
                    <w:t>）</w:t>
                  </w:r>
                  <w:r>
                    <w:rPr>
                      <w:rFonts w:hint="default" w:ascii="Times New Roman" w:hAnsi="Times New Roman" w:cs="Times New Roman"/>
                      <w:color w:val="auto"/>
                      <w:sz w:val="21"/>
                      <w:szCs w:val="21"/>
                    </w:rPr>
                    <w:t>VOCs涂料、粘胶剂等，实施新建项目VOCs排放区域内1.2及以上倍量替代。VOCs年排放量大于5吨的新建项目投运前应安装VOCs在线监控设备，并接入市生态云平台。</w:t>
                  </w:r>
                </w:p>
              </w:tc>
              <w:tc>
                <w:tcPr>
                  <w:tcW w:w="1571" w:type="pct"/>
                  <w:vMerge w:val="continue"/>
                  <w:tcBorders>
                    <w:tl2br w:val="nil"/>
                    <w:tr2bl w:val="nil"/>
                  </w:tcBorders>
                  <w:vAlign w:val="center"/>
                </w:tcPr>
                <w:p w14:paraId="40193E96">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1"/>
                      <w:szCs w:val="21"/>
                      <w:vertAlign w:val="baseline"/>
                      <w:lang w:val="en-US" w:eastAsia="zh-CN"/>
                    </w:rPr>
                  </w:pPr>
                </w:p>
              </w:tc>
              <w:tc>
                <w:tcPr>
                  <w:tcW w:w="250" w:type="pct"/>
                  <w:vMerge w:val="continue"/>
                  <w:tcBorders>
                    <w:tl2br w:val="nil"/>
                    <w:tr2bl w:val="nil"/>
                  </w:tcBorders>
                  <w:vAlign w:val="center"/>
                </w:tcPr>
                <w:p w14:paraId="2A9EC989">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p>
              </w:tc>
            </w:tr>
            <w:tr w14:paraId="3A985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shd w:val="clear" w:color="auto" w:fill="auto"/>
                  <w:vAlign w:val="center"/>
                </w:tcPr>
                <w:p w14:paraId="50931ECA">
                  <w:pPr>
                    <w:pStyle w:val="37"/>
                    <w:keepNext w:val="0"/>
                    <w:keepLines w:val="0"/>
                    <w:pageBreakBefore w:val="0"/>
                    <w:widowControl w:val="0"/>
                    <w:kinsoku/>
                    <w:wordWrap/>
                    <w:overflowPunct/>
                    <w:topLinePunct w:val="0"/>
                    <w:autoSpaceDE/>
                    <w:autoSpaceDN w:val="0"/>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福州市“十四五”生态环境保护规划</w:t>
                  </w:r>
                  <w:r>
                    <w:rPr>
                      <w:rFonts w:hint="eastAsia" w:ascii="Times New Roman" w:hAnsi="Times New Roman" w:eastAsia="宋体" w:cs="Times New Roman"/>
                      <w:color w:val="auto"/>
                      <w:sz w:val="21"/>
                      <w:szCs w:val="21"/>
                      <w:lang w:eastAsia="zh-CN"/>
                    </w:rPr>
                    <w:t>》</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榕政办〔2021〕123 号</w:t>
                  </w:r>
                  <w:r>
                    <w:rPr>
                      <w:rFonts w:hint="eastAsia" w:cs="Times New Roman"/>
                      <w:color w:val="auto"/>
                      <w:sz w:val="21"/>
                      <w:szCs w:val="21"/>
                      <w:lang w:eastAsia="zh-CN"/>
                    </w:rPr>
                    <w:t>）</w:t>
                  </w:r>
                </w:p>
              </w:tc>
              <w:tc>
                <w:tcPr>
                  <w:tcW w:w="2425" w:type="pct"/>
                  <w:tcBorders>
                    <w:tl2br w:val="nil"/>
                    <w:tr2bl w:val="nil"/>
                  </w:tcBorders>
                  <w:shd w:val="clear" w:color="auto" w:fill="auto"/>
                  <w:vAlign w:val="center"/>
                </w:tcPr>
                <w:p w14:paraId="13369EDE">
                  <w:pPr>
                    <w:pStyle w:val="37"/>
                    <w:keepNext w:val="0"/>
                    <w:keepLines w:val="0"/>
                    <w:pageBreakBefore w:val="0"/>
                    <w:widowControl w:val="0"/>
                    <w:kinsoku/>
                    <w:wordWrap/>
                    <w:overflowPunct/>
                    <w:topLinePunct w:val="0"/>
                    <w:autoSpaceDE/>
                    <w:autoSpaceDN w:val="0"/>
                    <w:bidi w:val="0"/>
                    <w:adjustRightInd w:val="0"/>
                    <w:snapToGrid w:val="0"/>
                    <w:spacing w:line="300" w:lineRule="exact"/>
                    <w:jc w:val="both"/>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rPr>
                    <w:t>强化挥发性有机物整治。</w:t>
                  </w:r>
                  <w:r>
                    <w:rPr>
                      <w:rFonts w:hint="default" w:ascii="Times New Roman" w:hAnsi="Times New Roman" w:cs="Times New Roman"/>
                      <w:color w:val="auto"/>
                      <w:sz w:val="21"/>
                      <w:szCs w:val="21"/>
                      <w:lang w:val="en-US" w:eastAsia="zh-CN"/>
                    </w:rPr>
                    <w:t>......</w:t>
                  </w:r>
                  <w:r>
                    <w:rPr>
                      <w:rFonts w:hint="eastAsia" w:ascii="Times New Roman" w:hAnsi="Times New Roman" w:eastAsia="宋体" w:cs="Times New Roman"/>
                      <w:color w:val="auto"/>
                      <w:sz w:val="21"/>
                      <w:szCs w:val="21"/>
                    </w:rPr>
                    <w:t>实行挥发性有机物排放倍量替代。加大涉VOCs企业源头替代力度，推广使用低</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无</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VOCs原辅材料替代，禁止生产高VOCs含量有机溶剂型涂料、油墨和胶黏剂的新、改、扩建项目，推进重点企业“油改水”治理，提高有机溶剂回收率。”</w:t>
                  </w:r>
                </w:p>
              </w:tc>
              <w:tc>
                <w:tcPr>
                  <w:tcW w:w="1571" w:type="pct"/>
                  <w:vMerge w:val="continue"/>
                  <w:tcBorders>
                    <w:tl2br w:val="nil"/>
                    <w:tr2bl w:val="nil"/>
                  </w:tcBorders>
                  <w:vAlign w:val="center"/>
                </w:tcPr>
                <w:p w14:paraId="1A30F1EB">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1"/>
                      <w:szCs w:val="21"/>
                      <w:vertAlign w:val="baseline"/>
                      <w:lang w:val="en-US" w:eastAsia="zh-CN"/>
                    </w:rPr>
                  </w:pPr>
                </w:p>
              </w:tc>
              <w:tc>
                <w:tcPr>
                  <w:tcW w:w="250" w:type="pct"/>
                  <w:vMerge w:val="continue"/>
                  <w:tcBorders>
                    <w:tl2br w:val="nil"/>
                    <w:tr2bl w:val="nil"/>
                  </w:tcBorders>
                  <w:vAlign w:val="center"/>
                </w:tcPr>
                <w:p w14:paraId="60381A28">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p>
              </w:tc>
            </w:tr>
            <w:tr w14:paraId="7541B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shd w:val="clear" w:color="auto" w:fill="auto"/>
                  <w:vAlign w:val="center"/>
                </w:tcPr>
                <w:p w14:paraId="10DC34DA">
                  <w:pPr>
                    <w:pStyle w:val="37"/>
                    <w:adjustRightInd w:val="0"/>
                    <w:snapToGrid w:val="0"/>
                    <w:spacing w:line="340" w:lineRule="exact"/>
                    <w:jc w:val="center"/>
                    <w:rPr>
                      <w:rFonts w:hint="eastAsia" w:ascii="Times New Roman" w:hAnsi="Times New Roman" w:eastAsia="宋体" w:cs="Times New Roman"/>
                      <w:kern w:val="2"/>
                      <w:sz w:val="21"/>
                      <w:szCs w:val="24"/>
                      <w:lang w:val="en-US" w:eastAsia="zh-CN" w:bidi="ar-SA"/>
                    </w:rPr>
                  </w:pPr>
                  <w:r>
                    <w:rPr>
                      <w:rFonts w:hint="eastAsia"/>
                    </w:rPr>
                    <w:t>榕环保综</w:t>
                  </w:r>
                  <w:r>
                    <w:rPr>
                      <w:rFonts w:hint="eastAsia"/>
                      <w:lang w:eastAsia="zh-CN"/>
                    </w:rPr>
                    <w:t>〔2021〕100号</w:t>
                  </w:r>
                  <w:r>
                    <w:rPr>
                      <w:rFonts w:hint="eastAsia"/>
                    </w:rPr>
                    <w:t>《关于开展福州市重点行业挥发性有机物综合治理工作（VOCs2.0）》</w:t>
                  </w:r>
                </w:p>
              </w:tc>
              <w:tc>
                <w:tcPr>
                  <w:tcW w:w="2425" w:type="pct"/>
                  <w:tcBorders>
                    <w:tl2br w:val="nil"/>
                    <w:tr2bl w:val="nil"/>
                  </w:tcBorders>
                  <w:shd w:val="clear" w:color="auto" w:fill="auto"/>
                  <w:vAlign w:val="center"/>
                </w:tcPr>
                <w:p w14:paraId="6A0AA2B4">
                  <w:pPr>
                    <w:pStyle w:val="38"/>
                    <w:jc w:val="both"/>
                    <w:rPr>
                      <w:color w:val="auto"/>
                      <w:highlight w:val="none"/>
                    </w:rPr>
                  </w:pPr>
                  <w:r>
                    <w:rPr>
                      <w:rFonts w:hint="eastAsia"/>
                      <w:color w:val="auto"/>
                      <w:highlight w:val="none"/>
                    </w:rPr>
                    <w:t>（三）严格审批，加强管控</w:t>
                  </w:r>
                </w:p>
                <w:p w14:paraId="62F7FC1C">
                  <w:pPr>
                    <w:pStyle w:val="37"/>
                    <w:adjustRightInd w:val="0"/>
                    <w:snapToGrid w:val="0"/>
                    <w:spacing w:line="340" w:lineRule="exact"/>
                    <w:jc w:val="both"/>
                    <w:rPr>
                      <w:rFonts w:hint="eastAsia" w:ascii="Times New Roman" w:hAnsi="Times New Roman" w:eastAsia="宋体" w:cs="Times New Roman"/>
                      <w:kern w:val="2"/>
                      <w:sz w:val="21"/>
                      <w:szCs w:val="24"/>
                      <w:lang w:val="en-US" w:eastAsia="zh-CN" w:bidi="ar-SA"/>
                    </w:rPr>
                  </w:pPr>
                  <w:r>
                    <w:rPr>
                      <w:rFonts w:hint="eastAsia"/>
                      <w:color w:val="auto"/>
                      <w:highlight w:val="none"/>
                    </w:rPr>
                    <w:t>1.严格涉挥发性有机物建设项目环境影响评价审批。新、改、扩建排放挥发性有机物的建设项目实行</w:t>
                  </w:r>
                  <w:r>
                    <w:rPr>
                      <w:rFonts w:hint="eastAsia"/>
                      <w:color w:val="auto"/>
                      <w:highlight w:val="none"/>
                      <w:shd w:val="clear" w:color="auto" w:fill="FFFFFF"/>
                    </w:rPr>
                    <w:t>倍量</w:t>
                  </w:r>
                  <w:r>
                    <w:rPr>
                      <w:rFonts w:hint="eastAsia"/>
                      <w:color w:val="auto"/>
                      <w:highlight w:val="none"/>
                    </w:rPr>
                    <w:t>替代。鼓励使用低（无）挥发性有机物含量的原辅材料</w:t>
                  </w:r>
                </w:p>
              </w:tc>
              <w:tc>
                <w:tcPr>
                  <w:tcW w:w="1571" w:type="pct"/>
                  <w:vMerge w:val="continue"/>
                  <w:tcBorders>
                    <w:tl2br w:val="nil"/>
                    <w:tr2bl w:val="nil"/>
                  </w:tcBorders>
                  <w:vAlign w:val="center"/>
                </w:tcPr>
                <w:p w14:paraId="1B5270D1">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1"/>
                      <w:szCs w:val="21"/>
                    </w:rPr>
                  </w:pPr>
                </w:p>
              </w:tc>
              <w:tc>
                <w:tcPr>
                  <w:tcW w:w="250" w:type="pct"/>
                  <w:vMerge w:val="continue"/>
                  <w:tcBorders>
                    <w:tl2br w:val="nil"/>
                    <w:tr2bl w:val="nil"/>
                  </w:tcBorders>
                  <w:vAlign w:val="center"/>
                </w:tcPr>
                <w:p w14:paraId="073EC996">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p>
              </w:tc>
            </w:tr>
            <w:tr w14:paraId="064AF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vAlign w:val="center"/>
                </w:tcPr>
                <w:p w14:paraId="497729C7">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color w:val="auto"/>
                      <w:highlight w:val="none"/>
                    </w:rPr>
                    <w:t>《福建省2020年挥发性有机物治理攻坚实施方案》的通知</w:t>
                  </w:r>
                  <w:r>
                    <w:rPr>
                      <w:rFonts w:hint="eastAsia"/>
                      <w:color w:val="auto"/>
                      <w:highlight w:val="none"/>
                    </w:rPr>
                    <w:t>（</w:t>
                  </w:r>
                  <w:r>
                    <w:rPr>
                      <w:color w:val="auto"/>
                      <w:highlight w:val="none"/>
                    </w:rPr>
                    <w:t>闽环保大气〔2020〕6号</w:t>
                  </w:r>
                  <w:r>
                    <w:rPr>
                      <w:rFonts w:hint="eastAsia"/>
                      <w:color w:val="auto"/>
                      <w:highlight w:val="none"/>
                    </w:rPr>
                    <w:t>）</w:t>
                  </w:r>
                </w:p>
              </w:tc>
              <w:tc>
                <w:tcPr>
                  <w:tcW w:w="2425" w:type="pct"/>
                  <w:tcBorders>
                    <w:tl2br w:val="nil"/>
                    <w:tr2bl w:val="nil"/>
                  </w:tcBorders>
                  <w:shd w:val="clear" w:color="auto" w:fill="auto"/>
                  <w:vAlign w:val="center"/>
                </w:tcPr>
                <w:p w14:paraId="06A2BDAD">
                  <w:pPr>
                    <w:pStyle w:val="38"/>
                    <w:jc w:val="both"/>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大力推进源头替代，有效减少VOCs产生；</w:t>
                  </w:r>
                </w:p>
                <w:p w14:paraId="7C3B7D3E">
                  <w:pPr>
                    <w:pStyle w:val="38"/>
                    <w:jc w:val="both"/>
                    <w:rPr>
                      <w:color w:val="auto"/>
                      <w:highlight w:val="none"/>
                    </w:rPr>
                  </w:pPr>
                  <w:r>
                    <w:rPr>
                      <w:rFonts w:hint="eastAsia"/>
                      <w:color w:val="auto"/>
                      <w:highlight w:val="none"/>
                    </w:rPr>
                    <w:t>（</w:t>
                  </w:r>
                  <w:r>
                    <w:rPr>
                      <w:color w:val="auto"/>
                      <w:highlight w:val="none"/>
                    </w:rPr>
                    <w:t>2</w:t>
                  </w:r>
                  <w:r>
                    <w:rPr>
                      <w:rFonts w:hint="eastAsia"/>
                      <w:color w:val="auto"/>
                      <w:highlight w:val="none"/>
                    </w:rPr>
                    <w:t>）</w:t>
                  </w:r>
                  <w:r>
                    <w:rPr>
                      <w:color w:val="auto"/>
                      <w:highlight w:val="none"/>
                    </w:rPr>
                    <w:t>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w:t>
                  </w:r>
                  <w:r>
                    <w:rPr>
                      <w:rFonts w:hint="eastAsia"/>
                      <w:color w:val="auto"/>
                      <w:highlight w:val="none"/>
                    </w:rPr>
                    <w:t>（</w:t>
                  </w:r>
                  <w:r>
                    <w:rPr>
                      <w:color w:val="auto"/>
                      <w:highlight w:val="none"/>
                    </w:rPr>
                    <w:t>渣、液</w:t>
                  </w:r>
                  <w:r>
                    <w:rPr>
                      <w:rFonts w:hint="eastAsia"/>
                      <w:color w:val="auto"/>
                      <w:highlight w:val="none"/>
                    </w:rPr>
                    <w:t>）</w:t>
                  </w:r>
                  <w:r>
                    <w:rPr>
                      <w:color w:val="auto"/>
                      <w:highlight w:val="none"/>
                    </w:rPr>
                    <w:t>、废吸附剂等通过加盖、封装等方式密闭，妥善存放，集中清运，交有资质的单位处置，不得随意丢弃；</w:t>
                  </w:r>
                </w:p>
                <w:p w14:paraId="1F8256A6">
                  <w:pPr>
                    <w:pStyle w:val="38"/>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rPr>
                    <w:t>（</w:t>
                  </w:r>
                  <w:r>
                    <w:rPr>
                      <w:color w:val="auto"/>
                      <w:highlight w:val="none"/>
                    </w:rPr>
                    <w:t>3</w:t>
                  </w:r>
                  <w:r>
                    <w:rPr>
                      <w:rFonts w:hint="eastAsia"/>
                      <w:color w:val="auto"/>
                      <w:highlight w:val="none"/>
                    </w:rPr>
                    <w:t>）</w:t>
                  </w:r>
                  <w:r>
                    <w:rPr>
                      <w:color w:val="auto"/>
                      <w:highlight w:val="none"/>
                    </w:rPr>
                    <w:t>聚焦治污设施</w:t>
                  </w:r>
                  <w:r>
                    <w:rPr>
                      <w:rFonts w:hint="eastAsia"/>
                      <w:color w:val="auto"/>
                      <w:highlight w:val="none"/>
                    </w:rPr>
                    <w:t>“</w:t>
                  </w:r>
                  <w:r>
                    <w:rPr>
                      <w:color w:val="auto"/>
                      <w:highlight w:val="none"/>
                    </w:rPr>
                    <w:t>三率</w:t>
                  </w:r>
                  <w:r>
                    <w:rPr>
                      <w:rFonts w:hint="eastAsia"/>
                      <w:color w:val="auto"/>
                      <w:highlight w:val="none"/>
                    </w:rPr>
                    <w:t>”</w:t>
                  </w:r>
                  <w:r>
                    <w:rPr>
                      <w:color w:val="auto"/>
                      <w:highlight w:val="none"/>
                    </w:rPr>
                    <w:t>，提升综合治理效率</w:t>
                  </w:r>
                  <w:r>
                    <w:rPr>
                      <w:color w:val="auto"/>
                      <w:highlight w:val="none"/>
                      <w:shd w:val="clear" w:color="auto" w:fill="FFFFFF"/>
                    </w:rPr>
                    <w:t>。.</w:t>
                  </w:r>
                  <w:r>
                    <w:rPr>
                      <w:color w:val="auto"/>
                      <w:highlight w:val="none"/>
                    </w:rPr>
                    <w:t>....</w:t>
                  </w:r>
                  <w:r>
                    <w:rPr>
                      <w:color w:val="auto"/>
                      <w:highlight w:val="none"/>
                      <w:shd w:val="clear" w:color="auto" w:fill="FFFFFF"/>
                    </w:rPr>
                    <w:t>.</w:t>
                  </w:r>
                  <w:r>
                    <w:rPr>
                      <w:color w:val="auto"/>
                      <w:highlight w:val="none"/>
                    </w:rPr>
                    <w:t>除恶臭异味治理外，一般不采用低温等离子、光催化、光氧化等技术。优先采用密闭设备、在密闭空间中操作或采用全密闭集气罩收集方式；</w:t>
                  </w:r>
                  <w:r>
                    <w:rPr>
                      <w:rFonts w:hint="eastAsia"/>
                      <w:color w:val="auto"/>
                      <w:highlight w:val="none"/>
                      <w:lang w:eastAsia="zh-CN"/>
                    </w:rPr>
                    <w:t>……</w:t>
                  </w:r>
                  <w:r>
                    <w:rPr>
                      <w:color w:val="auto"/>
                      <w:highlight w:val="none"/>
                    </w:rPr>
                    <w:t>采用活性炭吸附技术的，应选择碘值不低于800毫克/克的活性炭，并按设计要求足量添加</w:t>
                  </w:r>
                  <w:r>
                    <w:rPr>
                      <w:rFonts w:hint="eastAsia"/>
                      <w:color w:val="auto"/>
                      <w:highlight w:val="none"/>
                      <w:lang w:eastAsia="zh-CN"/>
                    </w:rPr>
                    <w:t>及</w:t>
                  </w:r>
                  <w:r>
                    <w:rPr>
                      <w:color w:val="auto"/>
                      <w:highlight w:val="none"/>
                    </w:rPr>
                    <w:t>时更换。</w:t>
                  </w:r>
                </w:p>
              </w:tc>
              <w:tc>
                <w:tcPr>
                  <w:tcW w:w="1571" w:type="pct"/>
                  <w:tcBorders>
                    <w:tl2br w:val="nil"/>
                    <w:tr2bl w:val="nil"/>
                  </w:tcBorders>
                  <w:shd w:val="clear" w:color="auto" w:fill="auto"/>
                  <w:vAlign w:val="center"/>
                </w:tcPr>
                <w:p w14:paraId="17E157A5">
                  <w:pPr>
                    <w:pStyle w:val="37"/>
                    <w:keepNext w:val="0"/>
                    <w:keepLines w:val="0"/>
                    <w:pageBreakBefore w:val="0"/>
                    <w:widowControl w:val="0"/>
                    <w:kinsoku/>
                    <w:wordWrap/>
                    <w:overflowPunct/>
                    <w:topLinePunct w:val="0"/>
                    <w:bidi w:val="0"/>
                    <w:adjustRightInd w:val="0"/>
                    <w:snapToGrid w:val="0"/>
                    <w:spacing w:line="320" w:lineRule="exact"/>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（1）项目使用P</w:t>
                  </w:r>
                  <w:r>
                    <w:rPr>
                      <w:rFonts w:hint="eastAsia" w:cs="Times New Roman"/>
                      <w:color w:val="auto"/>
                      <w:kern w:val="2"/>
                      <w:sz w:val="21"/>
                      <w:szCs w:val="21"/>
                      <w:highlight w:val="none"/>
                      <w:lang w:val="en-US" w:eastAsia="zh-CN" w:bidi="ar-SA"/>
                    </w:rPr>
                    <w:t>A</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PC</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T</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U</w:t>
                  </w:r>
                  <w:r>
                    <w:rPr>
                      <w:rFonts w:hint="eastAsia" w:ascii="Times New Roman" w:hAnsi="Times New Roman" w:eastAsia="宋体" w:cs="Times New Roman"/>
                      <w:color w:val="auto"/>
                      <w:kern w:val="2"/>
                      <w:sz w:val="21"/>
                      <w:szCs w:val="21"/>
                      <w:highlight w:val="none"/>
                      <w:lang w:val="en-US" w:eastAsia="zh-CN" w:bidi="ar-SA"/>
                    </w:rPr>
                    <w:t>颗粒作为原料，VOCs含量低；常温下不产生VOCs。</w:t>
                  </w:r>
                </w:p>
                <w:p w14:paraId="6C8D2579">
                  <w:pPr>
                    <w:pStyle w:val="37"/>
                    <w:keepNext w:val="0"/>
                    <w:keepLines w:val="0"/>
                    <w:pageBreakBefore w:val="0"/>
                    <w:widowControl w:val="0"/>
                    <w:kinsoku/>
                    <w:wordWrap/>
                    <w:overflowPunct/>
                    <w:topLinePunct w:val="0"/>
                    <w:bidi w:val="0"/>
                    <w:adjustRightInd w:val="0"/>
                    <w:snapToGrid w:val="0"/>
                    <w:spacing w:line="320" w:lineRule="exact"/>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项目</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A</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PC</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T</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U</w:t>
                  </w:r>
                  <w:r>
                    <w:rPr>
                      <w:rFonts w:hint="eastAsia" w:ascii="Times New Roman" w:hAnsi="Times New Roman" w:eastAsia="宋体" w:cs="Times New Roman"/>
                      <w:color w:val="auto"/>
                      <w:kern w:val="2"/>
                      <w:sz w:val="21"/>
                      <w:szCs w:val="21"/>
                      <w:highlight w:val="none"/>
                      <w:lang w:val="en-US" w:eastAsia="zh-CN" w:bidi="ar-SA"/>
                    </w:rPr>
                    <w:t>塑料颗粒采用密闭袋装暂存</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项目设备加热过程为密闭；注塑机配套顶吸式半密闭集气罩收集有机废气，收集效率80%，拟将更换的废活性炭当作危险废物，</w:t>
                  </w:r>
                  <w:r>
                    <w:rPr>
                      <w:rFonts w:hint="default" w:ascii="Times New Roman" w:hAnsi="Times New Roman" w:eastAsia="宋体" w:cs="Times New Roman"/>
                      <w:color w:val="auto"/>
                      <w:kern w:val="2"/>
                      <w:sz w:val="21"/>
                      <w:szCs w:val="21"/>
                      <w:highlight w:val="none"/>
                      <w:lang w:val="en-US" w:eastAsia="zh-CN" w:bidi="ar-SA"/>
                    </w:rPr>
                    <w:t>密闭暂存于</w:t>
                  </w:r>
                  <w:r>
                    <w:rPr>
                      <w:rFonts w:hint="eastAsia" w:ascii="Times New Roman" w:hAnsi="Times New Roman" w:eastAsia="宋体" w:cs="Times New Roman"/>
                      <w:color w:val="auto"/>
                      <w:kern w:val="2"/>
                      <w:sz w:val="21"/>
                      <w:szCs w:val="21"/>
                      <w:highlight w:val="none"/>
                      <w:lang w:val="en-US" w:eastAsia="zh-CN" w:bidi="ar-SA"/>
                    </w:rPr>
                    <w:t>危险废物贮存库</w:t>
                  </w:r>
                  <w:r>
                    <w:rPr>
                      <w:rFonts w:hint="default" w:ascii="Times New Roman" w:hAnsi="Times New Roman" w:eastAsia="宋体" w:cs="Times New Roman"/>
                      <w:color w:val="auto"/>
                      <w:kern w:val="2"/>
                      <w:sz w:val="21"/>
                      <w:szCs w:val="21"/>
                      <w:highlight w:val="none"/>
                      <w:lang w:val="en-US" w:eastAsia="zh-CN" w:bidi="ar-SA"/>
                    </w:rPr>
                    <w:t>内</w:t>
                  </w:r>
                  <w:r>
                    <w:rPr>
                      <w:rFonts w:hint="eastAsia" w:ascii="Times New Roman" w:hAnsi="Times New Roman" w:eastAsia="宋体" w:cs="Times New Roman"/>
                      <w:color w:val="auto"/>
                      <w:kern w:val="2"/>
                      <w:sz w:val="21"/>
                      <w:szCs w:val="21"/>
                      <w:highlight w:val="none"/>
                      <w:lang w:val="en-US" w:eastAsia="zh-CN" w:bidi="ar-SA"/>
                    </w:rPr>
                    <w:t>，定期委托有资质单位统一处置；（3）本项目将</w:t>
                  </w:r>
                  <w:r>
                    <w:rPr>
                      <w:rFonts w:hint="default" w:ascii="Times New Roman" w:hAnsi="Times New Roman" w:eastAsia="宋体" w:cs="Times New Roman"/>
                      <w:color w:val="auto"/>
                      <w:kern w:val="2"/>
                      <w:sz w:val="21"/>
                      <w:szCs w:val="21"/>
                      <w:highlight w:val="none"/>
                      <w:lang w:val="en-US" w:eastAsia="zh-CN" w:bidi="ar-SA"/>
                    </w:rPr>
                    <w:t>产生的VOCs收集</w:t>
                  </w:r>
                  <w:r>
                    <w:rPr>
                      <w:rFonts w:hint="eastAsia" w:ascii="Times New Roman" w:hAnsi="Times New Roman" w:eastAsia="宋体" w:cs="Times New Roman"/>
                      <w:color w:val="auto"/>
                      <w:kern w:val="2"/>
                      <w:sz w:val="21"/>
                      <w:szCs w:val="21"/>
                      <w:highlight w:val="none"/>
                      <w:lang w:val="en-US" w:eastAsia="zh-CN" w:bidi="ar-SA"/>
                    </w:rPr>
                    <w:t>后通过1套活性炭吸附装置</w:t>
                  </w:r>
                  <w:r>
                    <w:rPr>
                      <w:rFonts w:hint="default" w:ascii="Times New Roman" w:hAnsi="Times New Roman" w:eastAsia="宋体" w:cs="Times New Roman"/>
                      <w:color w:val="auto"/>
                      <w:kern w:val="2"/>
                      <w:sz w:val="21"/>
                      <w:szCs w:val="21"/>
                      <w:highlight w:val="none"/>
                      <w:lang w:val="en-US" w:eastAsia="zh-CN" w:bidi="ar-SA"/>
                    </w:rPr>
                    <w:t>处理后</w:t>
                  </w:r>
                  <w:r>
                    <w:rPr>
                      <w:rFonts w:hint="eastAsia" w:cs="Times New Roman"/>
                      <w:color w:val="auto"/>
                      <w:kern w:val="2"/>
                      <w:sz w:val="21"/>
                      <w:szCs w:val="21"/>
                      <w:highlight w:val="none"/>
                      <w:lang w:val="en-US" w:eastAsia="zh-CN" w:bidi="ar-SA"/>
                    </w:rPr>
                    <w:t>通过15m排气筒</w:t>
                  </w:r>
                  <w:r>
                    <w:rPr>
                      <w:rFonts w:hint="default" w:ascii="Times New Roman" w:hAnsi="Times New Roman" w:eastAsia="宋体" w:cs="Times New Roman"/>
                      <w:color w:val="auto"/>
                      <w:kern w:val="2"/>
                      <w:sz w:val="21"/>
                      <w:szCs w:val="21"/>
                      <w:highlight w:val="none"/>
                      <w:lang w:val="en-US" w:eastAsia="zh-CN" w:bidi="ar-SA"/>
                    </w:rPr>
                    <w:t>排放</w:t>
                  </w:r>
                  <w:r>
                    <w:rPr>
                      <w:rFonts w:hint="eastAsia" w:ascii="Times New Roman" w:hAnsi="Times New Roman" w:eastAsia="宋体" w:cs="Times New Roman"/>
                      <w:color w:val="auto"/>
                      <w:kern w:val="2"/>
                      <w:sz w:val="21"/>
                      <w:szCs w:val="21"/>
                      <w:highlight w:val="none"/>
                      <w:lang w:val="en-US" w:eastAsia="zh-CN" w:bidi="ar-SA"/>
                    </w:rPr>
                    <w:t>，</w:t>
                  </w:r>
                  <w:r>
                    <w:rPr>
                      <w:color w:val="000000"/>
                      <w:szCs w:val="21"/>
                    </w:rPr>
                    <w:t>项目生产设备除进出料口全部密闭，</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采用集气罩收集，采用碘值不低于800毫克/克的活性炭，并定期更换</w:t>
                  </w:r>
                  <w:r>
                    <w:rPr>
                      <w:color w:val="auto"/>
                      <w:highlight w:val="none"/>
                    </w:rPr>
                    <w:t>。</w:t>
                  </w:r>
                </w:p>
              </w:tc>
              <w:tc>
                <w:tcPr>
                  <w:tcW w:w="250" w:type="pct"/>
                  <w:tcBorders>
                    <w:tl2br w:val="nil"/>
                    <w:tr2bl w:val="nil"/>
                  </w:tcBorders>
                  <w:vAlign w:val="center"/>
                </w:tcPr>
                <w:p w14:paraId="229F8A1C">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5DAE1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vAlign w:val="center"/>
                </w:tcPr>
                <w:p w14:paraId="11F0C09A">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color w:val="auto"/>
                      <w:sz w:val="21"/>
                      <w:szCs w:val="21"/>
                      <w:lang w:val="en-US" w:eastAsia="zh-CN"/>
                    </w:rPr>
                    <w:t>《福建省重点行业挥发性有机物排放控制要求</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试行</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的通知》</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闽环保大气〔2017〕9号</w:t>
                  </w:r>
                  <w:r>
                    <w:rPr>
                      <w:rFonts w:hint="eastAsia" w:cs="Times New Roman"/>
                      <w:color w:val="auto"/>
                      <w:sz w:val="21"/>
                      <w:szCs w:val="21"/>
                      <w:lang w:val="en-US" w:eastAsia="zh-CN"/>
                    </w:rPr>
                    <w:t>）</w:t>
                  </w:r>
                </w:p>
              </w:tc>
              <w:tc>
                <w:tcPr>
                  <w:tcW w:w="2425" w:type="pct"/>
                  <w:tcBorders>
                    <w:tl2br w:val="nil"/>
                    <w:tr2bl w:val="nil"/>
                  </w:tcBorders>
                  <w:vAlign w:val="center"/>
                </w:tcPr>
                <w:p w14:paraId="47334275">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r>
                    <w:rPr>
                      <w:rFonts w:hint="default" w:ascii="Times New Roman" w:hAnsi="Times New Roman" w:eastAsia="宋体" w:cs="Times New Roman"/>
                      <w:b w:val="0"/>
                      <w:bCs w:val="0"/>
                      <w:sz w:val="21"/>
                      <w:szCs w:val="21"/>
                      <w:vertAlign w:val="baseline"/>
                      <w:lang w:val="en-US" w:eastAsia="zh-CN"/>
                    </w:rPr>
                    <w:t>工艺过程控制要求</w:t>
                  </w:r>
                </w:p>
                <w:p w14:paraId="3B3D8AA3">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含VOCs物料应储存于密闭容器中。盛装含VOCs物料的容器应存放于储存室内，或至少设置遮阳挡雨等设施</w:t>
                  </w:r>
                  <w:r>
                    <w:rPr>
                      <w:rFonts w:hint="eastAsia" w:ascii="Times New Roman" w:hAnsi="Times New Roman" w:eastAsia="宋体" w:cs="Times New Roman"/>
                      <w:b w:val="0"/>
                      <w:bCs w:val="0"/>
                      <w:sz w:val="21"/>
                      <w:szCs w:val="21"/>
                      <w:vertAlign w:val="baseline"/>
                      <w:lang w:val="en-US" w:eastAsia="zh-CN"/>
                    </w:rPr>
                    <w:t>。</w:t>
                  </w:r>
                </w:p>
                <w:p w14:paraId="7B6505EE">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w:t>
                  </w:r>
                  <w:r>
                    <w:rPr>
                      <w:rFonts w:hint="default" w:ascii="Times New Roman" w:hAnsi="Times New Roman" w:eastAsia="宋体" w:cs="Times New Roman"/>
                      <w:b w:val="0"/>
                      <w:bCs w:val="0"/>
                      <w:sz w:val="21"/>
                      <w:szCs w:val="21"/>
                      <w:vertAlign w:val="baseline"/>
                      <w:lang w:val="en-US" w:eastAsia="zh-CN"/>
                    </w:rPr>
                    <w:t>其他控制要求</w:t>
                  </w:r>
                </w:p>
                <w:p w14:paraId="445FE9CC">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产生有废气</w:t>
                  </w:r>
                  <w:r>
                    <w:rPr>
                      <w:rFonts w:hint="eastAsia" w:ascii="Times New Roman" w:hAnsi="Times New Roman" w:eastAsia="宋体" w:cs="Times New Roman"/>
                      <w:b w:val="0"/>
                      <w:bCs w:val="0"/>
                      <w:sz w:val="21"/>
                      <w:szCs w:val="21"/>
                      <w:vertAlign w:val="baseline"/>
                      <w:lang w:val="en-US" w:eastAsia="zh-CN"/>
                    </w:rPr>
                    <w:t>的</w:t>
                  </w:r>
                  <w:r>
                    <w:rPr>
                      <w:rFonts w:hint="default" w:ascii="Times New Roman" w:hAnsi="Times New Roman" w:eastAsia="宋体" w:cs="Times New Roman"/>
                      <w:b w:val="0"/>
                      <w:bCs w:val="0"/>
                      <w:sz w:val="21"/>
                      <w:szCs w:val="21"/>
                      <w:vertAlign w:val="baseline"/>
                      <w:lang w:val="en-US" w:eastAsia="zh-CN"/>
                    </w:rPr>
                    <w:t>生产工艺和装置均设有收集系统和净化处理装置；所有产生VOCs的生产车间</w:t>
                  </w:r>
                  <w:r>
                    <w:rPr>
                      <w:rFonts w:hint="eastAsia" w:ascii="Times New Roman" w:hAnsi="Times New Roman" w:eastAsia="宋体"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val="en-US" w:eastAsia="zh-CN"/>
                    </w:rPr>
                    <w:t>或生产设施</w:t>
                  </w:r>
                  <w:r>
                    <w:rPr>
                      <w:rFonts w:hint="eastAsia" w:ascii="Times New Roman" w:hAnsi="Times New Roman" w:eastAsia="宋体"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val="en-US" w:eastAsia="zh-CN"/>
                    </w:rPr>
                    <w:t>均进行密闭，无露天和敞开式涂装、流平、干燥作业；不能完全密闭的部位设置软帘阻隔设施，减少废气排放；更换的VOCs吸附剂的废弃物等，产生后马上密闭，存放在不透气的容器内，贮存、转移期间保持密闭；密闭式局部收集的逸散的VOCs废气收集率达到80%以上</w:t>
                  </w:r>
                  <w:r>
                    <w:rPr>
                      <w:rFonts w:hint="eastAsia" w:ascii="Times New Roman" w:hAnsi="Times New Roman" w:eastAsia="宋体" w:cs="Times New Roman"/>
                      <w:b w:val="0"/>
                      <w:bCs w:val="0"/>
                      <w:sz w:val="21"/>
                      <w:szCs w:val="21"/>
                      <w:vertAlign w:val="baseline"/>
                      <w:lang w:val="en-US" w:eastAsia="zh-CN"/>
                    </w:rPr>
                    <w:t>。</w:t>
                  </w:r>
                </w:p>
              </w:tc>
              <w:tc>
                <w:tcPr>
                  <w:tcW w:w="1571" w:type="pct"/>
                  <w:tcBorders>
                    <w:tl2br w:val="nil"/>
                    <w:tr2bl w:val="nil"/>
                  </w:tcBorders>
                  <w:vAlign w:val="center"/>
                </w:tcPr>
                <w:p w14:paraId="06B77C40">
                  <w:pPr>
                    <w:keepNext w:val="0"/>
                    <w:keepLines w:val="0"/>
                    <w:pageBreakBefore w:val="0"/>
                    <w:widowControl/>
                    <w:numPr>
                      <w:ilvl w:val="0"/>
                      <w:numId w:val="6"/>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项目含VOCs的原辅料均放置在原辅料仓库。</w:t>
                  </w:r>
                </w:p>
                <w:p w14:paraId="445F943D">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（2）项目注塑</w:t>
                  </w:r>
                  <w:r>
                    <w:rPr>
                      <w:rFonts w:hint="eastAsia" w:cs="Times New Roman"/>
                      <w:b w:val="0"/>
                      <w:bCs w:val="0"/>
                      <w:sz w:val="21"/>
                      <w:szCs w:val="21"/>
                      <w:vertAlign w:val="baseline"/>
                      <w:lang w:val="en-US" w:eastAsia="zh-CN"/>
                    </w:rPr>
                    <w:t>、包胶、除油、烘烤</w:t>
                  </w:r>
                  <w:r>
                    <w:rPr>
                      <w:rFonts w:hint="eastAsia" w:ascii="Times New Roman" w:hAnsi="Times New Roman" w:eastAsia="宋体" w:cs="Times New Roman"/>
                      <w:b w:val="0"/>
                      <w:bCs w:val="0"/>
                      <w:sz w:val="21"/>
                      <w:szCs w:val="21"/>
                      <w:vertAlign w:val="baseline"/>
                      <w:lang w:val="en-US" w:eastAsia="zh-CN"/>
                    </w:rPr>
                    <w:t>过程中所产生的VOCs经集气罩收集后通过一套“</w:t>
                  </w:r>
                  <w:r>
                    <w:rPr>
                      <w:rFonts w:hint="eastAsia" w:ascii="Times New Roman" w:hAnsi="Times New Roman" w:eastAsia="宋体" w:cs="Times New Roman"/>
                      <w:b w:val="0"/>
                      <w:bCs w:val="0"/>
                      <w:sz w:val="21"/>
                      <w:szCs w:val="21"/>
                      <w:highlight w:val="none"/>
                      <w:vertAlign w:val="baseline"/>
                      <w:lang w:val="en-US" w:eastAsia="zh-CN"/>
                    </w:rPr>
                    <w:t>二级活性炭吸附装置+15m排气筒排放”，拟将更换的废活性炭</w:t>
                  </w:r>
                  <w:r>
                    <w:rPr>
                      <w:rFonts w:hint="eastAsia" w:ascii="Times New Roman" w:hAnsi="Times New Roman" w:cs="Times New Roman"/>
                      <w:color w:val="auto"/>
                      <w:sz w:val="21"/>
                      <w:szCs w:val="21"/>
                      <w:highlight w:val="none"/>
                      <w:lang w:val="en-US" w:eastAsia="zh-CN"/>
                    </w:rPr>
                    <w:t>属于</w:t>
                  </w:r>
                  <w:r>
                    <w:rPr>
                      <w:rFonts w:hint="eastAsia" w:ascii="Times New Roman" w:hAnsi="Times New Roman" w:cs="Times New Roman"/>
                      <w:color w:val="auto"/>
                      <w:sz w:val="21"/>
                      <w:szCs w:val="21"/>
                      <w:lang w:val="en-US" w:eastAsia="zh-CN"/>
                    </w:rPr>
                    <w:t>危险废物</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袋装密闭暂存于</w:t>
                  </w:r>
                  <w:r>
                    <w:rPr>
                      <w:rFonts w:hint="eastAsia" w:ascii="Times New Roman" w:hAnsi="Times New Roman" w:cs="Times New Roman"/>
                      <w:color w:val="auto"/>
                      <w:sz w:val="21"/>
                      <w:szCs w:val="21"/>
                      <w:lang w:eastAsia="zh-CN"/>
                    </w:rPr>
                    <w:t>危险废物贮存</w:t>
                  </w:r>
                  <w:r>
                    <w:rPr>
                      <w:rFonts w:hint="eastAsia" w:ascii="Times New Roman" w:hAnsi="Times New Roman" w:cs="Times New Roman"/>
                      <w:color w:val="auto"/>
                      <w:sz w:val="21"/>
                      <w:szCs w:val="21"/>
                      <w:lang w:val="en-US" w:eastAsia="zh-CN"/>
                    </w:rPr>
                    <w:t>间</w:t>
                  </w:r>
                  <w:r>
                    <w:rPr>
                      <w:rFonts w:hint="default" w:ascii="Times New Roman" w:hAnsi="Times New Roman" w:cs="Times New Roman"/>
                      <w:color w:val="auto"/>
                      <w:sz w:val="21"/>
                      <w:szCs w:val="21"/>
                    </w:rPr>
                    <w:t>内</w:t>
                  </w:r>
                  <w:r>
                    <w:rPr>
                      <w:rFonts w:hint="eastAsia" w:ascii="Times New Roman" w:hAnsi="Times New Roman" w:cs="Times New Roman"/>
                      <w:color w:val="auto"/>
                      <w:sz w:val="21"/>
                      <w:szCs w:val="21"/>
                      <w:lang w:val="en-US" w:eastAsia="zh-CN"/>
                    </w:rPr>
                    <w:t>，委托有资质的单位定期处置；</w:t>
                  </w:r>
                  <w:r>
                    <w:rPr>
                      <w:rFonts w:hint="default" w:ascii="Times New Roman" w:hAnsi="Times New Roman" w:cs="Times New Roman"/>
                      <w:color w:val="auto"/>
                      <w:sz w:val="21"/>
                      <w:szCs w:val="21"/>
                      <w:lang w:val="en-US" w:eastAsia="zh-CN"/>
                    </w:rPr>
                    <w:t>VOCs</w:t>
                  </w:r>
                  <w:r>
                    <w:rPr>
                      <w:rFonts w:hint="eastAsia" w:ascii="Times New Roman" w:hAnsi="Times New Roman" w:cs="Times New Roman"/>
                      <w:color w:val="auto"/>
                      <w:sz w:val="21"/>
                      <w:szCs w:val="21"/>
                      <w:lang w:val="en-US" w:eastAsia="zh-CN"/>
                    </w:rPr>
                    <w:t>采用密闭车间集气罩收集，集气效率为</w:t>
                  </w:r>
                  <w:r>
                    <w:rPr>
                      <w:rFonts w:hint="eastAsia" w:cs="Times New Roman"/>
                      <w:color w:val="auto"/>
                      <w:sz w:val="21"/>
                      <w:szCs w:val="21"/>
                      <w:lang w:val="en-US" w:eastAsia="zh-CN"/>
                    </w:rPr>
                    <w:t>8</w:t>
                  </w:r>
                  <w:r>
                    <w:rPr>
                      <w:rFonts w:hint="eastAsia" w:ascii="Times New Roman" w:hAnsi="Times New Roman" w:cs="Times New Roman"/>
                      <w:color w:val="auto"/>
                      <w:sz w:val="21"/>
                      <w:szCs w:val="21"/>
                      <w:lang w:val="en-US" w:eastAsia="zh-CN"/>
                    </w:rPr>
                    <w:t>0%左右≥</w:t>
                  </w:r>
                  <w:r>
                    <w:rPr>
                      <w:rFonts w:hint="default"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eastAsia="zh-CN"/>
                    </w:rPr>
                    <w:t>。</w:t>
                  </w:r>
                </w:p>
              </w:tc>
              <w:tc>
                <w:tcPr>
                  <w:tcW w:w="250" w:type="pct"/>
                  <w:tcBorders>
                    <w:tl2br w:val="nil"/>
                    <w:tr2bl w:val="nil"/>
                  </w:tcBorders>
                  <w:vAlign w:val="center"/>
                </w:tcPr>
                <w:p w14:paraId="5618E97D">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0FD37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tcBorders>
                    <w:tl2br w:val="nil"/>
                    <w:tr2bl w:val="nil"/>
                  </w:tcBorders>
                  <w:vAlign w:val="center"/>
                </w:tcPr>
                <w:p w14:paraId="7D254BD8">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color w:val="auto"/>
                      <w:sz w:val="21"/>
                      <w:szCs w:val="21"/>
                    </w:rPr>
                    <w:t>福建省重点行业挥发性有机物污染防治工作方案</w:t>
                  </w:r>
                  <w:r>
                    <w:rPr>
                      <w:rFonts w:hint="eastAsia" w:cs="Times New Roman"/>
                      <w:color w:val="auto"/>
                      <w:sz w:val="21"/>
                      <w:szCs w:val="21"/>
                      <w:lang w:eastAsia="zh-CN"/>
                    </w:rPr>
                    <w:t>（</w:t>
                  </w:r>
                  <w:r>
                    <w:rPr>
                      <w:rFonts w:hint="default" w:ascii="Times New Roman" w:hAnsi="Times New Roman" w:cs="Times New Roman"/>
                      <w:color w:val="auto"/>
                      <w:sz w:val="21"/>
                      <w:szCs w:val="21"/>
                    </w:rPr>
                    <w:t>闽环保大气〔2017〕6号</w:t>
                  </w:r>
                  <w:r>
                    <w:rPr>
                      <w:rFonts w:hint="eastAsia" w:cs="Times New Roman"/>
                      <w:color w:val="auto"/>
                      <w:sz w:val="21"/>
                      <w:szCs w:val="21"/>
                      <w:lang w:eastAsia="zh-CN"/>
                    </w:rPr>
                    <w:t>）</w:t>
                  </w:r>
                </w:p>
              </w:tc>
              <w:tc>
                <w:tcPr>
                  <w:tcW w:w="2425" w:type="pct"/>
                  <w:tcBorders>
                    <w:tl2br w:val="nil"/>
                    <w:tr2bl w:val="nil"/>
                  </w:tcBorders>
                  <w:vAlign w:val="center"/>
                </w:tcPr>
                <w:p w14:paraId="11175FEE">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二、主要任务</w:t>
                  </w:r>
                </w:p>
                <w:p w14:paraId="44405748">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（一）严格环境准入</w:t>
                  </w:r>
                </w:p>
                <w:p w14:paraId="3A417683">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进一步提高行业准入门槛，严格控制新增污染物排放量。严格限制石化、化工、包装印刷、工业涂装等高VOCs排放建设项目。新改扩建项目要使用低VOCs含量原辅材料，采取密闭措施，加强废气收集，配套安装高效治理设施，减少污染排放。淘汰国家及地方明令禁止的落后工艺和设备。</w:t>
                  </w:r>
                </w:p>
                <w:p w14:paraId="42ADE559">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（二）大力推进清洁生产</w:t>
                  </w:r>
                </w:p>
                <w:p w14:paraId="4E6039A1">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在重点行业大力倡导环境标志产品生产及使用，尤其是水性涂料的生产和使用，从源头控制VOCs排放。</w:t>
                  </w:r>
                </w:p>
                <w:p w14:paraId="7A738B1C">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（三）加快推进重点行业VOCs专项整治</w:t>
                  </w:r>
                </w:p>
                <w:p w14:paraId="5229216E">
                  <w:pPr>
                    <w:keepNext w:val="0"/>
                    <w:keepLines w:val="0"/>
                    <w:pageBreakBefore w:val="0"/>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default"/>
                      <w:color w:val="auto"/>
                      <w:szCs w:val="21"/>
                      <w:highlight w:val="none"/>
                      <w:u w:val="none"/>
                    </w:rPr>
                    <w:t>（2）加强化工企业污染综合整治</w:t>
                  </w:r>
                </w:p>
                <w:p w14:paraId="6733B068">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1"/>
                      <w:szCs w:val="21"/>
                      <w:vertAlign w:val="baseline"/>
                      <w:lang w:val="en-US" w:eastAsia="zh-CN"/>
                    </w:rPr>
                  </w:pPr>
                  <w:r>
                    <w:rPr>
                      <w:rFonts w:hint="default"/>
                      <w:color w:val="auto"/>
                      <w:szCs w:val="21"/>
                      <w:highlight w:val="none"/>
                      <w:u w:val="none"/>
                    </w:rPr>
                    <w:t>提升有机化工（含有机化学原料、合成材料、日用化工、涂料、油墨、胶粘剂、染料、化学溶剂、试剂生产等）、医药化工、塑料制品企业装备水平，严格控制跑冒滴漏。原料、中间产品与成品应密闭储存，对于实际蒸汽压大于2.8千帕、容积大于100立方米的有机液体储罐，采用高效密封方式的浮顶罐或安装密闭排气系统进行净化处理。排放VOCs的生产工序要在密闭空间或设备中实施，产生的含VOCs废气需进行净化处理。</w:t>
                  </w:r>
                </w:p>
              </w:tc>
              <w:tc>
                <w:tcPr>
                  <w:tcW w:w="1571" w:type="pct"/>
                  <w:tcBorders>
                    <w:tl2br w:val="nil"/>
                    <w:tr2bl w:val="nil"/>
                  </w:tcBorders>
                  <w:vAlign w:val="center"/>
                </w:tcPr>
                <w:p w14:paraId="07DC1E00">
                  <w:pPr>
                    <w:keepNext w:val="0"/>
                    <w:keepLines w:val="0"/>
                    <w:pageBreakBefore w:val="0"/>
                    <w:widowControl/>
                    <w:suppressLineNumbers w:val="0"/>
                    <w:kinsoku/>
                    <w:wordWrap/>
                    <w:overflowPunct/>
                    <w:topLinePunct w:val="0"/>
                    <w:autoSpaceDE/>
                    <w:autoSpaceDN/>
                    <w:bidi w:val="0"/>
                    <w:adjustRightInd w:val="0"/>
                    <w:spacing w:before="0" w:beforeAutospacing="0" w:after="0" w:afterAutospacing="0" w:line="340" w:lineRule="atLeast"/>
                    <w:ind w:left="0" w:right="0"/>
                    <w:jc w:val="both"/>
                    <w:textAlignment w:val="auto"/>
                    <w:rPr>
                      <w:rFonts w:hint="default"/>
                      <w:color w:val="auto"/>
                      <w:szCs w:val="21"/>
                      <w:highlight w:val="none"/>
                      <w:u w:val="none"/>
                    </w:rPr>
                  </w:pPr>
                  <w:r>
                    <w:rPr>
                      <w:rFonts w:hint="eastAsia"/>
                      <w:color w:val="auto"/>
                      <w:szCs w:val="21"/>
                      <w:highlight w:val="none"/>
                      <w:u w:val="none"/>
                      <w:lang w:val="en-US" w:eastAsia="zh-CN"/>
                    </w:rPr>
                    <w:t>1.本项目从事工业连接器和工业线缆加工生产，属于其他电子元件制造</w:t>
                  </w:r>
                  <w:r>
                    <w:rPr>
                      <w:rFonts w:hint="eastAsia" w:ascii="Times New Roman" w:hAnsi="Times New Roman" w:eastAsia="宋体" w:cs="Times New Roman"/>
                      <w:color w:val="auto"/>
                      <w:sz w:val="21"/>
                      <w:szCs w:val="21"/>
                      <w:u w:val="none"/>
                      <w:lang w:val="en-US" w:eastAsia="zh-CN"/>
                    </w:rPr>
                    <w:t>，不属于文件中限制的</w:t>
                  </w:r>
                  <w:r>
                    <w:rPr>
                      <w:rFonts w:hint="default"/>
                      <w:color w:val="auto"/>
                      <w:szCs w:val="21"/>
                      <w:highlight w:val="none"/>
                      <w:u w:val="none"/>
                    </w:rPr>
                    <w:t>高VOCs排放建设项目</w:t>
                  </w:r>
                  <w:r>
                    <w:rPr>
                      <w:rFonts w:hint="eastAsia"/>
                      <w:color w:val="auto"/>
                      <w:szCs w:val="21"/>
                      <w:highlight w:val="none"/>
                      <w:u w:val="none"/>
                      <w:lang w:eastAsia="zh-CN"/>
                    </w:rPr>
                    <w:t>，本项目原辅材料为塑料</w:t>
                  </w:r>
                  <w:r>
                    <w:rPr>
                      <w:rFonts w:hint="eastAsia"/>
                      <w:color w:val="auto"/>
                      <w:szCs w:val="21"/>
                      <w:highlight w:val="none"/>
                      <w:u w:val="none"/>
                      <w:lang w:val="en-US" w:eastAsia="zh-CN"/>
                    </w:rPr>
                    <w:t>颗粒</w:t>
                  </w:r>
                  <w:r>
                    <w:rPr>
                      <w:rFonts w:hint="eastAsia"/>
                      <w:color w:val="auto"/>
                      <w:szCs w:val="21"/>
                      <w:highlight w:val="none"/>
                      <w:u w:val="none"/>
                      <w:lang w:eastAsia="zh-CN"/>
                    </w:rPr>
                    <w:t>，不涉及高</w:t>
                  </w:r>
                  <w:r>
                    <w:rPr>
                      <w:rFonts w:hint="default"/>
                      <w:color w:val="auto"/>
                      <w:szCs w:val="21"/>
                      <w:highlight w:val="none"/>
                      <w:u w:val="none"/>
                    </w:rPr>
                    <w:t>VOCs含量原辅材料</w:t>
                  </w:r>
                  <w:r>
                    <w:rPr>
                      <w:rFonts w:hint="eastAsia"/>
                      <w:color w:val="auto"/>
                      <w:szCs w:val="21"/>
                      <w:highlight w:val="none"/>
                      <w:u w:val="none"/>
                      <w:lang w:eastAsia="zh-CN"/>
                    </w:rPr>
                    <w:t>且在采取有效的收集措施和治理措施后，通过排气筒达标排放。本项目不涉及</w:t>
                  </w:r>
                  <w:r>
                    <w:rPr>
                      <w:rFonts w:hint="default"/>
                      <w:color w:val="auto"/>
                      <w:szCs w:val="21"/>
                      <w:highlight w:val="none"/>
                      <w:u w:val="none"/>
                    </w:rPr>
                    <w:t>国家及地方明令禁止的落后工艺和设备。</w:t>
                  </w:r>
                </w:p>
                <w:p w14:paraId="04FDE8FA">
                  <w:pPr>
                    <w:pStyle w:val="37"/>
                    <w:widowControl/>
                    <w:numPr>
                      <w:ilvl w:val="0"/>
                      <w:numId w:val="0"/>
                    </w:numPr>
                    <w:adjustRightInd w:val="0"/>
                    <w:spacing w:line="340" w:lineRule="exact"/>
                    <w:jc w:val="both"/>
                    <w:rPr>
                      <w:rFonts w:hint="eastAsia"/>
                    </w:rPr>
                  </w:pPr>
                  <w:r>
                    <w:rPr>
                      <w:rFonts w:hint="eastAsia"/>
                      <w:lang w:val="en-US" w:eastAsia="zh-CN"/>
                    </w:rPr>
                    <w:t>2.</w:t>
                  </w:r>
                  <w:r>
                    <w:rPr>
                      <w:rFonts w:hint="eastAsia"/>
                    </w:rPr>
                    <w:t>本项目使用低VOCs含量原辅材料，</w:t>
                  </w:r>
                  <w:r>
                    <w:rPr>
                      <w:rFonts w:hint="eastAsia"/>
                      <w:bCs/>
                    </w:rPr>
                    <w:t>项目废气经集气装置收集后通过废气处理设施处理后达标排放</w:t>
                  </w:r>
                  <w:r>
                    <w:rPr>
                      <w:rFonts w:hint="eastAsia"/>
                    </w:rPr>
                    <w:t>。</w:t>
                  </w:r>
                </w:p>
                <w:p w14:paraId="515BFB1A">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1"/>
                      <w:szCs w:val="21"/>
                      <w:vertAlign w:val="baseline"/>
                      <w:lang w:val="en-US" w:eastAsia="zh-CN"/>
                    </w:rPr>
                  </w:pPr>
                  <w:r>
                    <w:rPr>
                      <w:rFonts w:hint="eastAsia"/>
                      <w:lang w:val="en-US" w:eastAsia="zh-CN"/>
                    </w:rPr>
                    <w:t>3.</w:t>
                  </w:r>
                  <w:r>
                    <w:rPr>
                      <w:rFonts w:hint="eastAsia"/>
                    </w:rPr>
                    <w:t>本项目废气产生点设备上方设置集气罩，拟将产生的VOCs收集后通过1套</w:t>
                  </w:r>
                  <w:r>
                    <w:rPr>
                      <w:rFonts w:hint="eastAsia"/>
                      <w:color w:val="auto"/>
                    </w:rPr>
                    <w:t>“二级活性炭吸附装置”</w:t>
                  </w:r>
                  <w:r>
                    <w:rPr>
                      <w:rFonts w:hint="eastAsia"/>
                    </w:rPr>
                    <w:t>处理后排放，设计净化效率</w:t>
                  </w:r>
                  <w:r>
                    <w:rPr>
                      <w:rFonts w:hint="eastAsia"/>
                      <w:lang w:val="en-US" w:eastAsia="zh-CN"/>
                    </w:rPr>
                    <w:t>为75</w:t>
                  </w:r>
                  <w:r>
                    <w:rPr>
                      <w:rFonts w:hint="eastAsia"/>
                    </w:rPr>
                    <w:t>%。</w:t>
                  </w:r>
                </w:p>
              </w:tc>
              <w:tc>
                <w:tcPr>
                  <w:tcW w:w="250" w:type="pct"/>
                  <w:tcBorders>
                    <w:tl2br w:val="nil"/>
                    <w:tr2bl w:val="nil"/>
                  </w:tcBorders>
                  <w:vAlign w:val="center"/>
                </w:tcPr>
                <w:p w14:paraId="28F6D1E3">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690D5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vMerge w:val="restart"/>
                  <w:tcBorders>
                    <w:tl2br w:val="nil"/>
                    <w:tr2bl w:val="nil"/>
                  </w:tcBorders>
                  <w:vAlign w:val="center"/>
                </w:tcPr>
                <w:p w14:paraId="61F03263">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Times New Roman" w:hAnsi="Times New Roman" w:eastAsia="宋体" w:cs="Times New Roman"/>
                      <w:color w:val="auto"/>
                      <w:highlight w:val="none"/>
                      <w:lang w:val="en-US" w:eastAsia="zh-CN"/>
                    </w:rPr>
                    <w:t>《挥发性有机物无组织排放控制标准》</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GB37822-2019)</w:t>
                  </w:r>
                </w:p>
              </w:tc>
              <w:tc>
                <w:tcPr>
                  <w:tcW w:w="2425" w:type="pct"/>
                  <w:tcBorders>
                    <w:tl2br w:val="nil"/>
                    <w:tr2bl w:val="nil"/>
                  </w:tcBorders>
                  <w:vAlign w:val="center"/>
                </w:tcPr>
                <w:p w14:paraId="57E2C571">
                  <w:pPr>
                    <w:pStyle w:val="38"/>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5.1.1</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VOCs物料应储存于密闭的容器、包装袋、储罐、储库、料仓中。</w:t>
                  </w:r>
                </w:p>
                <w:p w14:paraId="2EE15EE1">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color w:val="auto"/>
                      <w:szCs w:val="21"/>
                      <w:highlight w:val="none"/>
                      <w:u w:val="none"/>
                    </w:rPr>
                  </w:pPr>
                  <w:r>
                    <w:rPr>
                      <w:rFonts w:hint="default" w:ascii="Times New Roman" w:hAnsi="Times New Roman" w:eastAsia="宋体" w:cs="Times New Roman"/>
                      <w:color w:val="auto"/>
                      <w:highlight w:val="none"/>
                      <w:lang w:val="en-US" w:eastAsia="zh-CN"/>
                    </w:rPr>
                    <w:t>5.1.2 盛装VOCs物料的容器或包装袋应存放于室内，或存放于设置有雨棚、遮阳和防渗设施的专用场地。盛装VOCs物料的容器或包装袋在非取用状态时应加盖、封口，保持密闭。</w:t>
                  </w:r>
                </w:p>
              </w:tc>
              <w:tc>
                <w:tcPr>
                  <w:tcW w:w="1571" w:type="pct"/>
                  <w:tcBorders>
                    <w:tl2br w:val="nil"/>
                    <w:tr2bl w:val="nil"/>
                  </w:tcBorders>
                  <w:vAlign w:val="center"/>
                </w:tcPr>
                <w:p w14:paraId="470CE99E">
                  <w:pPr>
                    <w:pStyle w:val="37"/>
                    <w:keepNext w:val="0"/>
                    <w:keepLines w:val="0"/>
                    <w:pageBreakBefore w:val="0"/>
                    <w:widowControl w:val="0"/>
                    <w:kinsoku/>
                    <w:wordWrap/>
                    <w:overflowPunct/>
                    <w:topLinePunct w:val="0"/>
                    <w:bidi w:val="0"/>
                    <w:adjustRightInd w:val="0"/>
                    <w:snapToGrid w:val="0"/>
                    <w:spacing w:line="320" w:lineRule="exact"/>
                    <w:jc w:val="both"/>
                    <w:textAlignment w:val="auto"/>
                    <w:rPr>
                      <w:rFonts w:hint="eastAsia"/>
                      <w:lang w:val="en-US" w:eastAsia="zh-CN"/>
                    </w:rPr>
                  </w:pPr>
                  <w:r>
                    <w:rPr>
                      <w:rFonts w:hint="eastAsia" w:ascii="Times New Roman" w:hAnsi="Times New Roman" w:eastAsia="宋体" w:cs="Times New Roman"/>
                      <w:color w:val="auto"/>
                      <w:kern w:val="2"/>
                      <w:sz w:val="21"/>
                      <w:szCs w:val="21"/>
                      <w:highlight w:val="none"/>
                      <w:lang w:val="en-US" w:eastAsia="zh-CN" w:bidi="ar-SA"/>
                    </w:rPr>
                    <w:t>项目使用P</w:t>
                  </w:r>
                  <w:r>
                    <w:rPr>
                      <w:rFonts w:hint="eastAsia" w:cs="Times New Roman"/>
                      <w:color w:val="auto"/>
                      <w:kern w:val="2"/>
                      <w:sz w:val="21"/>
                      <w:szCs w:val="21"/>
                      <w:highlight w:val="none"/>
                      <w:lang w:val="en-US" w:eastAsia="zh-CN" w:bidi="ar-SA"/>
                    </w:rPr>
                    <w:t>A</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PC</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T</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U</w:t>
                  </w:r>
                  <w:r>
                    <w:rPr>
                      <w:rFonts w:hint="eastAsia" w:ascii="Times New Roman" w:hAnsi="Times New Roman" w:eastAsia="宋体" w:cs="Times New Roman"/>
                      <w:color w:val="auto"/>
                      <w:kern w:val="2"/>
                      <w:sz w:val="21"/>
                      <w:szCs w:val="21"/>
                      <w:highlight w:val="none"/>
                      <w:lang w:val="en-US" w:eastAsia="zh-CN" w:bidi="ar-SA"/>
                    </w:rPr>
                    <w:t>颗粒作为原料采用密闭包装袋暂存在仓库中，VOCs含量低；常温下不产生VOCs。</w:t>
                  </w:r>
                </w:p>
              </w:tc>
              <w:tc>
                <w:tcPr>
                  <w:tcW w:w="250" w:type="pct"/>
                  <w:tcBorders>
                    <w:tl2br w:val="nil"/>
                    <w:tr2bl w:val="nil"/>
                  </w:tcBorders>
                  <w:vAlign w:val="center"/>
                </w:tcPr>
                <w:p w14:paraId="50A2110C">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7FDC4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vMerge w:val="continue"/>
                  <w:tcBorders>
                    <w:tl2br w:val="nil"/>
                    <w:tr2bl w:val="nil"/>
                  </w:tcBorders>
                  <w:vAlign w:val="center"/>
                </w:tcPr>
                <w:p w14:paraId="32759F3A">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2425" w:type="pct"/>
                  <w:tcBorders>
                    <w:tl2br w:val="nil"/>
                    <w:tr2bl w:val="nil"/>
                  </w:tcBorders>
                  <w:vAlign w:val="center"/>
                </w:tcPr>
                <w:p w14:paraId="668A6B72">
                  <w:pPr>
                    <w:pStyle w:val="38"/>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6.1.1 液态VOC物料应采用密闭管道输送。采用非管道输送方式转移液态VOC物料时，应采用密闭容器、罐车。</w:t>
                  </w:r>
                </w:p>
                <w:p w14:paraId="64832597">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6.1.2 粉状、粒状VOCs物料应采用气力输送设备、管状带式输送机、螺旋输送机等密闭输送方式或者采用密闭的包装袋、容器或罐车进行物料转移。</w:t>
                  </w:r>
                </w:p>
              </w:tc>
              <w:tc>
                <w:tcPr>
                  <w:tcW w:w="1571" w:type="pct"/>
                  <w:tcBorders>
                    <w:tl2br w:val="nil"/>
                    <w:tr2bl w:val="nil"/>
                  </w:tcBorders>
                  <w:vAlign w:val="center"/>
                </w:tcPr>
                <w:p w14:paraId="5484DFAB">
                  <w:pPr>
                    <w:pStyle w:val="38"/>
                    <w:jc w:val="both"/>
                    <w:rPr>
                      <w:rFonts w:hint="eastAsia"/>
                      <w:lang w:val="en-US" w:eastAsia="zh-CN"/>
                    </w:rPr>
                  </w:pPr>
                  <w:r>
                    <w:rPr>
                      <w:rFonts w:hint="eastAsia" w:ascii="Times New Roman" w:hAnsi="Times New Roman" w:eastAsia="宋体" w:cs="Times New Roman"/>
                      <w:color w:val="auto"/>
                      <w:highlight w:val="none"/>
                      <w:lang w:val="en-US" w:eastAsia="zh-CN"/>
                    </w:rPr>
                    <w:t>项目不涉及液态VOC物料。项目</w:t>
                  </w:r>
                  <w:r>
                    <w:rPr>
                      <w:rFonts w:hint="eastAsia" w:cs="Times New Roman"/>
                      <w:color w:val="auto"/>
                      <w:highlight w:val="none"/>
                      <w:lang w:val="en-US" w:eastAsia="zh-CN"/>
                    </w:rPr>
                    <w:t>塑粉、</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A</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PC</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T</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U</w:t>
                  </w:r>
                  <w:r>
                    <w:rPr>
                      <w:rFonts w:hint="eastAsia" w:ascii="Times New Roman" w:hAnsi="Times New Roman" w:eastAsia="宋体" w:cs="Times New Roman"/>
                      <w:color w:val="auto"/>
                      <w:highlight w:val="none"/>
                      <w:lang w:val="en-US" w:eastAsia="zh-CN"/>
                    </w:rPr>
                    <w:t>塑料颗粒采用</w:t>
                  </w:r>
                  <w:r>
                    <w:rPr>
                      <w:rFonts w:hint="default" w:ascii="Times New Roman" w:hAnsi="Times New Roman" w:eastAsia="宋体" w:cs="Times New Roman"/>
                      <w:color w:val="auto"/>
                      <w:highlight w:val="none"/>
                      <w:lang w:val="en-US" w:eastAsia="zh-CN"/>
                    </w:rPr>
                    <w:t>密闭的包装袋、进行物料转移</w:t>
                  </w:r>
                </w:p>
              </w:tc>
              <w:tc>
                <w:tcPr>
                  <w:tcW w:w="250" w:type="pct"/>
                  <w:tcBorders>
                    <w:tl2br w:val="nil"/>
                    <w:tr2bl w:val="nil"/>
                  </w:tcBorders>
                  <w:vAlign w:val="center"/>
                </w:tcPr>
                <w:p w14:paraId="6DA31852">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742B7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vMerge w:val="continue"/>
                  <w:tcBorders>
                    <w:tl2br w:val="nil"/>
                    <w:tr2bl w:val="nil"/>
                  </w:tcBorders>
                  <w:vAlign w:val="center"/>
                </w:tcPr>
                <w:p w14:paraId="29E34022">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2425" w:type="pct"/>
                  <w:tcBorders>
                    <w:tl2br w:val="nil"/>
                    <w:tr2bl w:val="nil"/>
                  </w:tcBorders>
                  <w:shd w:val="clear" w:color="auto" w:fill="auto"/>
                  <w:vAlign w:val="center"/>
                </w:tcPr>
                <w:p w14:paraId="0ECB7DEF">
                  <w:pPr>
                    <w:pStyle w:val="38"/>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7.3.1 企业应建立台账，记录含VOCs原辅材料和含VOCs产品的名称、使用量、回收量、废弃量、去向以及VOCs含量等信息。台账保存期限不少于3年。</w:t>
                  </w:r>
                </w:p>
                <w:p w14:paraId="6F931859">
                  <w:pPr>
                    <w:pStyle w:val="38"/>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7.3.3 载有VOC物料的设备及其管道在开停工车、检维修和清洗时，应在退料阶段将残存物料退净，并用密闭容器盛装，退料过程废气应排至VOCs废气收集处理系统</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清洗及吹扫过程排气应排至VOCs废气收集处理系统。</w:t>
                  </w:r>
                </w:p>
              </w:tc>
              <w:tc>
                <w:tcPr>
                  <w:tcW w:w="1571" w:type="pct"/>
                  <w:tcBorders>
                    <w:tl2br w:val="nil"/>
                    <w:tr2bl w:val="nil"/>
                  </w:tcBorders>
                  <w:vAlign w:val="center"/>
                </w:tcPr>
                <w:p w14:paraId="41B9F6E0">
                  <w:pPr>
                    <w:pStyle w:val="38"/>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项目将严格按照要求制定</w:t>
                  </w:r>
                  <w:r>
                    <w:rPr>
                      <w:rFonts w:hint="default" w:ascii="Times New Roman" w:hAnsi="Times New Roman" w:eastAsia="宋体" w:cs="Times New Roman"/>
                      <w:color w:val="auto"/>
                      <w:highlight w:val="none"/>
                      <w:lang w:val="en-US" w:eastAsia="zh-CN"/>
                    </w:rPr>
                    <w:t>含VOCs原辅材料</w:t>
                  </w:r>
                  <w:r>
                    <w:rPr>
                      <w:rFonts w:hint="eastAsia" w:ascii="Times New Roman" w:hAnsi="Times New Roman" w:eastAsia="宋体" w:cs="Times New Roman"/>
                      <w:color w:val="auto"/>
                      <w:highlight w:val="none"/>
                      <w:lang w:val="en-US" w:eastAsia="zh-CN"/>
                    </w:rPr>
                    <w:t>购买台账，</w:t>
                  </w:r>
                  <w:r>
                    <w:rPr>
                      <w:rFonts w:hint="default" w:ascii="Times New Roman" w:hAnsi="Times New Roman" w:eastAsia="宋体" w:cs="Times New Roman"/>
                      <w:color w:val="auto"/>
                      <w:highlight w:val="none"/>
                      <w:lang w:val="en-US" w:eastAsia="zh-CN"/>
                    </w:rPr>
                    <w:t>台账保存期限不少于3年</w:t>
                  </w:r>
                  <w:r>
                    <w:rPr>
                      <w:rFonts w:hint="eastAsia" w:ascii="Times New Roman" w:hAnsi="Times New Roman" w:eastAsia="宋体" w:cs="Times New Roman"/>
                      <w:color w:val="auto"/>
                      <w:highlight w:val="none"/>
                      <w:lang w:val="en-US" w:eastAsia="zh-CN"/>
                    </w:rPr>
                    <w:t>。</w:t>
                  </w:r>
                </w:p>
                <w:p w14:paraId="0B9F672F">
                  <w:pPr>
                    <w:keepNext w:val="0"/>
                    <w:keepLines w:val="0"/>
                    <w:pageBreakBefore w:val="0"/>
                    <w:widowControl/>
                    <w:numPr>
                      <w:ilvl w:val="0"/>
                      <w:numId w:val="0"/>
                    </w:numPr>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ascii="Times New Roman" w:hAnsi="Times New Roman" w:eastAsia="宋体" w:cs="Times New Roman"/>
                      <w:color w:val="auto"/>
                      <w:highlight w:val="none"/>
                      <w:lang w:val="en-US" w:eastAsia="zh-CN"/>
                    </w:rPr>
                    <w:t>项目VOCs物料为</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A</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PC</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T</w:t>
                  </w:r>
                  <w:r>
                    <w:rPr>
                      <w:rFonts w:hint="eastAsia" w:ascii="Times New Roman" w:hAnsi="Times New Roman" w:eastAsia="宋体" w:cs="Times New Roman"/>
                      <w:color w:val="auto"/>
                      <w:kern w:val="2"/>
                      <w:sz w:val="21"/>
                      <w:szCs w:val="21"/>
                      <w:highlight w:val="none"/>
                      <w:lang w:val="en-US" w:eastAsia="zh-CN" w:bidi="ar-SA"/>
                    </w:rPr>
                    <w:t>P</w:t>
                  </w:r>
                  <w:r>
                    <w:rPr>
                      <w:rFonts w:hint="eastAsia" w:cs="Times New Roman"/>
                      <w:color w:val="auto"/>
                      <w:kern w:val="2"/>
                      <w:sz w:val="21"/>
                      <w:szCs w:val="21"/>
                      <w:highlight w:val="none"/>
                      <w:lang w:val="en-US" w:eastAsia="zh-CN" w:bidi="ar-SA"/>
                    </w:rPr>
                    <w:t>U</w:t>
                  </w:r>
                  <w:r>
                    <w:rPr>
                      <w:rFonts w:hint="eastAsia" w:ascii="Times New Roman" w:hAnsi="Times New Roman" w:eastAsia="宋体" w:cs="Times New Roman"/>
                      <w:color w:val="auto"/>
                      <w:highlight w:val="none"/>
                      <w:lang w:val="en-US" w:eastAsia="zh-CN"/>
                    </w:rPr>
                    <w:t>塑料颗粒，在</w:t>
                  </w:r>
                  <w:r>
                    <w:rPr>
                      <w:rFonts w:hint="default" w:ascii="Times New Roman" w:hAnsi="Times New Roman" w:eastAsia="宋体" w:cs="Times New Roman"/>
                      <w:color w:val="auto"/>
                      <w:highlight w:val="none"/>
                      <w:lang w:val="en-US" w:eastAsia="zh-CN"/>
                    </w:rPr>
                    <w:t>退料过程废气</w:t>
                  </w:r>
                  <w:r>
                    <w:rPr>
                      <w:rFonts w:hint="eastAsia" w:ascii="Times New Roman" w:hAnsi="Times New Roman" w:eastAsia="宋体" w:cs="Times New Roman"/>
                      <w:color w:val="auto"/>
                      <w:highlight w:val="none"/>
                      <w:lang w:val="en-US" w:eastAsia="zh-CN"/>
                    </w:rPr>
                    <w:t>将</w:t>
                  </w:r>
                  <w:r>
                    <w:rPr>
                      <w:rFonts w:hint="default" w:ascii="Times New Roman" w:hAnsi="Times New Roman" w:eastAsia="宋体" w:cs="Times New Roman"/>
                      <w:color w:val="auto"/>
                      <w:highlight w:val="none"/>
                      <w:lang w:val="en-US" w:eastAsia="zh-CN"/>
                    </w:rPr>
                    <w:t>排至VOCs废气收集处理系统</w:t>
                  </w:r>
                  <w:r>
                    <w:rPr>
                      <w:rFonts w:hint="eastAsia" w:ascii="Times New Roman" w:hAnsi="Times New Roman" w:eastAsia="宋体" w:cs="Times New Roman"/>
                      <w:color w:val="auto"/>
                      <w:highlight w:val="none"/>
                      <w:lang w:val="en-US" w:eastAsia="zh-CN"/>
                    </w:rPr>
                    <w:t>；项目不涉及</w:t>
                  </w:r>
                  <w:r>
                    <w:rPr>
                      <w:rFonts w:hint="default" w:ascii="Times New Roman" w:hAnsi="Times New Roman" w:eastAsia="宋体" w:cs="Times New Roman"/>
                      <w:color w:val="auto"/>
                      <w:highlight w:val="none"/>
                      <w:lang w:val="en-US" w:eastAsia="zh-CN"/>
                    </w:rPr>
                    <w:t>清洗及吹扫过程</w:t>
                  </w:r>
                  <w:r>
                    <w:rPr>
                      <w:rFonts w:hint="eastAsia" w:ascii="Times New Roman" w:hAnsi="Times New Roman" w:eastAsia="宋体" w:cs="Times New Roman"/>
                      <w:color w:val="auto"/>
                      <w:highlight w:val="none"/>
                      <w:lang w:val="en-US" w:eastAsia="zh-CN"/>
                    </w:rPr>
                    <w:t>。</w:t>
                  </w:r>
                </w:p>
              </w:tc>
              <w:tc>
                <w:tcPr>
                  <w:tcW w:w="250" w:type="pct"/>
                  <w:tcBorders>
                    <w:tl2br w:val="nil"/>
                    <w:tr2bl w:val="nil"/>
                  </w:tcBorders>
                  <w:vAlign w:val="center"/>
                </w:tcPr>
                <w:p w14:paraId="338B3098">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r w14:paraId="15293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vMerge w:val="continue"/>
                  <w:vAlign w:val="center"/>
                </w:tcPr>
                <w:p w14:paraId="4CDB6A9F">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2425" w:type="pct"/>
                  <w:shd w:val="clear" w:color="auto" w:fill="auto"/>
                  <w:vAlign w:val="center"/>
                </w:tcPr>
                <w:p w14:paraId="15EE87F9">
                  <w:pPr>
                    <w:pStyle w:val="38"/>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10.1.2 VOCs废气收集处理系统应与生产工艺设备同步运行。VOCs 废气收集处理系统发生故障或检修时，对应的生产工艺设备应停止运行，待检修完毕后同步投入使用</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生产工艺设备不能停止运行或不能及时停止运行的，应设置废气应急处理设施或采取其他替代措施。</w:t>
                  </w:r>
                </w:p>
                <w:p w14:paraId="0B3E8E82">
                  <w:pPr>
                    <w:pStyle w:val="38"/>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10.2.1 企业应考虑生产工艺、操作方式、废气性质、处理方法等因素，对VOCs废气进行分类收集。</w:t>
                  </w:r>
                </w:p>
                <w:p w14:paraId="14C8F3B5">
                  <w:pPr>
                    <w:pStyle w:val="38"/>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10.4 记录要求</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企业应建立台账，记录废气收集系统、VOCs处理设施的主要运行和维护信息，如运行时间、废气处理量、操作温度、停留时间、吸附剂再生/更换周期和更换量、催化剂更换周期和更换量、吸收液pH值等关键运行参数。台账保存期限不少于3年。</w:t>
                  </w:r>
                </w:p>
              </w:tc>
              <w:tc>
                <w:tcPr>
                  <w:tcW w:w="1571" w:type="pct"/>
                  <w:vAlign w:val="center"/>
                </w:tcPr>
                <w:p w14:paraId="7B0F4229">
                  <w:pPr>
                    <w:pStyle w:val="38"/>
                    <w:jc w:val="both"/>
                    <w:rPr>
                      <w:rFonts w:hint="eastAsia"/>
                      <w:lang w:val="en-US" w:eastAsia="zh-CN"/>
                    </w:rPr>
                  </w:pP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废气收集处理系统</w:t>
                  </w:r>
                  <w:r>
                    <w:rPr>
                      <w:rFonts w:hint="eastAsia" w:ascii="Times New Roman" w:hAnsi="Times New Roman" w:eastAsia="宋体" w:cs="Times New Roman"/>
                      <w:color w:val="auto"/>
                      <w:highlight w:val="none"/>
                      <w:lang w:val="en-US" w:eastAsia="zh-CN"/>
                    </w:rPr>
                    <w:t>将</w:t>
                  </w:r>
                  <w:r>
                    <w:rPr>
                      <w:rFonts w:hint="default" w:ascii="Times New Roman" w:hAnsi="Times New Roman" w:eastAsia="宋体" w:cs="Times New Roman"/>
                      <w:color w:val="auto"/>
                      <w:highlight w:val="none"/>
                      <w:lang w:val="en-US" w:eastAsia="zh-CN"/>
                    </w:rPr>
                    <w:t>与生产工艺设备同步运行。VOCs废气收集处理系统发生故障或检修时，对应的生产工艺设备应停止运行，待检修完毕后同步投入使用</w:t>
                  </w:r>
                  <w:r>
                    <w:rPr>
                      <w:rFonts w:hint="eastAsia" w:ascii="Times New Roman" w:hAnsi="Times New Roman" w:eastAsia="宋体" w:cs="Times New Roman"/>
                      <w:color w:val="auto"/>
                      <w:highlight w:val="none"/>
                      <w:lang w:val="en-US" w:eastAsia="zh-CN"/>
                    </w:rPr>
                    <w:t>。项目有机废气拟收集后统一通过1套</w:t>
                  </w:r>
                  <w:r>
                    <w:rPr>
                      <w:rFonts w:hint="eastAsia" w:cs="Times New Roman"/>
                      <w:color w:val="auto"/>
                      <w:highlight w:val="none"/>
                      <w:lang w:val="en-US" w:eastAsia="zh-CN"/>
                    </w:rPr>
                    <w:t>二级</w:t>
                  </w:r>
                  <w:r>
                    <w:rPr>
                      <w:rFonts w:hint="eastAsia" w:ascii="Times New Roman" w:hAnsi="Times New Roman" w:eastAsia="宋体" w:cs="Times New Roman"/>
                      <w:color w:val="auto"/>
                      <w:highlight w:val="none"/>
                      <w:lang w:val="en-US" w:eastAsia="zh-CN"/>
                    </w:rPr>
                    <w:t>活性炭吸附装置处理后排放。项目将严格按照要求制定</w:t>
                  </w:r>
                  <w:r>
                    <w:rPr>
                      <w:rFonts w:hint="default" w:ascii="Times New Roman" w:hAnsi="Times New Roman" w:eastAsia="宋体" w:cs="Times New Roman"/>
                      <w:color w:val="auto"/>
                      <w:highlight w:val="none"/>
                      <w:lang w:val="en-US" w:eastAsia="zh-CN"/>
                    </w:rPr>
                    <w:t>废气收集系统、VOCs处理设施</w:t>
                  </w:r>
                  <w:r>
                    <w:rPr>
                      <w:rFonts w:hint="eastAsia" w:ascii="Times New Roman" w:hAnsi="Times New Roman" w:eastAsia="宋体" w:cs="Times New Roman"/>
                      <w:color w:val="auto"/>
                      <w:highlight w:val="none"/>
                      <w:lang w:val="en-US" w:eastAsia="zh-CN"/>
                    </w:rPr>
                    <w:t>运行台账，</w:t>
                  </w:r>
                  <w:r>
                    <w:rPr>
                      <w:rFonts w:hint="default" w:ascii="Times New Roman" w:hAnsi="Times New Roman" w:eastAsia="宋体" w:cs="Times New Roman"/>
                      <w:color w:val="auto"/>
                      <w:highlight w:val="none"/>
                      <w:lang w:val="en-US" w:eastAsia="zh-CN"/>
                    </w:rPr>
                    <w:t>台账保存期限不少于3年</w:t>
                  </w:r>
                  <w:r>
                    <w:rPr>
                      <w:rFonts w:hint="eastAsia" w:ascii="Times New Roman" w:hAnsi="Times New Roman" w:eastAsia="宋体" w:cs="Times New Roman"/>
                      <w:color w:val="auto"/>
                      <w:highlight w:val="none"/>
                      <w:lang w:val="en-US" w:eastAsia="zh-CN"/>
                    </w:rPr>
                    <w:t>。</w:t>
                  </w:r>
                </w:p>
              </w:tc>
              <w:tc>
                <w:tcPr>
                  <w:tcW w:w="250" w:type="pct"/>
                  <w:vAlign w:val="center"/>
                </w:tcPr>
                <w:p w14:paraId="04DF0C1E">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符合</w:t>
                  </w:r>
                </w:p>
              </w:tc>
            </w:tr>
          </w:tbl>
          <w:p w14:paraId="6E256190">
            <w:pPr>
              <w:spacing w:line="360" w:lineRule="auto"/>
              <w:ind w:firstLine="480" w:firstLineChars="200"/>
              <w:jc w:val="left"/>
              <w:rPr>
                <w:rFonts w:hint="eastAsia"/>
                <w:vertAlign w:val="baseline"/>
                <w:lang w:eastAsia="zh-CN"/>
              </w:rPr>
            </w:pPr>
            <w:r>
              <w:rPr>
                <w:rFonts w:hint="eastAsia" w:ascii="Times New Roman" w:hAnsi="Times New Roman" w:eastAsia="宋体" w:cs="Times New Roman"/>
                <w:kern w:val="2"/>
                <w:sz w:val="24"/>
                <w:szCs w:val="24"/>
                <w:lang w:val="en-US" w:eastAsia="zh-CN" w:bidi="ar"/>
              </w:rPr>
              <w:t>根据以上分析，项目产生挥发性有机物可以得到有效</w:t>
            </w:r>
            <w:r>
              <w:rPr>
                <w:rFonts w:hint="eastAsia" w:cs="Times New Roman"/>
                <w:kern w:val="2"/>
                <w:sz w:val="24"/>
                <w:szCs w:val="24"/>
                <w:lang w:val="en-US" w:eastAsia="zh-CN" w:bidi="ar"/>
              </w:rPr>
              <w:t>地</w:t>
            </w:r>
            <w:r>
              <w:rPr>
                <w:rFonts w:hint="eastAsia" w:ascii="Times New Roman" w:hAnsi="Times New Roman" w:eastAsia="宋体" w:cs="Times New Roman"/>
                <w:kern w:val="2"/>
                <w:sz w:val="24"/>
                <w:szCs w:val="24"/>
                <w:lang w:val="en-US" w:eastAsia="zh-CN" w:bidi="ar"/>
              </w:rPr>
              <w:t>控制，采取有效治理措施后，符合挥发性有机物污染防治相关政策的要求。</w:t>
            </w:r>
          </w:p>
        </w:tc>
      </w:tr>
    </w:tbl>
    <w:p w14:paraId="20BC26DB">
      <w:pPr>
        <w:rPr>
          <w:rFonts w:hint="eastAsia"/>
          <w:lang w:eastAsia="zh-CN"/>
        </w:rPr>
      </w:pPr>
      <w:r>
        <w:rPr>
          <w:rFonts w:hint="eastAsia"/>
          <w:lang w:eastAsia="zh-CN"/>
        </w:rPr>
        <w:br w:type="page"/>
      </w:r>
    </w:p>
    <w:p w14:paraId="315B59CA">
      <w:pPr>
        <w:pStyle w:val="2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u w:val="none"/>
          <w:lang w:val="en-US" w:eastAsia="zh-CN"/>
        </w:rPr>
      </w:pPr>
      <w:bookmarkStart w:id="16" w:name="_Toc30522"/>
      <w:r>
        <w:rPr>
          <w:rFonts w:hint="default" w:ascii="Times New Roman" w:hAnsi="Times New Roman" w:eastAsia="黑体" w:cs="Times New Roman"/>
          <w:snapToGrid w:val="0"/>
          <w:color w:val="auto"/>
          <w:sz w:val="30"/>
          <w:szCs w:val="30"/>
          <w:u w:val="none"/>
          <w:lang w:val="en-US" w:eastAsia="zh-CN"/>
        </w:rPr>
        <w:t>二、建设项目工程分析</w:t>
      </w:r>
      <w:bookmarkEnd w:id="16"/>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835"/>
      </w:tblGrid>
      <w:tr w14:paraId="0F811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4" w:hRule="atLeast"/>
        </w:trPr>
        <w:tc>
          <w:tcPr>
            <w:tcW w:w="244" w:type="pct"/>
            <w:vAlign w:val="center"/>
          </w:tcPr>
          <w:p w14:paraId="098DB3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vertAlign w:val="baseline"/>
                <w:lang w:val="en-US" w:eastAsia="zh-CN"/>
              </w:rPr>
              <w:t>建设内容</w:t>
            </w:r>
          </w:p>
        </w:tc>
        <w:tc>
          <w:tcPr>
            <w:tcW w:w="4755" w:type="pct"/>
            <w:vAlign w:val="center"/>
          </w:tcPr>
          <w:p w14:paraId="5FF44F1B">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8"/>
                <w:szCs w:val="28"/>
                <w:u w:val="none"/>
                <w:lang w:val="en-US" w:eastAsia="zh-CN"/>
              </w:rPr>
            </w:pPr>
            <w:bookmarkStart w:id="17" w:name="_Toc19270"/>
            <w:bookmarkStart w:id="18" w:name="_Toc17663"/>
            <w:bookmarkStart w:id="19" w:name="_Toc9428"/>
            <w:bookmarkStart w:id="20" w:name="_Toc2247"/>
            <w:r>
              <w:rPr>
                <w:rFonts w:hint="default" w:ascii="Times New Roman" w:hAnsi="Times New Roman" w:eastAsia="宋体" w:cs="Times New Roman"/>
                <w:color w:val="auto"/>
                <w:sz w:val="28"/>
                <w:szCs w:val="28"/>
                <w:u w:val="none"/>
                <w:lang w:val="en-US" w:eastAsia="zh-CN"/>
              </w:rPr>
              <w:t>2.1 项目由来</w:t>
            </w:r>
            <w:bookmarkEnd w:id="17"/>
            <w:bookmarkEnd w:id="18"/>
            <w:bookmarkEnd w:id="19"/>
            <w:bookmarkEnd w:id="20"/>
          </w:p>
          <w:p w14:paraId="0DB160E8">
            <w:pPr>
              <w:pStyle w:val="8"/>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福州市闽侯振兴炜业机械有限公司2012年8月28日，注册地位于福建省福州市闽侯县青口镇宏四村。</w:t>
            </w:r>
            <w:r>
              <w:rPr>
                <w:rFonts w:hint="eastAsia" w:ascii="Times New Roman" w:hAnsi="Times New Roman" w:eastAsia="宋体" w:cs="Times New Roman"/>
                <w:color w:val="auto"/>
                <w:sz w:val="24"/>
                <w:szCs w:val="24"/>
                <w:highlight w:val="none"/>
                <w:u w:val="none"/>
                <w:lang w:val="en-US" w:eastAsia="zh-CN"/>
              </w:rPr>
              <w:t>主要从事模具、治具、检具的设计、制作与加工，以及料架、机械设备、冲压件、台车、五金制品的生产与销售，并兼营机械设备及配件、电器、金属材料的批发与代购代销业等业务。统一社会信用代码为91350121052327451E</w:t>
            </w:r>
            <w:r>
              <w:rPr>
                <w:rFonts w:hint="default" w:ascii="Times New Roman" w:hAnsi="Times New Roman" w:eastAsia="宋体" w:cs="Times New Roman"/>
                <w:color w:val="auto"/>
                <w:sz w:val="24"/>
                <w:szCs w:val="24"/>
                <w:highlight w:val="none"/>
                <w:u w:val="none"/>
                <w:lang w:eastAsia="zh-CN"/>
              </w:rPr>
              <w:t>，</w:t>
            </w:r>
            <w:r>
              <w:rPr>
                <w:rFonts w:hint="eastAsia" w:cs="Times New Roman"/>
                <w:color w:val="auto"/>
                <w:sz w:val="24"/>
                <w:szCs w:val="24"/>
                <w:highlight w:val="none"/>
                <w:u w:val="none"/>
                <w:lang w:val="en-US" w:eastAsia="zh-CN"/>
              </w:rPr>
              <w:t>法定代表人为包**</w:t>
            </w:r>
            <w:r>
              <w:rPr>
                <w:rFonts w:hint="eastAsia" w:ascii="Times New Roman" w:hAnsi="Times New Roman" w:eastAsia="宋体"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rPr>
              <w:t>营业执照</w:t>
            </w:r>
            <w:r>
              <w:rPr>
                <w:rFonts w:hint="eastAsia" w:cs="Times New Roman"/>
                <w:color w:val="auto"/>
                <w:sz w:val="24"/>
                <w:szCs w:val="24"/>
                <w:highlight w:val="none"/>
                <w:u w:val="none"/>
                <w:lang w:val="en-US" w:eastAsia="zh-CN"/>
              </w:rPr>
              <w:t>详见</w:t>
            </w:r>
            <w:r>
              <w:rPr>
                <w:rFonts w:hint="eastAsia" w:cs="Times New Roman"/>
                <w:b/>
                <w:bCs/>
                <w:color w:val="auto"/>
                <w:sz w:val="24"/>
                <w:szCs w:val="24"/>
                <w:highlight w:val="none"/>
                <w:u w:val="none"/>
                <w:lang w:val="en-US" w:eastAsia="zh-CN"/>
              </w:rPr>
              <w:t>附件二</w:t>
            </w:r>
            <w:r>
              <w:rPr>
                <w:rFonts w:hint="eastAsia" w:ascii="Times New Roman" w:hAnsi="Times New Roman" w:cs="Times New Roman"/>
                <w:color w:val="auto"/>
                <w:sz w:val="24"/>
                <w:szCs w:val="24"/>
                <w:highlight w:val="none"/>
                <w:u w:val="none"/>
                <w:lang w:eastAsia="zh-CN"/>
              </w:rPr>
              <w:t>及</w:t>
            </w:r>
            <w:r>
              <w:rPr>
                <w:rFonts w:hint="default" w:ascii="Times New Roman" w:hAnsi="Times New Roman" w:cs="Times New Roman"/>
                <w:color w:val="auto"/>
                <w:sz w:val="24"/>
                <w:szCs w:val="24"/>
                <w:highlight w:val="none"/>
                <w:u w:val="none"/>
              </w:rPr>
              <w:t>法人身份证</w:t>
            </w:r>
            <w:r>
              <w:rPr>
                <w:rFonts w:hint="eastAsia" w:ascii="Times New Roman" w:hAnsi="Times New Roman" w:cs="Times New Roman"/>
                <w:color w:val="auto"/>
                <w:sz w:val="24"/>
                <w:szCs w:val="24"/>
                <w:highlight w:val="none"/>
                <w:u w:val="none"/>
                <w:lang w:eastAsia="zh-CN"/>
              </w:rPr>
              <w:t>复印件</w:t>
            </w:r>
            <w:r>
              <w:rPr>
                <w:rFonts w:hint="default" w:ascii="Times New Roman" w:hAnsi="Times New Roman" w:cs="Times New Roman"/>
                <w:b w:val="0"/>
                <w:bCs w:val="0"/>
                <w:color w:val="auto"/>
                <w:sz w:val="24"/>
                <w:szCs w:val="24"/>
                <w:highlight w:val="none"/>
                <w:u w:val="none"/>
              </w:rPr>
              <w:t>见</w:t>
            </w:r>
            <w:r>
              <w:rPr>
                <w:rFonts w:hint="default" w:ascii="Times New Roman" w:hAnsi="Times New Roman" w:cs="Times New Roman"/>
                <w:b/>
                <w:bCs/>
                <w:color w:val="auto"/>
                <w:sz w:val="24"/>
                <w:szCs w:val="24"/>
                <w:highlight w:val="none"/>
                <w:u w:val="none"/>
              </w:rPr>
              <w:t>附件</w:t>
            </w:r>
            <w:r>
              <w:rPr>
                <w:rFonts w:hint="eastAsia" w:cs="Times New Roman"/>
                <w:b/>
                <w:bCs/>
                <w:color w:val="auto"/>
                <w:sz w:val="24"/>
                <w:szCs w:val="24"/>
                <w:highlight w:val="none"/>
                <w:u w:val="none"/>
                <w:lang w:val="en-US" w:eastAsia="zh-CN"/>
              </w:rPr>
              <w:t>三</w:t>
            </w:r>
            <w:r>
              <w:rPr>
                <w:rFonts w:hint="eastAsia" w:ascii="Times New Roman" w:hAnsi="Times New Roman" w:cs="Times New Roman"/>
                <w:b w:val="0"/>
                <w:bCs w:val="0"/>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lang w:eastAsia="zh-CN"/>
              </w:rPr>
              <w:t>。</w:t>
            </w:r>
          </w:p>
          <w:p w14:paraId="26456DFF">
            <w:pPr>
              <w:pStyle w:val="8"/>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lang w:val="en-US" w:eastAsia="zh-CN"/>
              </w:rPr>
              <w:t>项目拟投资</w:t>
            </w:r>
            <w:r>
              <w:rPr>
                <w:rFonts w:hint="eastAsia" w:cs="Times New Roman"/>
                <w:color w:val="auto"/>
                <w:sz w:val="24"/>
                <w:szCs w:val="24"/>
                <w:highlight w:val="none"/>
                <w:u w:val="none"/>
                <w:lang w:val="en-US" w:eastAsia="zh-CN"/>
              </w:rPr>
              <w:t>1500</w:t>
            </w:r>
            <w:r>
              <w:rPr>
                <w:rFonts w:hint="eastAsia" w:ascii="Times New Roman" w:hAnsi="Times New Roman" w:eastAsia="宋体" w:cs="Times New Roman"/>
                <w:color w:val="auto"/>
                <w:sz w:val="24"/>
                <w:szCs w:val="24"/>
                <w:highlight w:val="none"/>
                <w:u w:val="none"/>
                <w:lang w:val="en-US" w:eastAsia="zh-CN"/>
              </w:rPr>
              <w:t>万元，选址位于福建省福州市福清市阳下街道上亭村</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购置福清市阳下街道均和云谷·福清科技港39号厂房）作为生产经营场所，厂房面积4188.94平方米，属于其他电子元件制造，计划年加工工业连接器300万件、6KV以下工业线缆200万件，购置注塑机、破碎机等相关设备，建设1条工业连接器</w:t>
            </w:r>
            <w:r>
              <w:rPr>
                <w:rFonts w:hint="eastAsia" w:ascii="Times New Roman" w:hAnsi="Times New Roman" w:eastAsia="宋体" w:cs="Times New Roman"/>
                <w:color w:val="auto"/>
                <w:sz w:val="24"/>
                <w:szCs w:val="24"/>
                <w:highlight w:val="none"/>
                <w:u w:val="none"/>
                <w:lang w:val="en-US" w:eastAsia="zh-CN"/>
              </w:rPr>
              <w:t>制造生产线</w:t>
            </w:r>
            <w:r>
              <w:rPr>
                <w:rFonts w:hint="eastAsia" w:cs="Times New Roman"/>
                <w:color w:val="auto"/>
                <w:sz w:val="24"/>
                <w:szCs w:val="24"/>
                <w:highlight w:val="none"/>
                <w:u w:val="none"/>
                <w:lang w:val="en-US" w:eastAsia="zh-CN"/>
              </w:rPr>
              <w:t>和1条工业线缆</w:t>
            </w:r>
            <w:r>
              <w:rPr>
                <w:rFonts w:hint="eastAsia" w:ascii="Times New Roman" w:hAnsi="Times New Roman" w:eastAsia="宋体" w:cs="Times New Roman"/>
                <w:color w:val="auto"/>
                <w:sz w:val="24"/>
                <w:szCs w:val="24"/>
                <w:highlight w:val="none"/>
                <w:u w:val="none"/>
                <w:lang w:val="en-US" w:eastAsia="zh-CN"/>
              </w:rPr>
              <w:t>制造生产线</w:t>
            </w:r>
            <w:r>
              <w:rPr>
                <w:rFonts w:hint="eastAsia" w:cs="Times New Roman"/>
                <w:color w:val="auto"/>
                <w:sz w:val="24"/>
                <w:szCs w:val="24"/>
                <w:highlight w:val="none"/>
                <w:u w:val="none"/>
                <w:lang w:val="en-US" w:eastAsia="zh-CN"/>
              </w:rPr>
              <w:t>。该项目于2025年9月</w:t>
            </w:r>
            <w:r>
              <w:rPr>
                <w:rFonts w:hint="eastAsia" w:ascii="Times New Roman" w:hAnsi="Times New Roman" w:eastAsia="宋体" w:cs="Times New Roman"/>
                <w:color w:val="auto"/>
                <w:sz w:val="24"/>
                <w:szCs w:val="24"/>
                <w:u w:val="none"/>
                <w:lang w:val="en-US" w:eastAsia="zh-CN"/>
              </w:rPr>
              <w:t>18日通过了福清市发展和改革局的备案（闽发改备[2025]A060387号，</w:t>
            </w:r>
            <w:r>
              <w:rPr>
                <w:rFonts w:hint="eastAsia"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详见</w:t>
            </w:r>
            <w:r>
              <w:rPr>
                <w:rFonts w:hint="eastAsia" w:ascii="Times New Roman" w:hAnsi="Times New Roman" w:eastAsia="宋体" w:cs="Times New Roman"/>
                <w:b/>
                <w:bCs/>
                <w:color w:val="auto"/>
                <w:sz w:val="24"/>
                <w:szCs w:val="24"/>
                <w:highlight w:val="none"/>
                <w:u w:val="none"/>
                <w:lang w:val="en-US" w:eastAsia="zh-CN"/>
              </w:rPr>
              <w:t>附件</w:t>
            </w:r>
            <w:r>
              <w:rPr>
                <w:rFonts w:hint="eastAsia" w:cs="Times New Roman"/>
                <w:b/>
                <w:bCs/>
                <w:color w:val="auto"/>
                <w:sz w:val="24"/>
                <w:szCs w:val="24"/>
                <w:highlight w:val="none"/>
                <w:u w:val="none"/>
                <w:lang w:val="en-US" w:eastAsia="zh-CN"/>
              </w:rPr>
              <w:t>四</w:t>
            </w:r>
            <w:r>
              <w:rPr>
                <w:rFonts w:hint="eastAsia" w:ascii="Times New Roman" w:hAnsi="Times New Roman" w:eastAsia="宋体" w:cs="Times New Roman"/>
                <w:color w:val="auto"/>
                <w:sz w:val="24"/>
                <w:szCs w:val="24"/>
                <w:highlight w:val="none"/>
                <w:u w:val="none"/>
                <w:lang w:val="en-US" w:eastAsia="zh-CN"/>
              </w:rPr>
              <w:t>）。</w:t>
            </w:r>
          </w:p>
          <w:p w14:paraId="36EC3815">
            <w:pPr>
              <w:pStyle w:val="8"/>
              <w:spacing w:line="360" w:lineRule="auto"/>
              <w:ind w:firstLine="480" w:firstLineChars="200"/>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sz w:val="24"/>
                <w:szCs w:val="24"/>
                <w:u w:val="none"/>
                <w:lang w:val="en-US" w:eastAsia="zh-CN"/>
              </w:rPr>
              <w:t>根据《中华人民共和国环境保护法》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2015年</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、《中华人民共和国环境影响评价法》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2018年修正</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、《建设项目环境保护管理条例》</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2017年</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的相关规定，项目需要办理环境影响评价手续；根据《建设项目环境影响评价分类管理名录》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2021年版</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规定，</w:t>
            </w:r>
            <w:r>
              <w:rPr>
                <w:rFonts w:hint="eastAsia" w:ascii="Times New Roman" w:hAnsi="Times New Roman" w:eastAsia="宋体" w:cs="Times New Roman"/>
                <w:color w:val="auto"/>
                <w:sz w:val="24"/>
                <w:szCs w:val="24"/>
                <w:u w:val="none"/>
                <w:lang w:val="en-US" w:eastAsia="zh-CN"/>
              </w:rPr>
              <w:t>本项目属《建设项目分类管理名录（2021年本）》中“三十六、计算机、通信和其他电子设备制造业39——电子元件及电子专用材料制造398</w:t>
            </w:r>
            <w:r>
              <w:rPr>
                <w:rFonts w:hint="eastAsia" w:ascii="Times New Roman" w:hAnsi="Times New Roman" w:eastAsia="宋体" w:cs="Times New Roman"/>
                <w:color w:val="auto"/>
                <w:sz w:val="24"/>
                <w:szCs w:val="24"/>
                <w:u w:val="none"/>
                <w:lang w:val="en-US" w:eastAsia="zh-CN"/>
              </w:rPr>
              <w:br w:type="textWrapping"/>
            </w:r>
            <w:r>
              <w:rPr>
                <w:rFonts w:hint="eastAsia" w:ascii="Times New Roman" w:hAnsi="Times New Roman" w:eastAsia="宋体" w:cs="Times New Roman"/>
                <w:color w:val="auto"/>
                <w:sz w:val="24"/>
                <w:szCs w:val="24"/>
                <w:u w:val="none"/>
                <w:lang w:val="en-US" w:eastAsia="zh-CN"/>
              </w:rPr>
              <w:t>三十五、电气机械和器材制造业38——电线、电缆、光缆及电工器材制造383</w:t>
            </w:r>
            <w:r>
              <w:rPr>
                <w:rFonts w:hint="eastAsia" w:cs="Times New Roman"/>
                <w:color w:val="auto"/>
                <w:sz w:val="24"/>
                <w:szCs w:val="24"/>
                <w:u w:val="none"/>
                <w:lang w:val="en-US" w:eastAsia="zh-CN"/>
              </w:rPr>
              <w:t>;</w:t>
            </w:r>
            <w:r>
              <w:rPr>
                <w:rFonts w:hint="eastAsia" w:ascii="Times New Roman" w:hAnsi="Times New Roman" w:eastAsia="宋体" w:cs="Times New Roman"/>
                <w:color w:val="auto"/>
                <w:sz w:val="24"/>
                <w:szCs w:val="24"/>
                <w:u w:val="none"/>
                <w:lang w:val="en-US" w:eastAsia="zh-CN"/>
              </w:rPr>
              <w:t>二十六、橡胶和塑料制品业 29</w:t>
            </w:r>
            <w:r>
              <w:rPr>
                <w:rFonts w:hint="eastAsia" w:cs="Times New Roman"/>
                <w:color w:val="auto"/>
                <w:sz w:val="24"/>
                <w:szCs w:val="24"/>
                <w:u w:val="none"/>
                <w:lang w:val="en-US" w:eastAsia="zh-CN"/>
              </w:rPr>
              <w:t xml:space="preserve"> </w:t>
            </w:r>
            <w:r>
              <w:rPr>
                <w:rFonts w:hint="eastAsia" w:ascii="Times New Roman" w:hAnsi="Times New Roman" w:eastAsia="宋体" w:cs="Times New Roman"/>
                <w:color w:val="auto"/>
                <w:sz w:val="24"/>
                <w:szCs w:val="24"/>
                <w:u w:val="none"/>
                <w:lang w:val="en-US" w:eastAsia="zh-CN"/>
              </w:rPr>
              <w:t>53 塑料制品业 292”</w:t>
            </w:r>
            <w:r>
              <w:rPr>
                <w:rFonts w:hint="default" w:ascii="Times New Roman" w:hAnsi="Times New Roman" w:eastAsia="宋体" w:cs="Times New Roman"/>
                <w:color w:val="auto"/>
                <w:sz w:val="24"/>
                <w:szCs w:val="24"/>
                <w:highlight w:val="none"/>
                <w:u w:val="none"/>
              </w:rPr>
              <w:t>本项目环评类别为环境影响报告表，详见表2-1。</w:t>
            </w:r>
            <w:r>
              <w:rPr>
                <w:rFonts w:hint="default" w:ascii="Times New Roman" w:hAnsi="Times New Roman" w:eastAsia="宋体" w:cs="Times New Roman"/>
                <w:color w:val="auto"/>
                <w:sz w:val="24"/>
                <w:szCs w:val="24"/>
                <w:highlight w:val="none"/>
                <w:u w:val="none"/>
                <w:lang w:eastAsia="zh-CN"/>
              </w:rPr>
              <w:t>为此，</w:t>
            </w:r>
            <w:r>
              <w:rPr>
                <w:rFonts w:hint="eastAsia" w:ascii="Times New Roman" w:hAnsi="Times New Roman" w:eastAsia="宋体" w:cs="Times New Roman"/>
                <w:color w:val="auto"/>
                <w:sz w:val="24"/>
                <w:szCs w:val="24"/>
                <w:u w:val="none"/>
                <w:lang w:eastAsia="zh-CN"/>
              </w:rPr>
              <w:t>该公司于</w:t>
            </w:r>
            <w:r>
              <w:rPr>
                <w:rFonts w:hint="eastAsia" w:ascii="Times New Roman" w:hAnsi="Times New Roman" w:eastAsia="宋体" w:cs="Times New Roman"/>
                <w:color w:val="auto"/>
                <w:sz w:val="24"/>
                <w:szCs w:val="24"/>
                <w:u w:val="none"/>
                <w:lang w:val="en-US" w:eastAsia="zh-CN"/>
              </w:rPr>
              <w:t>2025</w:t>
            </w:r>
            <w:r>
              <w:rPr>
                <w:rFonts w:hint="eastAsia" w:ascii="Times New Roman" w:hAnsi="Times New Roman" w:eastAsia="宋体" w:cs="Times New Roman"/>
                <w:color w:val="auto"/>
                <w:sz w:val="24"/>
                <w:szCs w:val="24"/>
                <w:u w:val="none"/>
                <w:lang w:eastAsia="zh-CN"/>
              </w:rPr>
              <w:t>年</w:t>
            </w:r>
            <w:r>
              <w:rPr>
                <w:rFonts w:hint="eastAsia" w:cs="Times New Roman"/>
                <w:color w:val="auto"/>
                <w:sz w:val="24"/>
                <w:szCs w:val="24"/>
                <w:u w:val="none"/>
                <w:lang w:val="en-US" w:eastAsia="zh-CN"/>
              </w:rPr>
              <w:t>10</w:t>
            </w:r>
            <w:r>
              <w:rPr>
                <w:rFonts w:hint="eastAsia" w:ascii="Times New Roman" w:hAnsi="Times New Roman" w:eastAsia="宋体" w:cs="Times New Roman"/>
                <w:color w:val="auto"/>
                <w:sz w:val="24"/>
                <w:szCs w:val="24"/>
                <w:u w:val="none"/>
                <w:lang w:eastAsia="zh-CN"/>
              </w:rPr>
              <w:t>月委托</w:t>
            </w:r>
            <w:r>
              <w:rPr>
                <w:rFonts w:hint="eastAsia" w:cs="Times New Roman"/>
                <w:color w:val="auto"/>
                <w:sz w:val="24"/>
                <w:szCs w:val="24"/>
                <w:u w:val="none"/>
                <w:lang w:val="en-US" w:eastAsia="zh-CN"/>
              </w:rPr>
              <w:t>福州朴诚至信</w:t>
            </w:r>
            <w:r>
              <w:rPr>
                <w:rFonts w:hint="eastAsia" w:ascii="Times New Roman" w:hAnsi="Times New Roman" w:eastAsia="宋体" w:cs="Times New Roman"/>
                <w:color w:val="auto"/>
                <w:sz w:val="24"/>
                <w:szCs w:val="24"/>
                <w:highlight w:val="none"/>
                <w:u w:val="none"/>
                <w:lang w:eastAsia="zh-CN"/>
              </w:rPr>
              <w:t>环保科技</w:t>
            </w:r>
            <w:r>
              <w:rPr>
                <w:rFonts w:hint="eastAsia" w:ascii="Times New Roman" w:hAnsi="Times New Roman" w:eastAsia="宋体" w:cs="Times New Roman"/>
                <w:color w:val="auto"/>
                <w:sz w:val="24"/>
                <w:szCs w:val="24"/>
                <w:highlight w:val="none"/>
                <w:u w:val="none"/>
                <w:lang w:val="en-US" w:eastAsia="zh-CN"/>
              </w:rPr>
              <w:t>有限公司</w:t>
            </w:r>
            <w:r>
              <w:rPr>
                <w:rFonts w:hint="eastAsia" w:ascii="Times New Roman" w:hAnsi="Times New Roman" w:eastAsia="宋体" w:cs="Times New Roman"/>
                <w:color w:val="auto"/>
                <w:sz w:val="24"/>
                <w:szCs w:val="24"/>
                <w:u w:val="none"/>
                <w:lang w:eastAsia="zh-CN"/>
              </w:rPr>
              <w:t>编制《</w:t>
            </w:r>
            <w:r>
              <w:rPr>
                <w:rFonts w:hint="eastAsia" w:cs="Times New Roman"/>
                <w:color w:val="auto"/>
                <w:sz w:val="24"/>
                <w:szCs w:val="24"/>
                <w:u w:val="none"/>
                <w:lang w:eastAsia="zh-CN"/>
              </w:rPr>
              <w:t>福州市闽侯振兴炜业机械有限公司年加工工业连接器300万件、6KV以下工业线缆200万件</w:t>
            </w:r>
            <w:r>
              <w:rPr>
                <w:rFonts w:hint="eastAsia" w:ascii="Times New Roman" w:hAnsi="Times New Roman" w:eastAsia="宋体" w:cs="Times New Roman"/>
                <w:color w:val="auto"/>
                <w:sz w:val="24"/>
                <w:szCs w:val="24"/>
                <w:u w:val="none"/>
                <w:lang w:eastAsia="zh-CN"/>
              </w:rPr>
              <w:t>环境影响报告表》</w:t>
            </w:r>
            <w:r>
              <w:rPr>
                <w:rFonts w:hint="eastAsia"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b w:val="0"/>
                <w:bCs w:val="0"/>
                <w:color w:val="auto"/>
                <w:sz w:val="24"/>
                <w:szCs w:val="24"/>
                <w:highlight w:val="none"/>
                <w:u w:val="none"/>
              </w:rPr>
              <w:t>委托书详见</w:t>
            </w:r>
            <w:r>
              <w:rPr>
                <w:rFonts w:hint="default" w:ascii="Times New Roman" w:hAnsi="Times New Roman" w:eastAsia="宋体" w:cs="Times New Roman"/>
                <w:b/>
                <w:bCs/>
                <w:color w:val="auto"/>
                <w:sz w:val="24"/>
                <w:szCs w:val="24"/>
                <w:highlight w:val="none"/>
                <w:u w:val="none"/>
              </w:rPr>
              <w:t>附件一</w:t>
            </w:r>
            <w:r>
              <w:rPr>
                <w:rFonts w:hint="eastAsia" w:ascii="Times New Roman" w:hAnsi="Times New Roman" w:eastAsia="宋体" w:cs="Times New Roman"/>
                <w:b w:val="0"/>
                <w:bCs w:val="0"/>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。本环评单位接受委托后，立即派技术人员踏勘现场和收集有关资料，</w:t>
            </w:r>
            <w:r>
              <w:rPr>
                <w:rFonts w:hint="default" w:ascii="Times New Roman" w:hAnsi="Times New Roman" w:eastAsia="宋体" w:cs="Times New Roman"/>
                <w:color w:val="auto"/>
                <w:sz w:val="24"/>
                <w:szCs w:val="24"/>
                <w:u w:val="none"/>
              </w:rPr>
              <w:t>按照</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rPr>
              <w:t>建设项目环境影响报告表编制技术指南</w:t>
            </w:r>
            <w:r>
              <w:rPr>
                <w:rFonts w:hint="eastAsia" w:cs="Times New Roman"/>
                <w:color w:val="auto"/>
                <w:sz w:val="24"/>
                <w:szCs w:val="24"/>
                <w:u w:val="none"/>
                <w:lang w:eastAsia="zh-CN"/>
              </w:rPr>
              <w:t>（</w:t>
            </w:r>
            <w:r>
              <w:rPr>
                <w:rFonts w:hint="eastAsia" w:ascii="Times New Roman" w:hAnsi="Times New Roman" w:eastAsia="宋体" w:cs="Times New Roman"/>
                <w:color w:val="auto"/>
                <w:sz w:val="24"/>
                <w:szCs w:val="24"/>
                <w:u w:val="none"/>
              </w:rPr>
              <w:t>污染影响类</w:t>
            </w:r>
            <w:r>
              <w:rPr>
                <w:rFonts w:hint="eastAsia" w:cs="Times New Roman"/>
                <w:color w:val="auto"/>
                <w:sz w:val="24"/>
                <w:szCs w:val="24"/>
                <w:u w:val="none"/>
                <w:lang w:eastAsia="zh-CN"/>
              </w:rPr>
              <w:t>）（试行）》</w:t>
            </w:r>
            <w:r>
              <w:rPr>
                <w:rFonts w:hint="default" w:ascii="Times New Roman" w:hAnsi="Times New Roman" w:eastAsia="宋体" w:cs="Times New Roman"/>
                <w:color w:val="auto"/>
                <w:sz w:val="24"/>
                <w:szCs w:val="24"/>
                <w:u w:val="none"/>
              </w:rPr>
              <w:t>及相关技术规范要求，</w:t>
            </w:r>
            <w:r>
              <w:rPr>
                <w:rFonts w:hint="default" w:ascii="Times New Roman" w:hAnsi="Times New Roman" w:eastAsia="宋体" w:cs="Times New Roman"/>
                <w:color w:val="auto"/>
                <w:kern w:val="0"/>
                <w:sz w:val="24"/>
                <w:szCs w:val="24"/>
                <w:highlight w:val="none"/>
                <w:u w:val="none"/>
              </w:rPr>
              <w:t>编制了本环境影响报告表，供建设单位上报</w:t>
            </w:r>
            <w:r>
              <w:rPr>
                <w:rFonts w:hint="default" w:ascii="Times New Roman" w:hAnsi="Times New Roman" w:eastAsia="宋体" w:cs="Times New Roman"/>
                <w:color w:val="auto"/>
                <w:kern w:val="0"/>
                <w:sz w:val="24"/>
                <w:szCs w:val="24"/>
                <w:highlight w:val="none"/>
                <w:u w:val="none"/>
                <w:lang w:eastAsia="zh-CN"/>
              </w:rPr>
              <w:t>生态环境行政主管部门</w:t>
            </w:r>
            <w:r>
              <w:rPr>
                <w:rFonts w:hint="default" w:ascii="Times New Roman" w:hAnsi="Times New Roman" w:eastAsia="宋体" w:cs="Times New Roman"/>
                <w:color w:val="auto"/>
                <w:kern w:val="0"/>
                <w:sz w:val="24"/>
                <w:szCs w:val="24"/>
                <w:highlight w:val="none"/>
                <w:u w:val="none"/>
              </w:rPr>
              <w:t>审批。</w:t>
            </w:r>
          </w:p>
          <w:p w14:paraId="6A8DF5BC">
            <w:pPr>
              <w:rPr>
                <w:rFonts w:hint="default"/>
                <w:lang w:val="en-US" w:eastAsia="zh-CN"/>
              </w:rPr>
            </w:pPr>
          </w:p>
          <w:p w14:paraId="4E45BC49">
            <w:pPr>
              <w:keepNext w:val="0"/>
              <w:keepLines w:val="0"/>
              <w:pageBreakBefore w:val="0"/>
              <w:widowControl w:val="0"/>
              <w:kinsoku/>
              <w:wordWrap/>
              <w:overflowPunct/>
              <w:topLinePunct w:val="0"/>
              <w:autoSpaceDE/>
              <w:autoSpaceDN/>
              <w:bidi w:val="0"/>
              <w:adjustRightInd w:val="0"/>
              <w:snapToGrid w:val="0"/>
              <w:spacing w:before="160" w:beforeLines="50"/>
              <w:jc w:val="center"/>
              <w:textAlignment w:val="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表2.1-1 建设项目环境影响评价分类管理名录（摘录）</w:t>
            </w:r>
          </w:p>
          <w:tbl>
            <w:tblPr>
              <w:tblStyle w:val="2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2823"/>
              <w:gridCol w:w="2552"/>
              <w:gridCol w:w="2323"/>
              <w:gridCol w:w="487"/>
            </w:tblGrid>
            <w:tr w14:paraId="3F8ED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3249" w:type="dxa"/>
                  <w:gridSpan w:val="2"/>
                  <w:tcBorders>
                    <w:tl2br w:val="single" w:color="auto" w:sz="2" w:space="0"/>
                  </w:tcBorders>
                  <w:vAlign w:val="center"/>
                </w:tcPr>
                <w:p w14:paraId="4128195D">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环评类别</w:t>
                  </w:r>
                </w:p>
                <w:p w14:paraId="09BADAE9">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kern w:val="2"/>
                      <w:sz w:val="21"/>
                      <w:szCs w:val="21"/>
                      <w:u w:val="none"/>
                      <w:vertAlign w:val="baseline"/>
                      <w:lang w:val="en-US" w:eastAsia="zh-CN" w:bidi="ar-SA"/>
                    </w:rPr>
                    <w:t>项目类别</w:t>
                  </w:r>
                </w:p>
              </w:tc>
              <w:tc>
                <w:tcPr>
                  <w:tcW w:w="2552" w:type="dxa"/>
                  <w:tcBorders>
                    <w:tl2br w:val="nil"/>
                    <w:tr2bl w:val="nil"/>
                  </w:tcBorders>
                  <w:vAlign w:val="center"/>
                </w:tcPr>
                <w:p w14:paraId="2A68E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报告书</w:t>
                  </w:r>
                </w:p>
              </w:tc>
              <w:tc>
                <w:tcPr>
                  <w:tcW w:w="2323" w:type="dxa"/>
                  <w:tcBorders>
                    <w:tl2br w:val="nil"/>
                    <w:tr2bl w:val="nil"/>
                  </w:tcBorders>
                  <w:shd w:val="clear" w:color="auto" w:fill="D7D7D7" w:themeFill="background1" w:themeFillShade="D8"/>
                  <w:vAlign w:val="center"/>
                </w:tcPr>
                <w:p w14:paraId="00D494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报告表</w:t>
                  </w:r>
                </w:p>
              </w:tc>
              <w:tc>
                <w:tcPr>
                  <w:tcW w:w="487" w:type="dxa"/>
                  <w:tcBorders>
                    <w:tl2br w:val="nil"/>
                    <w:tr2bl w:val="nil"/>
                  </w:tcBorders>
                  <w:vAlign w:val="center"/>
                </w:tcPr>
                <w:p w14:paraId="2C75AF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登记表</w:t>
                  </w:r>
                </w:p>
              </w:tc>
            </w:tr>
            <w:tr w14:paraId="7AAD0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8611" w:type="dxa"/>
                  <w:gridSpan w:val="5"/>
                  <w:tcBorders>
                    <w:tl2br w:val="nil"/>
                    <w:tr2bl w:val="nil"/>
                  </w:tcBorders>
                  <w:shd w:val="clear" w:color="auto" w:fill="D7D7D7" w:themeFill="background1" w:themeFillShade="D8"/>
                  <w:vAlign w:val="center"/>
                </w:tcPr>
                <w:p w14:paraId="3C4EC81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color w:val="auto"/>
                      <w:sz w:val="21"/>
                      <w:szCs w:val="21"/>
                      <w:u w:val="none"/>
                      <w:lang w:val="en-US" w:eastAsia="zh-CN"/>
                    </w:rPr>
                    <w:t>三十六、计算机、通信和其他电子设备制造业39</w:t>
                  </w:r>
                </w:p>
              </w:tc>
            </w:tr>
            <w:tr w14:paraId="6CD24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5" w:hRule="atLeast"/>
              </w:trPr>
              <w:tc>
                <w:tcPr>
                  <w:tcW w:w="426" w:type="dxa"/>
                  <w:tcBorders>
                    <w:tl2br w:val="nil"/>
                    <w:tr2bl w:val="nil"/>
                  </w:tcBorders>
                  <w:vAlign w:val="center"/>
                </w:tcPr>
                <w:p w14:paraId="19F98B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81</w:t>
                  </w:r>
                </w:p>
              </w:tc>
              <w:tc>
                <w:tcPr>
                  <w:tcW w:w="2823" w:type="dxa"/>
                  <w:tcBorders>
                    <w:tl2br w:val="nil"/>
                    <w:tr2bl w:val="nil"/>
                  </w:tcBorders>
                  <w:vAlign w:val="center"/>
                </w:tcPr>
                <w:p w14:paraId="4BDF3E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电子元件及电子专用材料制造 398</w:t>
                  </w:r>
                </w:p>
              </w:tc>
              <w:tc>
                <w:tcPr>
                  <w:tcW w:w="2552" w:type="dxa"/>
                  <w:tcBorders>
                    <w:tl2br w:val="nil"/>
                    <w:tr2bl w:val="nil"/>
                  </w:tcBorders>
                  <w:vAlign w:val="center"/>
                </w:tcPr>
                <w:p w14:paraId="2EFF1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半导体材料制造；电子化工材料制造</w:t>
                  </w:r>
                </w:p>
              </w:tc>
              <w:tc>
                <w:tcPr>
                  <w:tcW w:w="2323" w:type="dxa"/>
                  <w:tcBorders>
                    <w:tl2br w:val="nil"/>
                    <w:tr2bl w:val="nil"/>
                  </w:tcBorders>
                  <w:shd w:val="clear" w:color="auto" w:fill="D7D7D7" w:themeFill="background1" w:themeFillShade="D8"/>
                  <w:vAlign w:val="center"/>
                </w:tcPr>
                <w:p w14:paraId="68BCC2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印刷电路板制造；电子专用材料制造(电子化工材料制造除外)；使用有机溶剂的；有酸洗的以上均不含仅分割、焊接、组装的</w:t>
                  </w:r>
                </w:p>
              </w:tc>
              <w:tc>
                <w:tcPr>
                  <w:tcW w:w="487" w:type="dxa"/>
                  <w:tcBorders>
                    <w:tl2br w:val="nil"/>
                    <w:tr2bl w:val="nil"/>
                  </w:tcBorders>
                  <w:vAlign w:val="center"/>
                </w:tcPr>
                <w:p w14:paraId="786F19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w:t>
                  </w:r>
                </w:p>
              </w:tc>
            </w:tr>
            <w:tr w14:paraId="236F8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8611" w:type="dxa"/>
                  <w:gridSpan w:val="5"/>
                  <w:tcBorders>
                    <w:tl2br w:val="nil"/>
                    <w:tr2bl w:val="nil"/>
                  </w:tcBorders>
                  <w:shd w:val="clear" w:color="auto" w:fill="D7D7D7" w:themeFill="background1" w:themeFillShade="D8"/>
                  <w:vAlign w:val="center"/>
                </w:tcPr>
                <w:p w14:paraId="1B6548F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val="0"/>
                      <w:bCs w:val="0"/>
                      <w:sz w:val="21"/>
                      <w:szCs w:val="21"/>
                      <w:vertAlign w:val="baseline"/>
                      <w:lang w:val="en-US" w:eastAsia="zh-CN"/>
                    </w:rPr>
                  </w:pPr>
                  <w:bookmarkStart w:id="21" w:name="_Toc21852"/>
                  <w:r>
                    <w:rPr>
                      <w:rFonts w:hint="default" w:ascii="Times New Roman" w:hAnsi="Times New Roman" w:eastAsia="宋体" w:cs="Times New Roman"/>
                      <w:b w:val="0"/>
                      <w:bCs w:val="0"/>
                      <w:sz w:val="21"/>
                      <w:szCs w:val="21"/>
                      <w:vertAlign w:val="baseline"/>
                      <w:lang w:val="en-US" w:eastAsia="zh-CN"/>
                    </w:rPr>
                    <w:t>三十五、电气机械和器材制造业38</w:t>
                  </w:r>
                </w:p>
              </w:tc>
            </w:tr>
            <w:tr w14:paraId="2552B0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5" w:hRule="atLeast"/>
              </w:trPr>
              <w:tc>
                <w:tcPr>
                  <w:tcW w:w="426" w:type="dxa"/>
                  <w:tcBorders>
                    <w:tl2br w:val="nil"/>
                    <w:tr2bl w:val="nil"/>
                  </w:tcBorders>
                  <w:vAlign w:val="center"/>
                </w:tcPr>
                <w:p w14:paraId="33F32C7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77</w:t>
                  </w:r>
                </w:p>
              </w:tc>
              <w:tc>
                <w:tcPr>
                  <w:tcW w:w="2823" w:type="dxa"/>
                  <w:tcBorders>
                    <w:tl2br w:val="nil"/>
                    <w:tr2bl w:val="nil"/>
                  </w:tcBorders>
                  <w:vAlign w:val="center"/>
                </w:tcPr>
                <w:p w14:paraId="7934826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电机制造 381;输配电及控制设备制造382:电线、电缆、光缆及电工器材制造383:电池制造 384;家用电力器具制造385:非电力家用器具制造386:照明器具制造 387:其他电气机械及器材制造389</w:t>
                  </w:r>
                </w:p>
              </w:tc>
              <w:tc>
                <w:tcPr>
                  <w:tcW w:w="2552" w:type="dxa"/>
                  <w:tcBorders>
                    <w:tl2br w:val="nil"/>
                    <w:tr2bl w:val="nil"/>
                  </w:tcBorders>
                  <w:vAlign w:val="center"/>
                </w:tcPr>
                <w:p w14:paraId="1F92DC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铅蓄电池制造</w:t>
                  </w:r>
                  <w:r>
                    <w:rPr>
                      <w:rFonts w:hint="eastAsia" w:cs="Times New Roman"/>
                      <w:b w:val="0"/>
                      <w:bCs w:val="0"/>
                      <w:sz w:val="21"/>
                      <w:szCs w:val="21"/>
                      <w:vertAlign w:val="baseline"/>
                      <w:lang w:val="en-US" w:eastAsia="zh-CN"/>
                    </w:rPr>
                    <w:t>;</w:t>
                  </w:r>
                  <w:r>
                    <w:rPr>
                      <w:rFonts w:hint="eastAsia" w:ascii="Times New Roman" w:hAnsi="Times New Roman" w:eastAsia="宋体" w:cs="Times New Roman"/>
                      <w:b w:val="0"/>
                      <w:bCs w:val="0"/>
                      <w:sz w:val="21"/>
                      <w:szCs w:val="21"/>
                      <w:vertAlign w:val="baseline"/>
                      <w:lang w:val="en-US" w:eastAsia="zh-CN"/>
                    </w:rPr>
                    <w:t>太阳能电池片生产；有电镀工艺的；年用溶剂型涂料(含稀释剂)10吨及以上的</w:t>
                  </w:r>
                </w:p>
              </w:tc>
              <w:tc>
                <w:tcPr>
                  <w:tcW w:w="2323" w:type="dxa"/>
                  <w:tcBorders>
                    <w:tl2br w:val="nil"/>
                    <w:tr2bl w:val="nil"/>
                  </w:tcBorders>
                  <w:shd w:val="clear" w:color="auto" w:fill="D7D7D7" w:themeFill="background1" w:themeFillShade="D8"/>
                  <w:vAlign w:val="center"/>
                </w:tcPr>
                <w:p w14:paraId="3466FE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其他(仅分割、焊接、组装的除外；年用非溶剂型低V0Cs含量涂料10吨以下的除外)</w:t>
                  </w:r>
                </w:p>
              </w:tc>
              <w:tc>
                <w:tcPr>
                  <w:tcW w:w="487" w:type="dxa"/>
                  <w:tcBorders>
                    <w:tl2br w:val="nil"/>
                    <w:tr2bl w:val="nil"/>
                  </w:tcBorders>
                  <w:vAlign w:val="center"/>
                </w:tcPr>
                <w:p w14:paraId="799A05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w:t>
                  </w:r>
                </w:p>
              </w:tc>
            </w:tr>
            <w:tr w14:paraId="320AF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611" w:type="dxa"/>
                  <w:gridSpan w:val="5"/>
                  <w:tcBorders>
                    <w:tl2br w:val="nil"/>
                    <w:tr2bl w:val="nil"/>
                  </w:tcBorders>
                  <w:shd w:val="clear" w:color="auto" w:fill="D7D7D7" w:themeFill="background1" w:themeFillShade="D8"/>
                  <w:vAlign w:val="center"/>
                </w:tcPr>
                <w:p w14:paraId="178E68DE">
                  <w:pPr>
                    <w:keepNext w:val="0"/>
                    <w:keepLines w:val="0"/>
                    <w:pageBreakBefore w:val="0"/>
                    <w:widowControl w:val="0"/>
                    <w:kinsoku/>
                    <w:wordWrap/>
                    <w:overflowPunct/>
                    <w:topLinePunct w:val="0"/>
                    <w:autoSpaceDE/>
                    <w:autoSpaceDN/>
                    <w:bidi w:val="0"/>
                    <w:adjustRightInd/>
                    <w:snapToGrid/>
                    <w:jc w:val="left"/>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color w:val="auto"/>
                      <w:sz w:val="21"/>
                      <w:szCs w:val="21"/>
                      <w:u w:val="none"/>
                      <w:lang w:val="en-US" w:eastAsia="zh-CN"/>
                    </w:rPr>
                    <w:t>二十六、橡胶和塑料制品业 29</w:t>
                  </w:r>
                </w:p>
              </w:tc>
            </w:tr>
            <w:tr w14:paraId="5F853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5" w:hRule="atLeast"/>
              </w:trPr>
              <w:tc>
                <w:tcPr>
                  <w:tcW w:w="426" w:type="dxa"/>
                  <w:tcBorders>
                    <w:tl2br w:val="nil"/>
                    <w:tr2bl w:val="nil"/>
                  </w:tcBorders>
                  <w:vAlign w:val="center"/>
                </w:tcPr>
                <w:p w14:paraId="0E7A21AF">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53</w:t>
                  </w:r>
                </w:p>
              </w:tc>
              <w:tc>
                <w:tcPr>
                  <w:tcW w:w="2823" w:type="dxa"/>
                  <w:tcBorders>
                    <w:tl2br w:val="nil"/>
                    <w:tr2bl w:val="nil"/>
                  </w:tcBorders>
                  <w:vAlign w:val="center"/>
                </w:tcPr>
                <w:p w14:paraId="3E99E7C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塑料制品业 292</w:t>
                  </w:r>
                </w:p>
              </w:tc>
              <w:tc>
                <w:tcPr>
                  <w:tcW w:w="2552" w:type="dxa"/>
                  <w:tcBorders>
                    <w:tl2br w:val="nil"/>
                    <w:tr2bl w:val="nil"/>
                  </w:tcBorders>
                  <w:vAlign w:val="center"/>
                </w:tcPr>
                <w:p w14:paraId="31ED51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以再生塑料为原料生产的；有电镀工艺的；年用溶剂型胶粘剂10吨及以上的；年用溶剂型涂料（含稀释剂）10吨及以上的</w:t>
                  </w:r>
                </w:p>
              </w:tc>
              <w:tc>
                <w:tcPr>
                  <w:tcW w:w="2323" w:type="dxa"/>
                  <w:tcBorders>
                    <w:tl2br w:val="nil"/>
                    <w:tr2bl w:val="nil"/>
                  </w:tcBorders>
                  <w:shd w:val="clear" w:color="auto" w:fill="D7D7D7" w:themeFill="background1" w:themeFillShade="D8"/>
                  <w:vAlign w:val="center"/>
                </w:tcPr>
                <w:p w14:paraId="78E789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其他（年用非溶剂型低VOCs含量涂料10吨以下的除外）</w:t>
                  </w:r>
                </w:p>
              </w:tc>
              <w:tc>
                <w:tcPr>
                  <w:tcW w:w="487" w:type="dxa"/>
                  <w:tcBorders>
                    <w:tl2br w:val="nil"/>
                    <w:tr2bl w:val="nil"/>
                  </w:tcBorders>
                  <w:vAlign w:val="center"/>
                </w:tcPr>
                <w:p w14:paraId="5F6CDA4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w:t>
                  </w:r>
                </w:p>
              </w:tc>
            </w:tr>
          </w:tbl>
          <w:p w14:paraId="07A376F0">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sz w:val="28"/>
                <w:szCs w:val="28"/>
                <w:u w:val="none"/>
                <w:lang w:val="en-US" w:eastAsia="zh-CN"/>
              </w:rPr>
            </w:pPr>
            <w:r>
              <w:rPr>
                <w:rFonts w:hint="eastAsia" w:ascii="Times New Roman" w:hAnsi="Times New Roman" w:eastAsia="宋体" w:cs="Times New Roman"/>
                <w:color w:val="auto"/>
                <w:sz w:val="28"/>
                <w:szCs w:val="28"/>
                <w:u w:val="none"/>
                <w:lang w:val="en-US" w:eastAsia="zh-CN"/>
              </w:rPr>
              <w:t>2.2工程概况</w:t>
            </w:r>
            <w:bookmarkEnd w:id="21"/>
          </w:p>
          <w:p w14:paraId="58874BF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22" w:name="_Toc25243"/>
            <w:r>
              <w:rPr>
                <w:rFonts w:hint="default" w:ascii="Times New Roman" w:hAnsi="Times New Roman" w:eastAsia="宋体" w:cs="Times New Roman"/>
                <w:b/>
                <w:bCs/>
                <w:color w:val="auto"/>
                <w:sz w:val="24"/>
                <w:szCs w:val="24"/>
                <w:u w:val="none"/>
                <w:lang w:val="en-US" w:eastAsia="zh-CN"/>
              </w:rPr>
              <w:t>2.2.1 依托企业基本情况</w:t>
            </w:r>
            <w:bookmarkEnd w:id="22"/>
          </w:p>
          <w:p w14:paraId="0A73BCDF">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cs="宋体"/>
                <w:i w:val="0"/>
                <w:iCs w:val="0"/>
                <w:caps w:val="0"/>
                <w:color w:val="auto"/>
                <w:spacing w:val="0"/>
                <w:sz w:val="24"/>
                <w:szCs w:val="24"/>
                <w:shd w:val="clear" w:color="auto" w:fill="FFFFFF"/>
                <w:vertAlign w:val="baseline"/>
                <w:lang w:val="en-US" w:eastAsia="zh-CN"/>
              </w:rPr>
            </w:pPr>
            <w:r>
              <w:rPr>
                <w:rFonts w:hint="eastAsia" w:ascii="Times New Roman" w:hAnsi="Times New Roman" w:eastAsia="宋体" w:cs="Times New Roman"/>
                <w:color w:val="auto"/>
                <w:sz w:val="24"/>
                <w:szCs w:val="24"/>
                <w:highlight w:val="none"/>
                <w:lang w:val="en-US" w:eastAsia="zh-CN"/>
              </w:rPr>
              <w:t>建设单位购买</w:t>
            </w:r>
            <w:r>
              <w:rPr>
                <w:rFonts w:hint="eastAsia" w:ascii="Times New Roman" w:hAnsi="Times New Roman" w:eastAsia="宋体" w:cs="Times New Roman"/>
                <w:color w:val="auto"/>
                <w:sz w:val="24"/>
                <w:szCs w:val="24"/>
                <w:highlight w:val="none"/>
                <w:lang w:eastAsia="zh-CN"/>
              </w:rPr>
              <w:t>均和产业发展</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福清</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有限公司</w:t>
            </w:r>
            <w:r>
              <w:rPr>
                <w:rFonts w:hint="eastAsia" w:ascii="Times New Roman" w:hAnsi="Times New Roman" w:eastAsia="宋体" w:cs="Times New Roman"/>
                <w:color w:val="auto"/>
                <w:sz w:val="24"/>
                <w:szCs w:val="24"/>
                <w:highlight w:val="none"/>
                <w:lang w:val="en-US" w:eastAsia="zh-CN"/>
              </w:rPr>
              <w:t>投资建设的均和云谷·福清科技港</w:t>
            </w:r>
            <w:r>
              <w:rPr>
                <w:rFonts w:hint="eastAsia" w:cs="Times New Roman"/>
                <w:color w:val="auto"/>
                <w:sz w:val="24"/>
                <w:szCs w:val="24"/>
                <w:highlight w:val="none"/>
                <w:lang w:val="en-US" w:eastAsia="zh-CN"/>
              </w:rPr>
              <w:t>31</w:t>
            </w:r>
            <w:r>
              <w:rPr>
                <w:rFonts w:hint="eastAsia" w:ascii="Times New Roman" w:hAnsi="Times New Roman" w:eastAsia="宋体" w:cs="Times New Roman"/>
                <w:color w:val="auto"/>
                <w:sz w:val="24"/>
                <w:szCs w:val="24"/>
                <w:highlight w:val="none"/>
                <w:lang w:val="en-US" w:eastAsia="zh-CN"/>
              </w:rPr>
              <w:t>#楼</w:t>
            </w:r>
            <w:r>
              <w:rPr>
                <w:rFonts w:hint="eastAsia" w:cs="Times New Roman"/>
                <w:color w:val="auto"/>
                <w:sz w:val="24"/>
                <w:szCs w:val="24"/>
                <w:highlight w:val="none"/>
                <w:lang w:val="en-US" w:eastAsia="zh-CN"/>
              </w:rPr>
              <w:t>1-4</w:t>
            </w:r>
            <w:r>
              <w:rPr>
                <w:rFonts w:hint="eastAsia" w:ascii="Times New Roman" w:hAnsi="Times New Roman" w:eastAsia="宋体" w:cs="Times New Roman"/>
                <w:color w:val="auto"/>
                <w:sz w:val="24"/>
                <w:szCs w:val="24"/>
                <w:highlight w:val="none"/>
                <w:lang w:val="en-US" w:eastAsia="zh-CN"/>
              </w:rPr>
              <w:t>层</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厂房定制合同</w:t>
            </w:r>
            <w:r>
              <w:rPr>
                <w:rFonts w:hint="default" w:ascii="Times New Roman" w:hAnsi="Times New Roman" w:eastAsia="宋体" w:cs="Times New Roman"/>
                <w:color w:val="auto"/>
                <w:sz w:val="24"/>
                <w:szCs w:val="24"/>
                <w:highlight w:val="none"/>
                <w:lang w:eastAsia="zh-CN"/>
              </w:rPr>
              <w:t>见</w:t>
            </w:r>
            <w:r>
              <w:rPr>
                <w:rFonts w:hint="default" w:ascii="Times New Roman" w:hAnsi="Times New Roman" w:eastAsia="宋体" w:cs="Times New Roman"/>
                <w:b/>
                <w:bCs/>
                <w:color w:val="auto"/>
                <w:sz w:val="24"/>
                <w:szCs w:val="24"/>
                <w:highlight w:val="none"/>
                <w:lang w:eastAsia="zh-CN"/>
              </w:rPr>
              <w:t>附件</w:t>
            </w:r>
            <w:r>
              <w:rPr>
                <w:rFonts w:hint="eastAsia" w:cs="Times New Roman"/>
                <w:b/>
                <w:bCs/>
                <w:color w:val="auto"/>
                <w:sz w:val="24"/>
                <w:szCs w:val="24"/>
                <w:highlight w:val="none"/>
                <w:lang w:val="en-US" w:eastAsia="zh-CN"/>
              </w:rPr>
              <w:t>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均和云谷·福清科技港项目位于福清融侨经济技术开发区（福州市福清市阳下街道上亭村398号），项目总占地面积95657m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，总建筑面积约153451.80m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分四期建设，主要建设41栋标准厂房、1栋综合楼及相应的配套设施；根据规划，均和云谷·福清科技港建设后拟将厂房外售或者外租给相应的企业进行生产，自身不进行生产；因此，该项目未办理相关环保审批手续，由入驻企业根据实际情况，单独办理环保相关审批手续</w:t>
            </w:r>
            <w:r>
              <w:rPr>
                <w:rFonts w:hint="eastAsia" w:ascii="Times New Roman" w:hAnsi="Times New Roman" w:eastAsia="宋体" w:cs="Times New Roman"/>
                <w:color w:val="auto"/>
                <w:sz w:val="24"/>
                <w:lang w:val="en-US" w:eastAsia="zh-CN"/>
              </w:rPr>
              <w:t>。根据福清融侨经济技术开发区管理委员会出具的“关于协助均和云谷</w:t>
            </w:r>
            <w:r>
              <w:rPr>
                <w:rFonts w:hint="eastAsia" w:ascii="宋体" w:hAnsi="宋体" w:eastAsia="宋体" w:cs="宋体"/>
                <w:color w:val="auto"/>
                <w:sz w:val="24"/>
                <w:lang w:val="en-US" w:eastAsia="zh-CN"/>
              </w:rPr>
              <w:t>·</w:t>
            </w:r>
            <w:r>
              <w:rPr>
                <w:rFonts w:hint="eastAsia" w:ascii="Times New Roman" w:hAnsi="Times New Roman" w:eastAsia="宋体" w:cs="Times New Roman"/>
                <w:color w:val="auto"/>
                <w:sz w:val="24"/>
                <w:lang w:val="en-US" w:eastAsia="zh-CN"/>
              </w:rPr>
              <w:t>福清科技港入园企业先行办理环评手续的函”相关内容可知，同意企业办</w:t>
            </w:r>
            <w:r>
              <w:rPr>
                <w:rFonts w:hint="eastAsia" w:ascii="Times New Roman" w:hAnsi="Times New Roman" w:eastAsia="宋体" w:cs="Times New Roman"/>
                <w:color w:val="auto"/>
                <w:sz w:val="24"/>
                <w:highlight w:val="none"/>
                <w:lang w:val="en-US" w:eastAsia="zh-CN"/>
              </w:rPr>
              <w:t>理环评手续</w:t>
            </w:r>
            <w:r>
              <w:rPr>
                <w:rFonts w:hint="eastAsia" w:cs="Times New Roman"/>
                <w:color w:val="auto"/>
                <w:sz w:val="24"/>
                <w:highlight w:val="none"/>
                <w:lang w:val="en-US" w:eastAsia="zh-CN"/>
              </w:rPr>
              <w:t>函（</w:t>
            </w:r>
            <w:r>
              <w:rPr>
                <w:rFonts w:hint="eastAsia" w:ascii="Times New Roman" w:hAnsi="Times New Roman" w:eastAsia="宋体" w:cs="Times New Roman"/>
                <w:color w:val="auto"/>
                <w:sz w:val="24"/>
                <w:highlight w:val="none"/>
                <w:lang w:val="en-US" w:eastAsia="zh-CN"/>
              </w:rPr>
              <w:t>详见</w:t>
            </w:r>
            <w:r>
              <w:rPr>
                <w:rFonts w:hint="eastAsia" w:ascii="Times New Roman" w:hAnsi="Times New Roman" w:eastAsia="宋体" w:cs="Times New Roman"/>
                <w:b/>
                <w:bCs/>
                <w:color w:val="auto"/>
                <w:sz w:val="24"/>
                <w:highlight w:val="none"/>
                <w:lang w:val="en-US" w:eastAsia="zh-CN"/>
              </w:rPr>
              <w:t>附件</w:t>
            </w:r>
            <w:r>
              <w:rPr>
                <w:rFonts w:hint="eastAsia" w:cs="Times New Roman"/>
                <w:b/>
                <w:bCs/>
                <w:color w:val="auto"/>
                <w:sz w:val="24"/>
                <w:highlight w:val="none"/>
                <w:lang w:val="en-US" w:eastAsia="zh-CN"/>
              </w:rPr>
              <w:t>六</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lang w:val="en-US" w:eastAsia="zh-CN"/>
              </w:rPr>
              <w:t>。</w:t>
            </w:r>
          </w:p>
          <w:p w14:paraId="2E10B944">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根据现场勘查</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均和云谷·福清科技港内未配套</w:t>
            </w:r>
            <w:r>
              <w:rPr>
                <w:rFonts w:hint="eastAsia" w:ascii="Times New Roman" w:hAnsi="Times New Roman" w:eastAsia="宋体" w:cs="Times New Roman"/>
                <w:color w:val="auto"/>
                <w:sz w:val="24"/>
                <w:szCs w:val="24"/>
                <w:highlight w:val="none"/>
                <w:lang w:eastAsia="zh-CN"/>
              </w:rPr>
              <w:t>生产废水处理</w:t>
            </w:r>
            <w:r>
              <w:rPr>
                <w:rFonts w:hint="default" w:ascii="Times New Roman" w:hAnsi="Times New Roman" w:eastAsia="宋体" w:cs="Times New Roman"/>
                <w:color w:val="auto"/>
                <w:sz w:val="24"/>
                <w:szCs w:val="24"/>
                <w:highlight w:val="none"/>
                <w:lang w:eastAsia="zh-CN"/>
              </w:rPr>
              <w:t>设施、废气环保设施</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固废暂存间</w:t>
            </w:r>
            <w:r>
              <w:rPr>
                <w:rFonts w:hint="default" w:ascii="Times New Roman" w:hAnsi="Times New Roman" w:eastAsia="宋体" w:cs="Times New Roman"/>
                <w:color w:val="auto"/>
                <w:sz w:val="24"/>
                <w:szCs w:val="24"/>
                <w:highlight w:val="none"/>
                <w:lang w:eastAsia="zh-CN"/>
              </w:rPr>
              <w:t>等可</w:t>
            </w:r>
            <w:r>
              <w:rPr>
                <w:rFonts w:hint="eastAsia" w:cs="Times New Roman"/>
                <w:color w:val="auto"/>
                <w:sz w:val="24"/>
                <w:szCs w:val="24"/>
                <w:highlight w:val="none"/>
                <w:lang w:eastAsia="zh-CN"/>
              </w:rPr>
              <w:t>提供</w:t>
            </w:r>
            <w:r>
              <w:rPr>
                <w:rFonts w:hint="default" w:ascii="Times New Roman" w:hAnsi="Times New Roman" w:eastAsia="宋体" w:cs="Times New Roman"/>
                <w:color w:val="auto"/>
                <w:sz w:val="24"/>
                <w:szCs w:val="24"/>
                <w:highlight w:val="none"/>
                <w:lang w:eastAsia="zh-CN"/>
              </w:rPr>
              <w:t>本项目依托的相关环保设施。</w:t>
            </w:r>
            <w:r>
              <w:rPr>
                <w:rFonts w:hint="eastAsia" w:ascii="Times New Roman" w:hAnsi="Times New Roman" w:eastAsia="宋体" w:cs="Times New Roman"/>
                <w:color w:val="auto"/>
                <w:sz w:val="24"/>
                <w:szCs w:val="24"/>
                <w:highlight w:val="none"/>
                <w:lang w:val="en-US" w:eastAsia="zh-CN"/>
              </w:rPr>
              <w:t>本项目废气环保设施、固废暂存间等均由本单位自行建设；</w:t>
            </w:r>
            <w:r>
              <w:rPr>
                <w:rFonts w:hint="default" w:ascii="Times New Roman" w:hAnsi="Times New Roman" w:eastAsia="宋体" w:cs="Times New Roman"/>
                <w:color w:val="auto"/>
                <w:sz w:val="24"/>
                <w:szCs w:val="24"/>
                <w:highlight w:val="none"/>
                <w:lang w:eastAsia="zh-CN"/>
              </w:rPr>
              <w:t>本项目可依托的设施主要为厂区内的现有给水管网、排水管网、供电管网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给水消防</w:t>
            </w:r>
            <w:r>
              <w:rPr>
                <w:rFonts w:hint="eastAsia" w:ascii="Times New Roman" w:hAnsi="Times New Roman" w:eastAsia="宋体" w:cs="Times New Roman"/>
                <w:color w:val="auto"/>
                <w:sz w:val="24"/>
                <w:szCs w:val="24"/>
                <w:highlight w:val="none"/>
                <w:lang w:eastAsia="zh-CN"/>
              </w:rPr>
              <w:t>及化粪池</w:t>
            </w:r>
            <w:r>
              <w:rPr>
                <w:rFonts w:hint="default" w:ascii="Times New Roman" w:hAnsi="Times New Roman" w:eastAsia="宋体" w:cs="Times New Roman"/>
                <w:color w:val="auto"/>
                <w:sz w:val="24"/>
                <w:szCs w:val="24"/>
                <w:highlight w:val="none"/>
                <w:lang w:eastAsia="zh-CN"/>
              </w:rPr>
              <w:t>等公用工程设施</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目前均和云谷·福清科技港项目污水管网已经接入市政污水管网，将生活污水统一送往</w:t>
            </w:r>
            <w:r>
              <w:rPr>
                <w:rFonts w:hint="eastAsia" w:ascii="Times New Roman" w:hAnsi="Times New Roman" w:eastAsia="宋体" w:cs="Times New Roman"/>
                <w:color w:val="auto"/>
                <w:sz w:val="24"/>
                <w:szCs w:val="24"/>
                <w:highlight w:val="none"/>
                <w:lang w:eastAsia="zh-CN"/>
              </w:rPr>
              <w:t>福清市融元污水处理厂</w:t>
            </w:r>
            <w:r>
              <w:rPr>
                <w:rFonts w:hint="default" w:ascii="Times New Roman" w:hAnsi="Times New Roman" w:eastAsia="宋体" w:cs="Times New Roman"/>
                <w:color w:val="auto"/>
                <w:sz w:val="24"/>
                <w:szCs w:val="24"/>
                <w:highlight w:val="none"/>
                <w:lang w:eastAsia="zh-CN"/>
              </w:rPr>
              <w:t>集中处理</w:t>
            </w:r>
            <w:r>
              <w:rPr>
                <w:rFonts w:hint="eastAsia" w:cs="Times New Roman"/>
                <w:color w:val="auto"/>
                <w:sz w:val="24"/>
                <w:szCs w:val="24"/>
                <w:highlight w:val="none"/>
                <w:lang w:val="en-US" w:eastAsia="zh-CN"/>
              </w:rPr>
              <w:t>（排水接管证明</w:t>
            </w:r>
            <w:r>
              <w:rPr>
                <w:rFonts w:hint="eastAsia" w:ascii="Times New Roman" w:hAnsi="Times New Roman" w:eastAsia="宋体" w:cs="Times New Roman"/>
                <w:color w:val="auto"/>
                <w:sz w:val="24"/>
                <w:szCs w:val="24"/>
                <w:highlight w:val="none"/>
                <w:lang w:val="en-US" w:eastAsia="zh-CN"/>
              </w:rPr>
              <w:t>详见</w:t>
            </w:r>
            <w:r>
              <w:rPr>
                <w:rFonts w:hint="eastAsia" w:ascii="Times New Roman" w:hAnsi="Times New Roman" w:eastAsia="宋体" w:cs="Times New Roman"/>
                <w:b/>
                <w:bCs/>
                <w:color w:val="auto"/>
                <w:sz w:val="24"/>
                <w:szCs w:val="24"/>
                <w:highlight w:val="none"/>
                <w:lang w:val="en-US" w:eastAsia="zh-CN"/>
              </w:rPr>
              <w:t>附件</w:t>
            </w:r>
            <w:r>
              <w:rPr>
                <w:rFonts w:hint="eastAsia" w:cs="Times New Roman"/>
                <w:b/>
                <w:bCs/>
                <w:color w:val="auto"/>
                <w:sz w:val="24"/>
                <w:szCs w:val="24"/>
                <w:highlight w:val="none"/>
                <w:lang w:val="en-US" w:eastAsia="zh-CN"/>
              </w:rPr>
              <w:t>八</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w:t>
            </w:r>
          </w:p>
          <w:p w14:paraId="63A31E8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23" w:name="_Toc15813"/>
            <w:r>
              <w:rPr>
                <w:rFonts w:hint="default" w:ascii="Times New Roman" w:hAnsi="Times New Roman" w:eastAsia="宋体" w:cs="Times New Roman"/>
                <w:b/>
                <w:bCs/>
                <w:color w:val="auto"/>
                <w:sz w:val="24"/>
                <w:szCs w:val="24"/>
                <w:u w:val="none"/>
                <w:lang w:val="en-US" w:eastAsia="zh-CN"/>
              </w:rPr>
              <w:t>2.2.</w:t>
            </w:r>
            <w:r>
              <w:rPr>
                <w:rFonts w:hint="eastAsia" w:ascii="Times New Roman" w:hAnsi="Times New Roman" w:eastAsia="宋体" w:cs="Times New Roman"/>
                <w:b/>
                <w:bCs/>
                <w:color w:val="auto"/>
                <w:sz w:val="24"/>
                <w:szCs w:val="24"/>
                <w:u w:val="none"/>
                <w:lang w:val="en-US" w:eastAsia="zh-CN"/>
              </w:rPr>
              <w:t>2</w:t>
            </w:r>
            <w:r>
              <w:rPr>
                <w:rFonts w:hint="default" w:ascii="Times New Roman" w:hAnsi="Times New Roman" w:eastAsia="宋体" w:cs="Times New Roman"/>
                <w:b/>
                <w:bCs/>
                <w:color w:val="auto"/>
                <w:sz w:val="24"/>
                <w:szCs w:val="24"/>
                <w:u w:val="none"/>
                <w:lang w:val="en-US" w:eastAsia="zh-CN"/>
              </w:rPr>
              <w:t xml:space="preserve"> </w:t>
            </w:r>
            <w:r>
              <w:rPr>
                <w:rFonts w:hint="eastAsia" w:ascii="Times New Roman" w:hAnsi="Times New Roman" w:eastAsia="宋体" w:cs="Times New Roman"/>
                <w:b/>
                <w:bCs/>
                <w:color w:val="auto"/>
                <w:sz w:val="24"/>
                <w:szCs w:val="24"/>
                <w:u w:val="none"/>
                <w:lang w:val="en-US" w:eastAsia="zh-CN"/>
              </w:rPr>
              <w:t>项目基本情况</w:t>
            </w:r>
            <w:bookmarkEnd w:id="23"/>
          </w:p>
          <w:p w14:paraId="20637C64">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（1）项目名称：</w:t>
            </w:r>
            <w:r>
              <w:rPr>
                <w:rFonts w:hint="eastAsia" w:cs="Times New Roman"/>
                <w:color w:val="auto"/>
                <w:sz w:val="24"/>
                <w:szCs w:val="24"/>
                <w:u w:val="none"/>
                <w:lang w:eastAsia="zh-CN"/>
              </w:rPr>
              <w:t>福州市闽侯振兴炜业机械有限公司年加工工业连接器300万件、6KV以下工业线缆200万件；</w:t>
            </w:r>
          </w:p>
          <w:p w14:paraId="2FF0EDD3">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（2）建设单位：</w:t>
            </w:r>
            <w:r>
              <w:rPr>
                <w:rFonts w:hint="eastAsia" w:cs="Times New Roman"/>
                <w:color w:val="auto"/>
                <w:sz w:val="24"/>
                <w:szCs w:val="24"/>
                <w:u w:val="none"/>
                <w:lang w:eastAsia="zh-CN"/>
              </w:rPr>
              <w:t>福州市闽侯振兴炜业机械有限公司；</w:t>
            </w:r>
          </w:p>
          <w:p w14:paraId="533405DA">
            <w:pPr>
              <w:keepNext w:val="0"/>
              <w:keepLines w:val="0"/>
              <w:pageBreakBefore w:val="0"/>
              <w:kinsoku/>
              <w:wordWrap/>
              <w:overflowPunct/>
              <w:topLinePunct w:val="0"/>
              <w:autoSpaceDE/>
              <w:autoSpaceDN/>
              <w:bidi w:val="0"/>
              <w:adjustRightInd w:val="0"/>
              <w:snapToGrid w:val="0"/>
              <w:spacing w:line="240" w:lineRule="auto"/>
              <w:ind w:left="0"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（3）建设地点：</w:t>
            </w:r>
            <w:r>
              <w:rPr>
                <w:rFonts w:hint="eastAsia" w:ascii="Times New Roman" w:hAnsi="Times New Roman" w:eastAsia="宋体" w:cs="Times New Roman"/>
                <w:color w:val="auto"/>
                <w:sz w:val="24"/>
                <w:szCs w:val="24"/>
                <w:u w:val="none"/>
                <w:lang w:val="en-US" w:eastAsia="zh-CN"/>
              </w:rPr>
              <w:t>福建省福州市福清市阳下街道上亭村</w:t>
            </w:r>
            <w:r>
              <w:rPr>
                <w:rFonts w:hint="default" w:ascii="Times New Roman" w:hAnsi="Times New Roman" w:eastAsia="宋体" w:cs="Times New Roman"/>
                <w:color w:val="auto"/>
                <w:sz w:val="24"/>
                <w:szCs w:val="24"/>
                <w:u w:val="none"/>
                <w:lang w:val="en-US" w:eastAsia="zh-CN"/>
              </w:rPr>
              <w:t>（</w:t>
            </w:r>
            <w:r>
              <w:rPr>
                <w:rFonts w:hint="eastAsia" w:cs="Times New Roman"/>
                <w:color w:val="auto"/>
                <w:sz w:val="24"/>
                <w:szCs w:val="24"/>
                <w:u w:val="none"/>
                <w:lang w:val="en-US" w:eastAsia="zh-CN"/>
              </w:rPr>
              <w:t>福清市阳下街道均和云谷·福清科技港39号厂房</w:t>
            </w:r>
            <w:r>
              <w:rPr>
                <w:rFonts w:hint="eastAsia" w:ascii="宋体" w:hAnsi="宋体" w:cs="宋体"/>
                <w:color w:val="auto"/>
                <w:sz w:val="24"/>
                <w:szCs w:val="24"/>
                <w:u w:val="none"/>
                <w:lang w:val="en-US" w:eastAsia="zh-CN"/>
              </w:rPr>
              <w:t>）；</w:t>
            </w:r>
          </w:p>
          <w:p w14:paraId="61F4E073">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（4）建设性质：新建</w:t>
            </w:r>
            <w:r>
              <w:rPr>
                <w:rFonts w:hint="eastAsia" w:cs="Times New Roman"/>
                <w:color w:val="auto"/>
                <w:sz w:val="24"/>
                <w:szCs w:val="24"/>
                <w:highlight w:val="none"/>
                <w:lang w:val="en-US" w:eastAsia="zh-CN"/>
              </w:rPr>
              <w:t>；</w:t>
            </w:r>
          </w:p>
          <w:p w14:paraId="4DC7B007">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（5）总投资：</w:t>
            </w:r>
            <w:r>
              <w:rPr>
                <w:rFonts w:hint="eastAsia" w:cs="Times New Roman"/>
                <w:color w:val="auto"/>
                <w:sz w:val="24"/>
                <w:szCs w:val="24"/>
                <w:highlight w:val="none"/>
                <w:lang w:val="en-US" w:eastAsia="zh-CN"/>
              </w:rPr>
              <w:t>1500</w:t>
            </w:r>
            <w:r>
              <w:rPr>
                <w:rFonts w:hint="eastAsia" w:ascii="Times New Roman" w:hAnsi="Times New Roman" w:eastAsia="宋体" w:cs="Times New Roman"/>
                <w:color w:val="auto"/>
                <w:sz w:val="24"/>
                <w:szCs w:val="24"/>
                <w:highlight w:val="none"/>
                <w:lang w:val="en-US" w:eastAsia="zh-CN"/>
              </w:rPr>
              <w:t>万元，其中环保投资</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万元</w:t>
            </w:r>
            <w:r>
              <w:rPr>
                <w:rFonts w:hint="eastAsia" w:cs="Times New Roman"/>
                <w:color w:val="auto"/>
                <w:sz w:val="24"/>
                <w:szCs w:val="24"/>
                <w:highlight w:val="none"/>
                <w:lang w:val="en-US" w:eastAsia="zh-CN"/>
              </w:rPr>
              <w:t>；</w:t>
            </w:r>
          </w:p>
          <w:p w14:paraId="69A3018C">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green"/>
                <w:lang w:val="en-US" w:eastAsia="zh-CN"/>
              </w:rPr>
            </w:pPr>
            <w:r>
              <w:rPr>
                <w:rFonts w:hint="eastAsia" w:ascii="Times New Roman" w:hAnsi="Times New Roman" w:eastAsia="宋体" w:cs="Times New Roman"/>
                <w:color w:val="auto"/>
                <w:sz w:val="24"/>
                <w:szCs w:val="24"/>
                <w:highlight w:val="none"/>
                <w:lang w:val="en-US" w:eastAsia="zh-CN"/>
              </w:rPr>
              <w:t>（6）建设规模：年加工工业连接器300万件、6KV以下工业线缆200万件</w:t>
            </w:r>
            <w:r>
              <w:rPr>
                <w:rFonts w:hint="eastAsia" w:cs="Times New Roman"/>
                <w:color w:val="auto"/>
                <w:sz w:val="24"/>
                <w:szCs w:val="24"/>
                <w:highlight w:val="none"/>
                <w:lang w:val="en-US" w:eastAsia="zh-CN"/>
              </w:rPr>
              <w:t>；</w:t>
            </w:r>
          </w:p>
          <w:p w14:paraId="671C56B0">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u w:val="none"/>
                <w:vertAlign w:val="superscript"/>
                <w:lang w:val="en-US" w:eastAsia="zh-CN"/>
              </w:rPr>
            </w:pPr>
            <w:r>
              <w:rPr>
                <w:rFonts w:hint="eastAsia" w:ascii="Times New Roman" w:hAnsi="Times New Roman" w:eastAsia="宋体" w:cs="Times New Roman"/>
                <w:color w:val="auto"/>
                <w:sz w:val="24"/>
                <w:szCs w:val="24"/>
                <w:highlight w:val="none"/>
                <w:lang w:val="en-US" w:eastAsia="zh-CN"/>
              </w:rPr>
              <w:t>（7）建筑面积：</w:t>
            </w:r>
            <w:r>
              <w:rPr>
                <w:rFonts w:hint="eastAsia" w:cs="Times New Roman"/>
                <w:color w:val="auto"/>
                <w:sz w:val="24"/>
                <w:szCs w:val="24"/>
                <w:highlight w:val="none"/>
                <w:u w:val="none"/>
                <w:lang w:val="en-US" w:eastAsia="zh-CN"/>
              </w:rPr>
              <w:t>4188.94</w:t>
            </w:r>
            <w:r>
              <w:rPr>
                <w:rFonts w:hint="default" w:ascii="Times New Roman" w:hAnsi="Times New Roman" w:eastAsia="宋体" w:cs="Times New Roman"/>
                <w:color w:val="auto"/>
                <w:sz w:val="24"/>
                <w:szCs w:val="24"/>
                <w:highlight w:val="none"/>
                <w:u w:val="none"/>
                <w:lang w:val="en-US" w:eastAsia="zh-CN"/>
              </w:rPr>
              <w:t>m</w:t>
            </w:r>
            <w:r>
              <w:rPr>
                <w:rFonts w:hint="default" w:ascii="Times New Roman" w:hAnsi="Times New Roman" w:eastAsia="宋体" w:cs="Times New Roman"/>
                <w:color w:val="auto"/>
                <w:sz w:val="24"/>
                <w:szCs w:val="24"/>
                <w:highlight w:val="none"/>
                <w:u w:val="none"/>
                <w:vertAlign w:val="superscript"/>
                <w:lang w:val="en-US" w:eastAsia="zh-CN"/>
              </w:rPr>
              <w:t>2</w:t>
            </w:r>
            <w:r>
              <w:rPr>
                <w:rFonts w:hint="eastAsia" w:cs="Times New Roman"/>
                <w:color w:val="auto"/>
                <w:sz w:val="24"/>
                <w:szCs w:val="24"/>
                <w:highlight w:val="none"/>
                <w:u w:val="none"/>
                <w:vertAlign w:val="baseline"/>
                <w:lang w:val="en-US" w:eastAsia="zh-CN"/>
              </w:rPr>
              <w:t>；</w:t>
            </w:r>
          </w:p>
          <w:p w14:paraId="302E05EA">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u w:val="none"/>
                <w:vertAlign w:val="baseline"/>
                <w:lang w:val="en-US" w:eastAsia="zh-CN"/>
              </w:rPr>
            </w:pPr>
            <w:r>
              <w:rPr>
                <w:rFonts w:hint="eastAsia" w:ascii="Times New Roman" w:hAnsi="Times New Roman" w:eastAsia="宋体" w:cs="Times New Roman"/>
                <w:color w:val="auto"/>
                <w:sz w:val="24"/>
                <w:szCs w:val="24"/>
                <w:highlight w:val="none"/>
                <w:u w:val="none"/>
                <w:vertAlign w:val="baseline"/>
                <w:lang w:val="en-US" w:eastAsia="zh-CN"/>
              </w:rPr>
              <w:t>（8）工作制度：年生产300天，双班制，每班</w:t>
            </w:r>
            <w:r>
              <w:rPr>
                <w:rFonts w:hint="eastAsia" w:cs="Times New Roman"/>
                <w:color w:val="auto"/>
                <w:sz w:val="24"/>
                <w:szCs w:val="24"/>
                <w:highlight w:val="none"/>
                <w:u w:val="none"/>
                <w:vertAlign w:val="baseline"/>
                <w:lang w:val="en-US" w:eastAsia="zh-CN"/>
              </w:rPr>
              <w:t>8</w:t>
            </w:r>
            <w:r>
              <w:rPr>
                <w:rFonts w:hint="eastAsia" w:ascii="Times New Roman" w:hAnsi="Times New Roman" w:eastAsia="宋体" w:cs="Times New Roman"/>
                <w:color w:val="auto"/>
                <w:sz w:val="24"/>
                <w:szCs w:val="24"/>
                <w:highlight w:val="none"/>
                <w:u w:val="none"/>
                <w:vertAlign w:val="baseline"/>
                <w:lang w:val="en-US" w:eastAsia="zh-CN"/>
              </w:rPr>
              <w:t>小时；</w:t>
            </w:r>
          </w:p>
          <w:p w14:paraId="0E3CE887">
            <w:pPr>
              <w:pStyle w:val="3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u w:val="none"/>
                <w:vertAlign w:val="baseline"/>
                <w:lang w:val="en-US" w:eastAsia="zh-CN"/>
              </w:rPr>
            </w:pPr>
            <w:r>
              <w:rPr>
                <w:rFonts w:hint="eastAsia" w:ascii="Times New Roman" w:hAnsi="Times New Roman" w:eastAsia="宋体" w:cs="Times New Roman"/>
                <w:color w:val="auto"/>
                <w:sz w:val="24"/>
                <w:szCs w:val="24"/>
                <w:highlight w:val="none"/>
                <w:u w:val="none"/>
                <w:vertAlign w:val="baseline"/>
                <w:lang w:val="en-US" w:eastAsia="zh-CN"/>
              </w:rPr>
              <w:t>（9）劳动定员：职工</w:t>
            </w:r>
            <w:r>
              <w:rPr>
                <w:rFonts w:hint="eastAsia" w:cs="Times New Roman"/>
                <w:color w:val="auto"/>
                <w:sz w:val="24"/>
                <w:szCs w:val="24"/>
                <w:highlight w:val="none"/>
                <w:u w:val="none"/>
                <w:vertAlign w:val="baseline"/>
                <w:lang w:val="en-US" w:eastAsia="zh-CN"/>
              </w:rPr>
              <w:t>70</w:t>
            </w:r>
            <w:r>
              <w:rPr>
                <w:rFonts w:hint="eastAsia" w:ascii="Times New Roman" w:hAnsi="Times New Roman" w:eastAsia="宋体" w:cs="Times New Roman"/>
                <w:color w:val="auto"/>
                <w:sz w:val="24"/>
                <w:szCs w:val="24"/>
                <w:highlight w:val="none"/>
                <w:u w:val="none"/>
                <w:vertAlign w:val="baseline"/>
                <w:lang w:val="en-US" w:eastAsia="zh-CN"/>
              </w:rPr>
              <w:t>人，均不在厂食宿</w:t>
            </w:r>
            <w:r>
              <w:rPr>
                <w:rFonts w:hint="eastAsia" w:cs="Times New Roman"/>
                <w:color w:val="auto"/>
                <w:sz w:val="24"/>
                <w:szCs w:val="24"/>
                <w:highlight w:val="none"/>
                <w:u w:val="none"/>
                <w:vertAlign w:val="baseline"/>
                <w:lang w:val="en-US" w:eastAsia="zh-CN"/>
              </w:rPr>
              <w:t>。</w:t>
            </w:r>
          </w:p>
          <w:p w14:paraId="64FB2AD5">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24" w:name="_Toc21311"/>
            <w:r>
              <w:rPr>
                <w:rFonts w:hint="default" w:ascii="Times New Roman" w:hAnsi="Times New Roman" w:eastAsia="宋体" w:cs="Times New Roman"/>
                <w:b/>
                <w:bCs/>
                <w:color w:val="auto"/>
                <w:sz w:val="24"/>
                <w:szCs w:val="24"/>
                <w:u w:val="none"/>
                <w:lang w:val="en-US" w:eastAsia="zh-CN"/>
              </w:rPr>
              <w:t>2.2.</w:t>
            </w:r>
            <w:r>
              <w:rPr>
                <w:rFonts w:hint="default" w:cs="Times New Roman"/>
                <w:b/>
                <w:bCs/>
                <w:color w:val="auto"/>
                <w:sz w:val="24"/>
                <w:szCs w:val="24"/>
                <w:u w:val="none"/>
                <w:lang w:val="en-US" w:eastAsia="zh-CN"/>
              </w:rPr>
              <w:t>3</w:t>
            </w:r>
            <w:r>
              <w:rPr>
                <w:rFonts w:hint="default" w:ascii="Times New Roman" w:hAnsi="Times New Roman" w:eastAsia="宋体" w:cs="Times New Roman"/>
                <w:b/>
                <w:bCs/>
                <w:color w:val="auto"/>
                <w:sz w:val="24"/>
                <w:szCs w:val="24"/>
                <w:u w:val="none"/>
                <w:lang w:val="en-US" w:eastAsia="zh-CN"/>
              </w:rPr>
              <w:t xml:space="preserve"> </w:t>
            </w:r>
            <w:r>
              <w:rPr>
                <w:rFonts w:hint="eastAsia" w:ascii="Times New Roman" w:hAnsi="Times New Roman" w:eastAsia="宋体" w:cs="Times New Roman"/>
                <w:b/>
                <w:bCs/>
                <w:color w:val="auto"/>
                <w:sz w:val="24"/>
                <w:szCs w:val="24"/>
                <w:u w:val="none"/>
                <w:lang w:val="en-US" w:eastAsia="zh-CN"/>
              </w:rPr>
              <w:t>项目工程组成及建设内容</w:t>
            </w:r>
            <w:bookmarkEnd w:id="24"/>
          </w:p>
          <w:p w14:paraId="71708223">
            <w:pPr>
              <w:keepNext w:val="0"/>
              <w:keepLines w:val="0"/>
              <w:pageBreakBefore w:val="0"/>
              <w:kinsoku/>
              <w:wordWrap/>
              <w:overflowPunct/>
              <w:topLinePunct w:val="0"/>
              <w:autoSpaceDE/>
              <w:autoSpaceDN/>
              <w:bidi w:val="0"/>
              <w:adjustRightInd w:val="0"/>
              <w:snapToGrid w:val="0"/>
              <w:spacing w:line="240" w:lineRule="auto"/>
              <w:ind w:left="0"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项目工程组成及建设内容详见表2.2-1。</w:t>
            </w:r>
          </w:p>
          <w:p w14:paraId="7B2AE862">
            <w:pPr>
              <w:keepNext w:val="0"/>
              <w:keepLines w:val="0"/>
              <w:pageBreakBefore w:val="0"/>
              <w:widowControl w:val="0"/>
              <w:kinsoku/>
              <w:wordWrap/>
              <w:overflowPunct/>
              <w:topLinePunct w:val="0"/>
              <w:autoSpaceDE/>
              <w:autoSpaceDN/>
              <w:bidi w:val="0"/>
              <w:adjustRightInd w:val="0"/>
              <w:snapToGrid w:val="0"/>
              <w:spacing w:before="160" w:beforeLines="50" w:line="240" w:lineRule="auto"/>
              <w:ind w:right="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表2.2-1 项目工程组成及建设内容一览表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443"/>
              <w:gridCol w:w="1300"/>
              <w:gridCol w:w="4620"/>
              <w:gridCol w:w="1148"/>
            </w:tblGrid>
            <w:tr w14:paraId="17084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41" w:type="pct"/>
                  <w:tcBorders>
                    <w:tl2br w:val="nil"/>
                    <w:tr2bl w:val="nil"/>
                  </w:tcBorders>
                  <w:vAlign w:val="center"/>
                </w:tcPr>
                <w:p w14:paraId="18A35263">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工程类别</w:t>
                  </w:r>
                </w:p>
              </w:tc>
              <w:tc>
                <w:tcPr>
                  <w:tcW w:w="1011" w:type="pct"/>
                  <w:gridSpan w:val="2"/>
                  <w:tcBorders>
                    <w:tl2br w:val="nil"/>
                    <w:tr2bl w:val="nil"/>
                  </w:tcBorders>
                  <w:vAlign w:val="center"/>
                </w:tcPr>
                <w:p w14:paraId="31CC634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项目组成</w:t>
                  </w:r>
                </w:p>
              </w:tc>
              <w:tc>
                <w:tcPr>
                  <w:tcW w:w="2680" w:type="pct"/>
                  <w:tcBorders>
                    <w:tl2br w:val="nil"/>
                    <w:tr2bl w:val="nil"/>
                  </w:tcBorders>
                  <w:vAlign w:val="center"/>
                </w:tcPr>
                <w:p w14:paraId="21581C03">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工程规模和内容</w:t>
                  </w:r>
                </w:p>
              </w:tc>
              <w:tc>
                <w:tcPr>
                  <w:tcW w:w="666" w:type="pct"/>
                  <w:tcBorders>
                    <w:tl2br w:val="nil"/>
                    <w:tr2bl w:val="nil"/>
                  </w:tcBorders>
                  <w:vAlign w:val="center"/>
                </w:tcPr>
                <w:p w14:paraId="0F524DD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备注</w:t>
                  </w:r>
                </w:p>
              </w:tc>
            </w:tr>
            <w:tr w14:paraId="5CE49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641" w:type="pct"/>
                  <w:vMerge w:val="restart"/>
                  <w:tcBorders>
                    <w:tl2br w:val="nil"/>
                    <w:tr2bl w:val="nil"/>
                  </w:tcBorders>
                  <w:vAlign w:val="center"/>
                </w:tcPr>
                <w:p w14:paraId="275B811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主体工程</w:t>
                  </w:r>
                </w:p>
              </w:tc>
              <w:tc>
                <w:tcPr>
                  <w:tcW w:w="1011" w:type="pct"/>
                  <w:gridSpan w:val="2"/>
                  <w:tcBorders>
                    <w:tl2br w:val="nil"/>
                    <w:tr2bl w:val="nil"/>
                  </w:tcBorders>
                  <w:vAlign w:val="center"/>
                </w:tcPr>
                <w:p w14:paraId="67744AA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工业连接器生产区</w:t>
                  </w:r>
                </w:p>
              </w:tc>
              <w:tc>
                <w:tcPr>
                  <w:tcW w:w="2680" w:type="pct"/>
                  <w:tcBorders>
                    <w:tl2br w:val="nil"/>
                    <w:tr2bl w:val="nil"/>
                  </w:tcBorders>
                  <w:vAlign w:val="center"/>
                </w:tcPr>
                <w:p w14:paraId="3363C33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涉及工序注塑、粉碎位于1层北侧；喷粉、组装位于2层西北侧</w:t>
                  </w:r>
                </w:p>
              </w:tc>
              <w:tc>
                <w:tcPr>
                  <w:tcW w:w="666" w:type="pct"/>
                  <w:vMerge w:val="restart"/>
                  <w:tcBorders>
                    <w:tl2br w:val="nil"/>
                    <w:tr2bl w:val="nil"/>
                  </w:tcBorders>
                  <w:vAlign w:val="center"/>
                </w:tcPr>
                <w:p w14:paraId="3417166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依托已建厂房</w:t>
                  </w:r>
                </w:p>
              </w:tc>
            </w:tr>
            <w:tr w14:paraId="53B37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641" w:type="pct"/>
                  <w:vMerge w:val="continue"/>
                  <w:tcBorders>
                    <w:tl2br w:val="nil"/>
                    <w:tr2bl w:val="nil"/>
                  </w:tcBorders>
                  <w:vAlign w:val="center"/>
                </w:tcPr>
                <w:p w14:paraId="50330E5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pPr>
                </w:p>
              </w:tc>
              <w:tc>
                <w:tcPr>
                  <w:tcW w:w="1011" w:type="pct"/>
                  <w:gridSpan w:val="2"/>
                  <w:tcBorders>
                    <w:tl2br w:val="nil"/>
                    <w:tr2bl w:val="nil"/>
                  </w:tcBorders>
                  <w:vAlign w:val="center"/>
                </w:tcPr>
                <w:p w14:paraId="6812AE23">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工业线缆生产区</w:t>
                  </w:r>
                </w:p>
              </w:tc>
              <w:tc>
                <w:tcPr>
                  <w:tcW w:w="2680" w:type="pct"/>
                  <w:tcBorders>
                    <w:tl2br w:val="nil"/>
                    <w:tr2bl w:val="nil"/>
                  </w:tcBorders>
                  <w:vAlign w:val="center"/>
                </w:tcPr>
                <w:p w14:paraId="52DD6820">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位于厂房3层，包胶、包装位于北侧，线束物料储存库位于南侧</w:t>
                  </w:r>
                </w:p>
              </w:tc>
              <w:tc>
                <w:tcPr>
                  <w:tcW w:w="666" w:type="pct"/>
                  <w:vMerge w:val="continue"/>
                  <w:tcBorders>
                    <w:tl2br w:val="nil"/>
                    <w:tr2bl w:val="nil"/>
                  </w:tcBorders>
                  <w:vAlign w:val="center"/>
                </w:tcPr>
                <w:p w14:paraId="2CAC3938">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14:paraId="7F2C2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41" w:type="pct"/>
                  <w:vMerge w:val="restart"/>
                  <w:tcBorders>
                    <w:tl2br w:val="nil"/>
                    <w:tr2bl w:val="nil"/>
                  </w:tcBorders>
                  <w:vAlign w:val="center"/>
                </w:tcPr>
                <w:p w14:paraId="570631A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辅助工程</w:t>
                  </w:r>
                </w:p>
              </w:tc>
              <w:tc>
                <w:tcPr>
                  <w:tcW w:w="1011" w:type="pct"/>
                  <w:gridSpan w:val="2"/>
                  <w:tcBorders>
                    <w:tl2br w:val="nil"/>
                    <w:tr2bl w:val="nil"/>
                  </w:tcBorders>
                  <w:vAlign w:val="center"/>
                </w:tcPr>
                <w:p w14:paraId="1AF8A40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成品区</w:t>
                  </w:r>
                </w:p>
              </w:tc>
              <w:tc>
                <w:tcPr>
                  <w:tcW w:w="2680" w:type="pct"/>
                  <w:tcBorders>
                    <w:tl2br w:val="nil"/>
                    <w:tr2bl w:val="nil"/>
                  </w:tcBorders>
                  <w:vAlign w:val="center"/>
                </w:tcPr>
                <w:p w14:paraId="3CB858E8">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位于厂房</w:t>
                  </w:r>
                  <w:r>
                    <w:rPr>
                      <w:rFonts w:hint="eastAsia"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层</w:t>
                  </w:r>
                  <w:r>
                    <w:rPr>
                      <w:rFonts w:hint="eastAsia" w:cs="Times New Roman"/>
                      <w:color w:val="auto"/>
                      <w:sz w:val="21"/>
                      <w:szCs w:val="21"/>
                      <w:highlight w:val="none"/>
                      <w:vertAlign w:val="baseline"/>
                      <w:lang w:val="en-US" w:eastAsia="zh-CN"/>
                    </w:rPr>
                    <w:t>北</w:t>
                  </w:r>
                  <w:r>
                    <w:rPr>
                      <w:rFonts w:hint="eastAsia" w:ascii="Times New Roman" w:hAnsi="Times New Roman" w:eastAsia="宋体" w:cs="Times New Roman"/>
                      <w:color w:val="auto"/>
                      <w:sz w:val="21"/>
                      <w:szCs w:val="21"/>
                      <w:highlight w:val="none"/>
                      <w:vertAlign w:val="baseline"/>
                      <w:lang w:val="en-US" w:eastAsia="zh-CN"/>
                    </w:rPr>
                    <w:t>侧，用于成品堆放</w:t>
                  </w:r>
                </w:p>
              </w:tc>
              <w:tc>
                <w:tcPr>
                  <w:tcW w:w="666" w:type="pct"/>
                  <w:vMerge w:val="restart"/>
                  <w:tcBorders>
                    <w:tl2br w:val="nil"/>
                    <w:tr2bl w:val="nil"/>
                  </w:tcBorders>
                  <w:vAlign w:val="center"/>
                </w:tcPr>
                <w:p w14:paraId="6861958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依托已建厂房</w:t>
                  </w:r>
                </w:p>
              </w:tc>
            </w:tr>
            <w:tr w14:paraId="59BAC7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641" w:type="pct"/>
                  <w:vMerge w:val="continue"/>
                  <w:tcBorders>
                    <w:tl2br w:val="nil"/>
                    <w:tr2bl w:val="nil"/>
                  </w:tcBorders>
                  <w:vAlign w:val="center"/>
                </w:tcPr>
                <w:p w14:paraId="5C28C19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11" w:type="pct"/>
                  <w:gridSpan w:val="2"/>
                  <w:tcBorders>
                    <w:tl2br w:val="nil"/>
                    <w:tr2bl w:val="nil"/>
                  </w:tcBorders>
                  <w:vAlign w:val="center"/>
                </w:tcPr>
                <w:p w14:paraId="0583AAB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原辅料区</w:t>
                  </w:r>
                </w:p>
              </w:tc>
              <w:tc>
                <w:tcPr>
                  <w:tcW w:w="2680" w:type="pct"/>
                  <w:tcBorders>
                    <w:tl2br w:val="nil"/>
                    <w:tr2bl w:val="nil"/>
                  </w:tcBorders>
                  <w:vAlign w:val="center"/>
                </w:tcPr>
                <w:p w14:paraId="02F666A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位于厂房</w:t>
                  </w:r>
                  <w:r>
                    <w:rPr>
                      <w:rFonts w:hint="eastAsia"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层，用于原辅料堆放</w:t>
                  </w:r>
                </w:p>
              </w:tc>
              <w:tc>
                <w:tcPr>
                  <w:tcW w:w="666" w:type="pct"/>
                  <w:vMerge w:val="continue"/>
                  <w:tcBorders>
                    <w:tl2br w:val="nil"/>
                    <w:tr2bl w:val="nil"/>
                  </w:tcBorders>
                  <w:vAlign w:val="center"/>
                </w:tcPr>
                <w:p w14:paraId="028FCC7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14:paraId="577CF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1" w:type="pct"/>
                  <w:vMerge w:val="continue"/>
                  <w:tcBorders>
                    <w:tl2br w:val="nil"/>
                    <w:tr2bl w:val="nil"/>
                  </w:tcBorders>
                  <w:vAlign w:val="center"/>
                </w:tcPr>
                <w:p w14:paraId="3B0CF54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11" w:type="pct"/>
                  <w:gridSpan w:val="2"/>
                  <w:tcBorders>
                    <w:tl2br w:val="nil"/>
                    <w:tr2bl w:val="nil"/>
                  </w:tcBorders>
                  <w:vAlign w:val="center"/>
                </w:tcPr>
                <w:p w14:paraId="625B059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办公区</w:t>
                  </w:r>
                </w:p>
              </w:tc>
              <w:tc>
                <w:tcPr>
                  <w:tcW w:w="2680" w:type="pct"/>
                  <w:tcBorders>
                    <w:tl2br w:val="nil"/>
                    <w:tr2bl w:val="nil"/>
                  </w:tcBorders>
                  <w:vAlign w:val="center"/>
                </w:tcPr>
                <w:p w14:paraId="3D2445A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位于厂房</w:t>
                  </w:r>
                  <w:r>
                    <w:rPr>
                      <w:rFonts w:hint="eastAsia" w:cs="Times New Roman"/>
                      <w:color w:val="auto"/>
                      <w:sz w:val="21"/>
                      <w:szCs w:val="21"/>
                      <w:highlight w:val="none"/>
                      <w:vertAlign w:val="baseline"/>
                      <w:lang w:val="en-US" w:eastAsia="zh-CN"/>
                    </w:rPr>
                    <w:t>4</w:t>
                  </w:r>
                  <w:r>
                    <w:rPr>
                      <w:rFonts w:hint="eastAsia" w:ascii="Times New Roman" w:hAnsi="Times New Roman" w:eastAsia="宋体" w:cs="Times New Roman"/>
                      <w:color w:val="auto"/>
                      <w:sz w:val="21"/>
                      <w:szCs w:val="21"/>
                      <w:highlight w:val="none"/>
                      <w:vertAlign w:val="baseline"/>
                      <w:lang w:val="en-US" w:eastAsia="zh-CN"/>
                    </w:rPr>
                    <w:t>层</w:t>
                  </w:r>
                </w:p>
              </w:tc>
              <w:tc>
                <w:tcPr>
                  <w:tcW w:w="666" w:type="pct"/>
                  <w:vMerge w:val="continue"/>
                  <w:tcBorders>
                    <w:tl2br w:val="nil"/>
                    <w:tr2bl w:val="nil"/>
                  </w:tcBorders>
                  <w:vAlign w:val="center"/>
                </w:tcPr>
                <w:p w14:paraId="19EA3A3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14:paraId="6B19A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1" w:hRule="atLeast"/>
              </w:trPr>
              <w:tc>
                <w:tcPr>
                  <w:tcW w:w="641" w:type="pct"/>
                  <w:vMerge w:val="restart"/>
                  <w:tcBorders>
                    <w:tl2br w:val="nil"/>
                    <w:tr2bl w:val="nil"/>
                  </w:tcBorders>
                  <w:vAlign w:val="center"/>
                </w:tcPr>
                <w:p w14:paraId="1255D78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公用工程</w:t>
                  </w:r>
                </w:p>
              </w:tc>
              <w:tc>
                <w:tcPr>
                  <w:tcW w:w="1011" w:type="pct"/>
                  <w:gridSpan w:val="2"/>
                  <w:tcBorders>
                    <w:tl2br w:val="nil"/>
                    <w:tr2bl w:val="nil"/>
                  </w:tcBorders>
                  <w:shd w:val="clear" w:color="auto" w:fill="auto"/>
                  <w:vAlign w:val="center"/>
                </w:tcPr>
                <w:p w14:paraId="0B2D8EE1">
                  <w:pPr>
                    <w:snapToGrid w:val="0"/>
                    <w:spacing w:line="240" w:lineRule="atLeast"/>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color w:val="auto"/>
                      <w:szCs w:val="21"/>
                    </w:rPr>
                    <w:t>供水</w:t>
                  </w:r>
                </w:p>
              </w:tc>
              <w:tc>
                <w:tcPr>
                  <w:tcW w:w="2680" w:type="pct"/>
                  <w:tcBorders>
                    <w:tl2br w:val="nil"/>
                    <w:tr2bl w:val="nil"/>
                  </w:tcBorders>
                  <w:vAlign w:val="center"/>
                </w:tcPr>
                <w:p w14:paraId="456B092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olor w:val="000000"/>
                      <w:szCs w:val="21"/>
                    </w:rPr>
                    <w:t>项目生产生活用水由市政生活用水管网直接供给</w:t>
                  </w:r>
                </w:p>
              </w:tc>
              <w:tc>
                <w:tcPr>
                  <w:tcW w:w="666" w:type="pct"/>
                  <w:tcBorders>
                    <w:tl2br w:val="nil"/>
                    <w:tr2bl w:val="nil"/>
                  </w:tcBorders>
                  <w:vAlign w:val="center"/>
                </w:tcPr>
                <w:p w14:paraId="50B23BC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依托现有</w:t>
                  </w:r>
                </w:p>
              </w:tc>
            </w:tr>
            <w:tr w14:paraId="79B1B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641" w:type="pct"/>
                  <w:vMerge w:val="continue"/>
                  <w:tcBorders>
                    <w:tl2br w:val="nil"/>
                    <w:tr2bl w:val="nil"/>
                  </w:tcBorders>
                  <w:vAlign w:val="center"/>
                </w:tcPr>
                <w:p w14:paraId="34540BB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011" w:type="pct"/>
                  <w:gridSpan w:val="2"/>
                  <w:tcBorders>
                    <w:tl2br w:val="nil"/>
                    <w:tr2bl w:val="nil"/>
                  </w:tcBorders>
                  <w:shd w:val="clear" w:color="auto" w:fill="auto"/>
                  <w:vAlign w:val="center"/>
                </w:tcPr>
                <w:p w14:paraId="07AF2F9F">
                  <w:pPr>
                    <w:snapToGrid w:val="0"/>
                    <w:spacing w:line="240" w:lineRule="atLeast"/>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color w:val="auto"/>
                      <w:szCs w:val="21"/>
                    </w:rPr>
                    <w:t>排水</w:t>
                  </w:r>
                </w:p>
              </w:tc>
              <w:tc>
                <w:tcPr>
                  <w:tcW w:w="2680" w:type="pct"/>
                  <w:tcBorders>
                    <w:tl2br w:val="nil"/>
                    <w:tr2bl w:val="nil"/>
                  </w:tcBorders>
                  <w:vAlign w:val="center"/>
                </w:tcPr>
                <w:p w14:paraId="2620C84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项目采用“雨污分流、清污分流”，生产过程中</w:t>
                  </w:r>
                  <w:r>
                    <w:rPr>
                      <w:rFonts w:hint="eastAsia" w:cs="Times New Roman"/>
                      <w:color w:val="auto"/>
                      <w:sz w:val="21"/>
                      <w:szCs w:val="21"/>
                      <w:highlight w:val="none"/>
                      <w:vertAlign w:val="baseline"/>
                      <w:lang w:val="en-US" w:eastAsia="zh-CN"/>
                    </w:rPr>
                    <w:t>冷却水循环使用不外排</w:t>
                  </w:r>
                  <w:r>
                    <w:rPr>
                      <w:rFonts w:hint="eastAsia" w:ascii="Times New Roman" w:hAnsi="Times New Roman" w:eastAsia="宋体" w:cs="Times New Roman"/>
                      <w:color w:val="auto"/>
                      <w:sz w:val="21"/>
                      <w:szCs w:val="21"/>
                      <w:highlight w:val="none"/>
                      <w:vertAlign w:val="baseline"/>
                      <w:lang w:val="en-US" w:eastAsia="zh-CN"/>
                    </w:rPr>
                    <w:t>；职工生活污水经园区内已建化粪池预处理后，接入市政污水管网，纳入福清融元污水处理厂统一处理，尾水排入龙江。</w:t>
                  </w:r>
                </w:p>
              </w:tc>
              <w:tc>
                <w:tcPr>
                  <w:tcW w:w="666" w:type="pct"/>
                  <w:tcBorders>
                    <w:tl2br w:val="nil"/>
                    <w:tr2bl w:val="nil"/>
                  </w:tcBorders>
                  <w:shd w:val="clear" w:color="auto" w:fill="auto"/>
                  <w:vAlign w:val="center"/>
                </w:tcPr>
                <w:p w14:paraId="2D2C4CC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依托现有</w:t>
                  </w:r>
                </w:p>
              </w:tc>
            </w:tr>
            <w:tr w14:paraId="2EB54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641" w:type="pct"/>
                  <w:vMerge w:val="continue"/>
                  <w:tcBorders>
                    <w:tl2br w:val="nil"/>
                    <w:tr2bl w:val="nil"/>
                  </w:tcBorders>
                  <w:vAlign w:val="center"/>
                </w:tcPr>
                <w:p w14:paraId="4EA454E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011" w:type="pct"/>
                  <w:gridSpan w:val="2"/>
                  <w:tcBorders>
                    <w:tl2br w:val="nil"/>
                    <w:tr2bl w:val="nil"/>
                  </w:tcBorders>
                  <w:shd w:val="clear" w:color="auto" w:fill="auto"/>
                  <w:vAlign w:val="center"/>
                </w:tcPr>
                <w:p w14:paraId="21EB020F">
                  <w:pPr>
                    <w:snapToGrid w:val="0"/>
                    <w:spacing w:line="240" w:lineRule="atLeast"/>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color w:val="auto"/>
                      <w:szCs w:val="21"/>
                    </w:rPr>
                    <w:t>供电</w:t>
                  </w:r>
                </w:p>
              </w:tc>
              <w:tc>
                <w:tcPr>
                  <w:tcW w:w="2680" w:type="pct"/>
                  <w:tcBorders>
                    <w:tl2br w:val="nil"/>
                    <w:tr2bl w:val="nil"/>
                  </w:tcBorders>
                  <w:vAlign w:val="center"/>
                </w:tcPr>
                <w:p w14:paraId="0840B02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接市政供电系统</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依托厂区内现有的供电系统</w:t>
                  </w:r>
                </w:p>
              </w:tc>
              <w:tc>
                <w:tcPr>
                  <w:tcW w:w="666" w:type="pct"/>
                  <w:tcBorders>
                    <w:tl2br w:val="nil"/>
                    <w:tr2bl w:val="nil"/>
                  </w:tcBorders>
                  <w:vAlign w:val="center"/>
                </w:tcPr>
                <w:p w14:paraId="6C4546C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依托现有</w:t>
                  </w:r>
                </w:p>
              </w:tc>
            </w:tr>
            <w:tr w14:paraId="1AA18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1" w:type="pct"/>
                  <w:vMerge w:val="restart"/>
                  <w:tcBorders>
                    <w:tl2br w:val="nil"/>
                    <w:tr2bl w:val="nil"/>
                  </w:tcBorders>
                  <w:vAlign w:val="center"/>
                </w:tcPr>
                <w:p w14:paraId="0E17E6E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环保工程</w:t>
                  </w:r>
                </w:p>
              </w:tc>
              <w:tc>
                <w:tcPr>
                  <w:tcW w:w="1011" w:type="pct"/>
                  <w:gridSpan w:val="2"/>
                  <w:tcBorders>
                    <w:tl2br w:val="nil"/>
                    <w:tr2bl w:val="nil"/>
                  </w:tcBorders>
                  <w:vAlign w:val="center"/>
                </w:tcPr>
                <w:p w14:paraId="0386721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废水治理</w:t>
                  </w:r>
                </w:p>
              </w:tc>
              <w:tc>
                <w:tcPr>
                  <w:tcW w:w="2680" w:type="pct"/>
                  <w:tcBorders>
                    <w:tl2br w:val="nil"/>
                    <w:tr2bl w:val="nil"/>
                  </w:tcBorders>
                  <w:vAlign w:val="center"/>
                </w:tcPr>
                <w:p w14:paraId="09A16EF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eastAsia="zh-CN"/>
                    </w:rPr>
                    <w:t>运营期</w:t>
                  </w:r>
                  <w:r>
                    <w:rPr>
                      <w:rFonts w:hint="eastAsia" w:cs="Times New Roman"/>
                      <w:color w:val="auto"/>
                      <w:sz w:val="21"/>
                      <w:szCs w:val="21"/>
                      <w:u w:val="none"/>
                      <w:vertAlign w:val="baseline"/>
                      <w:lang w:val="en-US" w:eastAsia="zh-CN"/>
                    </w:rPr>
                    <w:t>冷却水循环使用不外排；</w:t>
                  </w:r>
                </w:p>
                <w:p w14:paraId="28C71D2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喷粉前清洗水经过自建废水处理设施处理后回用于清洗工序，不外排；</w:t>
                  </w:r>
                </w:p>
                <w:p w14:paraId="5A01B4B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u w:val="none"/>
                      <w:vertAlign w:val="baseline"/>
                      <w:lang w:eastAsia="zh-CN"/>
                    </w:rPr>
                    <w:t>生活污水经化粪池预处理后，排入</w:t>
                  </w:r>
                  <w:r>
                    <w:rPr>
                      <w:rFonts w:hint="default" w:ascii="Times New Roman" w:hAnsi="Times New Roman" w:eastAsia="宋体" w:cs="Times New Roman"/>
                      <w:color w:val="auto"/>
                      <w:sz w:val="21"/>
                      <w:szCs w:val="21"/>
                      <w:highlight w:val="none"/>
                      <w:u w:val="none"/>
                      <w:vertAlign w:val="baseline"/>
                      <w:lang w:eastAsia="zh-CN"/>
                    </w:rPr>
                    <w:t>市政污水管网纳入福清市</w:t>
                  </w:r>
                  <w:r>
                    <w:rPr>
                      <w:rFonts w:hint="eastAsia" w:cs="Times New Roman"/>
                      <w:color w:val="auto"/>
                      <w:sz w:val="21"/>
                      <w:szCs w:val="21"/>
                      <w:highlight w:val="none"/>
                      <w:u w:val="none"/>
                      <w:vertAlign w:val="baseline"/>
                      <w:lang w:val="en-US" w:eastAsia="zh-CN"/>
                    </w:rPr>
                    <w:t>融元</w:t>
                  </w:r>
                  <w:r>
                    <w:rPr>
                      <w:rFonts w:hint="default" w:ascii="Times New Roman" w:hAnsi="Times New Roman" w:eastAsia="宋体" w:cs="Times New Roman"/>
                      <w:color w:val="auto"/>
                      <w:sz w:val="21"/>
                      <w:szCs w:val="21"/>
                      <w:highlight w:val="none"/>
                      <w:u w:val="none"/>
                      <w:vertAlign w:val="baseline"/>
                      <w:lang w:eastAsia="zh-CN"/>
                    </w:rPr>
                    <w:t>污水处理厂</w:t>
                  </w:r>
                  <w:r>
                    <w:rPr>
                      <w:rFonts w:hint="eastAsia" w:ascii="Times New Roman" w:hAnsi="Times New Roman" w:eastAsia="宋体" w:cs="Times New Roman"/>
                      <w:color w:val="auto"/>
                      <w:sz w:val="21"/>
                      <w:szCs w:val="21"/>
                      <w:highlight w:val="none"/>
                      <w:vertAlign w:val="baseline"/>
                      <w:lang w:val="en-US" w:eastAsia="zh-CN"/>
                    </w:rPr>
                    <w:t>统一处理，尾水排入龙江。</w:t>
                  </w:r>
                </w:p>
              </w:tc>
              <w:tc>
                <w:tcPr>
                  <w:tcW w:w="666" w:type="pct"/>
                  <w:tcBorders>
                    <w:tl2br w:val="nil"/>
                    <w:tr2bl w:val="nil"/>
                  </w:tcBorders>
                  <w:vAlign w:val="center"/>
                </w:tcPr>
                <w:p w14:paraId="2433B90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依托现有化粪池</w:t>
                  </w:r>
                </w:p>
              </w:tc>
            </w:tr>
            <w:tr w14:paraId="76D37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641" w:type="pct"/>
                  <w:vMerge w:val="continue"/>
                  <w:tcBorders>
                    <w:tl2br w:val="nil"/>
                    <w:tr2bl w:val="nil"/>
                  </w:tcBorders>
                  <w:vAlign w:val="center"/>
                </w:tcPr>
                <w:p w14:paraId="1476E58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57" w:type="pct"/>
                  <w:vMerge w:val="restart"/>
                  <w:tcBorders>
                    <w:tl2br w:val="nil"/>
                    <w:tr2bl w:val="nil"/>
                  </w:tcBorders>
                  <w:vAlign w:val="center"/>
                </w:tcPr>
                <w:p w14:paraId="31F0657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废气治理</w:t>
                  </w:r>
                </w:p>
              </w:tc>
              <w:tc>
                <w:tcPr>
                  <w:tcW w:w="754" w:type="pct"/>
                  <w:tcBorders>
                    <w:tl2br w:val="nil"/>
                    <w:tr2bl w:val="nil"/>
                  </w:tcBorders>
                  <w:vAlign w:val="center"/>
                </w:tcPr>
                <w:p w14:paraId="2293807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非甲烷总烃（VOCs）</w:t>
                  </w:r>
                </w:p>
              </w:tc>
              <w:tc>
                <w:tcPr>
                  <w:tcW w:w="2680" w:type="pct"/>
                  <w:tcBorders>
                    <w:tl2br w:val="nil"/>
                    <w:tr2bl w:val="nil"/>
                  </w:tcBorders>
                  <w:vAlign w:val="center"/>
                </w:tcPr>
                <w:p w14:paraId="5EB355E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注塑</w:t>
                  </w:r>
                  <w:r>
                    <w:rPr>
                      <w:rFonts w:hint="eastAsia" w:cs="Times New Roman"/>
                      <w:color w:val="auto"/>
                      <w:sz w:val="21"/>
                      <w:szCs w:val="21"/>
                      <w:highlight w:val="none"/>
                      <w:vertAlign w:val="baseline"/>
                      <w:lang w:val="en-US" w:eastAsia="zh-CN"/>
                    </w:rPr>
                    <w:t>、包胶、烘烤、除油</w:t>
                  </w:r>
                  <w:r>
                    <w:rPr>
                      <w:rFonts w:hint="eastAsia" w:ascii="Times New Roman" w:hAnsi="Times New Roman" w:eastAsia="宋体" w:cs="Times New Roman"/>
                      <w:color w:val="auto"/>
                      <w:sz w:val="21"/>
                      <w:szCs w:val="21"/>
                      <w:highlight w:val="none"/>
                      <w:vertAlign w:val="baseline"/>
                      <w:lang w:val="en-US" w:eastAsia="zh-CN"/>
                    </w:rPr>
                    <w:t>废气通过集气罩收集后由一套“</w:t>
                  </w:r>
                  <w:r>
                    <w:rPr>
                      <w:rFonts w:hint="eastAsia" w:cs="Times New Roman"/>
                      <w:color w:val="auto"/>
                      <w:sz w:val="21"/>
                      <w:szCs w:val="21"/>
                      <w:highlight w:val="none"/>
                      <w:vertAlign w:val="baseline"/>
                      <w:lang w:val="en-US" w:eastAsia="zh-CN"/>
                    </w:rPr>
                    <w:t>二级</w:t>
                  </w:r>
                  <w:r>
                    <w:rPr>
                      <w:rFonts w:hint="eastAsia" w:ascii="Times New Roman" w:hAnsi="Times New Roman" w:eastAsia="宋体" w:cs="Times New Roman"/>
                      <w:color w:val="auto"/>
                      <w:sz w:val="21"/>
                      <w:szCs w:val="21"/>
                      <w:highlight w:val="none"/>
                      <w:vertAlign w:val="baseline"/>
                      <w:lang w:val="en-US" w:eastAsia="zh-CN"/>
                    </w:rPr>
                    <w:t>活性炭吸附装置”</w:t>
                  </w:r>
                  <w:r>
                    <w:rPr>
                      <w:rFonts w:hint="eastAsia" w:cs="Times New Roman"/>
                      <w:color w:val="auto"/>
                      <w:sz w:val="21"/>
                      <w:szCs w:val="21"/>
                      <w:highlight w:val="none"/>
                      <w:vertAlign w:val="baseline"/>
                      <w:lang w:val="en-US" w:eastAsia="zh-CN"/>
                    </w:rPr>
                    <w:t>（TA001）</w:t>
                  </w:r>
                  <w:r>
                    <w:rPr>
                      <w:rFonts w:hint="eastAsia" w:ascii="Times New Roman" w:hAnsi="Times New Roman" w:eastAsia="宋体" w:cs="Times New Roman"/>
                      <w:color w:val="auto"/>
                      <w:sz w:val="21"/>
                      <w:szCs w:val="21"/>
                      <w:highlight w:val="none"/>
                      <w:vertAlign w:val="baseline"/>
                      <w:lang w:val="en-US" w:eastAsia="zh-CN"/>
                    </w:rPr>
                    <w:t>处理后，通过1根15</w:t>
                  </w:r>
                  <w:r>
                    <w:rPr>
                      <w:rFonts w:hint="eastAsia" w:cs="Times New Roman"/>
                      <w:color w:val="auto"/>
                      <w:sz w:val="21"/>
                      <w:szCs w:val="21"/>
                      <w:highlight w:val="none"/>
                      <w:vertAlign w:val="baseline"/>
                      <w:lang w:val="en-US" w:eastAsia="zh-CN"/>
                    </w:rPr>
                    <w:t>m</w:t>
                  </w:r>
                  <w:r>
                    <w:rPr>
                      <w:rFonts w:hint="eastAsia" w:ascii="Times New Roman" w:hAnsi="Times New Roman" w:eastAsia="宋体" w:cs="Times New Roman"/>
                      <w:color w:val="auto"/>
                      <w:sz w:val="21"/>
                      <w:szCs w:val="21"/>
                      <w:highlight w:val="none"/>
                      <w:vertAlign w:val="baseline"/>
                      <w:lang w:val="en-US" w:eastAsia="zh-CN"/>
                    </w:rPr>
                    <w:t>高排气筒</w:t>
                  </w:r>
                  <w:r>
                    <w:rPr>
                      <w:rFonts w:hint="eastAsia"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DA00</w:t>
                  </w:r>
                  <w:r>
                    <w:rPr>
                      <w:rFonts w:hint="eastAsia"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排放</w:t>
                  </w:r>
                  <w:r>
                    <w:rPr>
                      <w:rFonts w:hint="eastAsia" w:cs="Times New Roman"/>
                      <w:color w:val="auto"/>
                      <w:sz w:val="21"/>
                      <w:szCs w:val="21"/>
                      <w:highlight w:val="none"/>
                      <w:vertAlign w:val="baseline"/>
                      <w:lang w:val="en-US" w:eastAsia="zh-CN"/>
                    </w:rPr>
                    <w:t>；</w:t>
                  </w:r>
                </w:p>
              </w:tc>
              <w:tc>
                <w:tcPr>
                  <w:tcW w:w="666" w:type="pct"/>
                  <w:tcBorders>
                    <w:tl2br w:val="nil"/>
                    <w:tr2bl w:val="nil"/>
                  </w:tcBorders>
                  <w:vAlign w:val="center"/>
                </w:tcPr>
                <w:p w14:paraId="769C393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本次新建</w:t>
                  </w:r>
                </w:p>
              </w:tc>
            </w:tr>
            <w:tr w14:paraId="5ADF3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641" w:type="pct"/>
                  <w:vMerge w:val="continue"/>
                  <w:tcBorders>
                    <w:tl2br w:val="nil"/>
                    <w:tr2bl w:val="nil"/>
                  </w:tcBorders>
                  <w:vAlign w:val="center"/>
                </w:tcPr>
                <w:p w14:paraId="545A80D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57" w:type="pct"/>
                  <w:vMerge w:val="continue"/>
                  <w:tcBorders>
                    <w:tl2br w:val="nil"/>
                    <w:tr2bl w:val="nil"/>
                  </w:tcBorders>
                  <w:vAlign w:val="center"/>
                </w:tcPr>
                <w:p w14:paraId="0B158B9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754" w:type="pct"/>
                  <w:tcBorders>
                    <w:tl2br w:val="nil"/>
                    <w:tr2bl w:val="nil"/>
                  </w:tcBorders>
                  <w:vAlign w:val="center"/>
                </w:tcPr>
                <w:p w14:paraId="790BFFA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颗粒物</w:t>
                  </w:r>
                </w:p>
              </w:tc>
              <w:tc>
                <w:tcPr>
                  <w:tcW w:w="2680" w:type="pct"/>
                  <w:tcBorders>
                    <w:tl2br w:val="nil"/>
                    <w:tr2bl w:val="nil"/>
                  </w:tcBorders>
                  <w:vAlign w:val="center"/>
                </w:tcPr>
                <w:p w14:paraId="5E41BC18">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喷粉废气通过负压收集+滤芯回收系统后接入二级</w:t>
                  </w:r>
                  <w:r>
                    <w:rPr>
                      <w:rFonts w:hint="eastAsia" w:ascii="Times New Roman" w:hAnsi="Times New Roman" w:eastAsia="宋体" w:cs="Times New Roman"/>
                      <w:color w:val="auto"/>
                      <w:sz w:val="21"/>
                      <w:szCs w:val="21"/>
                      <w:highlight w:val="none"/>
                      <w:vertAlign w:val="baseline"/>
                      <w:lang w:val="en-US" w:eastAsia="zh-CN"/>
                    </w:rPr>
                    <w:t>活性炭吸附装置”</w:t>
                  </w:r>
                  <w:r>
                    <w:rPr>
                      <w:rFonts w:hint="eastAsia" w:cs="Times New Roman"/>
                      <w:color w:val="auto"/>
                      <w:sz w:val="21"/>
                      <w:szCs w:val="21"/>
                      <w:highlight w:val="none"/>
                      <w:vertAlign w:val="baseline"/>
                      <w:lang w:val="en-US" w:eastAsia="zh-CN"/>
                    </w:rPr>
                    <w:t>（TA001）处理后于</w:t>
                  </w:r>
                  <w:r>
                    <w:rPr>
                      <w:rFonts w:hint="eastAsia" w:ascii="Times New Roman" w:hAnsi="Times New Roman" w:eastAsia="宋体" w:cs="Times New Roman"/>
                      <w:color w:val="auto"/>
                      <w:sz w:val="21"/>
                      <w:szCs w:val="21"/>
                      <w:highlight w:val="none"/>
                      <w:vertAlign w:val="baseline"/>
                      <w:lang w:val="en-US" w:eastAsia="zh-CN"/>
                    </w:rPr>
                    <w:t>15</w:t>
                  </w:r>
                  <w:r>
                    <w:rPr>
                      <w:rFonts w:hint="eastAsia" w:cs="Times New Roman"/>
                      <w:color w:val="auto"/>
                      <w:sz w:val="21"/>
                      <w:szCs w:val="21"/>
                      <w:highlight w:val="none"/>
                      <w:vertAlign w:val="baseline"/>
                      <w:lang w:val="en-US" w:eastAsia="zh-CN"/>
                    </w:rPr>
                    <w:t>m</w:t>
                  </w:r>
                  <w:r>
                    <w:rPr>
                      <w:rFonts w:hint="eastAsia" w:ascii="Times New Roman" w:hAnsi="Times New Roman" w:eastAsia="宋体" w:cs="Times New Roman"/>
                      <w:color w:val="auto"/>
                      <w:sz w:val="21"/>
                      <w:szCs w:val="21"/>
                      <w:highlight w:val="none"/>
                      <w:vertAlign w:val="baseline"/>
                      <w:lang w:val="en-US" w:eastAsia="zh-CN"/>
                    </w:rPr>
                    <w:t>高排气筒</w:t>
                  </w:r>
                  <w:r>
                    <w:rPr>
                      <w:rFonts w:hint="eastAsia"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DA00</w:t>
                  </w:r>
                  <w:r>
                    <w:rPr>
                      <w:rFonts w:hint="eastAsia"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排放；料头粉碎废气通过移动除尘器处理后无组织排放。</w:t>
                  </w:r>
                </w:p>
              </w:tc>
              <w:tc>
                <w:tcPr>
                  <w:tcW w:w="666" w:type="pct"/>
                  <w:tcBorders>
                    <w:tl2br w:val="nil"/>
                    <w:tr2bl w:val="nil"/>
                  </w:tcBorders>
                  <w:vAlign w:val="center"/>
                </w:tcPr>
                <w:p w14:paraId="54F4E0D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本次新建</w:t>
                  </w:r>
                </w:p>
              </w:tc>
            </w:tr>
            <w:tr w14:paraId="7768F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41" w:type="pct"/>
                  <w:vMerge w:val="continue"/>
                  <w:tcBorders>
                    <w:tl2br w:val="nil"/>
                    <w:tr2bl w:val="nil"/>
                  </w:tcBorders>
                  <w:vAlign w:val="center"/>
                </w:tcPr>
                <w:p w14:paraId="2664B2F8">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011" w:type="pct"/>
                  <w:gridSpan w:val="2"/>
                  <w:tcBorders>
                    <w:tl2br w:val="nil"/>
                    <w:tr2bl w:val="nil"/>
                  </w:tcBorders>
                  <w:vAlign w:val="center"/>
                </w:tcPr>
                <w:p w14:paraId="7B8A9FD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噪声治理</w:t>
                  </w:r>
                </w:p>
              </w:tc>
              <w:tc>
                <w:tcPr>
                  <w:tcW w:w="2680" w:type="pct"/>
                  <w:tcBorders>
                    <w:tl2br w:val="nil"/>
                    <w:tr2bl w:val="nil"/>
                  </w:tcBorders>
                  <w:vAlign w:val="center"/>
                </w:tcPr>
                <w:p w14:paraId="1CB2C94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lang w:val="en-US" w:eastAsia="zh-CN"/>
                    </w:rPr>
                    <w:t>选用低噪声设备，加强设备的维护管理；对高噪声设备进行基础减振、通过厂房墙体隔</w:t>
                  </w:r>
                  <w:r>
                    <w:rPr>
                      <w:rFonts w:hint="eastAsia" w:cs="Times New Roman"/>
                      <w:color w:val="auto"/>
                      <w:lang w:val="en-US" w:eastAsia="zh-CN"/>
                    </w:rPr>
                    <w:t>声。</w:t>
                  </w:r>
                </w:p>
              </w:tc>
              <w:tc>
                <w:tcPr>
                  <w:tcW w:w="666" w:type="pct"/>
                  <w:tcBorders>
                    <w:tl2br w:val="nil"/>
                    <w:tr2bl w:val="nil"/>
                  </w:tcBorders>
                  <w:vAlign w:val="center"/>
                </w:tcPr>
                <w:p w14:paraId="40B0A7F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本次新建</w:t>
                  </w:r>
                </w:p>
              </w:tc>
            </w:tr>
            <w:tr w14:paraId="521DF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641" w:type="pct"/>
                  <w:vMerge w:val="continue"/>
                  <w:tcBorders>
                    <w:tl2br w:val="nil"/>
                    <w:tr2bl w:val="nil"/>
                  </w:tcBorders>
                  <w:vAlign w:val="center"/>
                </w:tcPr>
                <w:p w14:paraId="32DA06A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57" w:type="pct"/>
                  <w:vMerge w:val="restart"/>
                  <w:tcBorders>
                    <w:tl2br w:val="nil"/>
                    <w:tr2bl w:val="nil"/>
                  </w:tcBorders>
                  <w:vAlign w:val="center"/>
                </w:tcPr>
                <w:p w14:paraId="54041BF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固废治理</w:t>
                  </w:r>
                </w:p>
              </w:tc>
              <w:tc>
                <w:tcPr>
                  <w:tcW w:w="754" w:type="pct"/>
                  <w:tcBorders>
                    <w:tl2br w:val="nil"/>
                    <w:tr2bl w:val="nil"/>
                  </w:tcBorders>
                  <w:vAlign w:val="center"/>
                </w:tcPr>
                <w:p w14:paraId="51F193C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生活垃圾</w:t>
                  </w:r>
                </w:p>
              </w:tc>
              <w:tc>
                <w:tcPr>
                  <w:tcW w:w="2680" w:type="pct"/>
                  <w:tcBorders>
                    <w:tl2br w:val="nil"/>
                    <w:tr2bl w:val="nil"/>
                  </w:tcBorders>
                  <w:vAlign w:val="center"/>
                </w:tcPr>
                <w:p w14:paraId="5D279A8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lang w:val="en-GB" w:eastAsia="zh-CN"/>
                    </w:rPr>
                    <w:t>厂区内设置生活垃圾桶，分类收集后委托环卫部门每日清运处置</w:t>
                  </w:r>
                  <w:r>
                    <w:rPr>
                      <w:rFonts w:hint="eastAsia" w:cs="Times New Roman"/>
                      <w:color w:val="auto"/>
                      <w:lang w:val="en-GB" w:eastAsia="zh-CN"/>
                    </w:rPr>
                    <w:t>。</w:t>
                  </w:r>
                </w:p>
              </w:tc>
              <w:tc>
                <w:tcPr>
                  <w:tcW w:w="666" w:type="pct"/>
                  <w:tcBorders>
                    <w:tl2br w:val="nil"/>
                    <w:tr2bl w:val="nil"/>
                  </w:tcBorders>
                  <w:vAlign w:val="center"/>
                </w:tcPr>
                <w:p w14:paraId="29B9EFCE">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依托现有</w:t>
                  </w:r>
                </w:p>
              </w:tc>
            </w:tr>
            <w:tr w14:paraId="7FE70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641" w:type="pct"/>
                  <w:vMerge w:val="continue"/>
                  <w:tcBorders>
                    <w:tl2br w:val="nil"/>
                    <w:tr2bl w:val="nil"/>
                  </w:tcBorders>
                  <w:vAlign w:val="center"/>
                </w:tcPr>
                <w:p w14:paraId="69FDFFD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57" w:type="pct"/>
                  <w:vMerge w:val="continue"/>
                  <w:tcBorders>
                    <w:tl2br w:val="nil"/>
                    <w:tr2bl w:val="nil"/>
                  </w:tcBorders>
                  <w:vAlign w:val="center"/>
                </w:tcPr>
                <w:p w14:paraId="0749472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754" w:type="pct"/>
                  <w:tcBorders>
                    <w:tl2br w:val="nil"/>
                    <w:tr2bl w:val="nil"/>
                  </w:tcBorders>
                  <w:vAlign w:val="center"/>
                </w:tcPr>
                <w:p w14:paraId="620A0CE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一般固体废物</w:t>
                  </w:r>
                </w:p>
              </w:tc>
              <w:tc>
                <w:tcPr>
                  <w:tcW w:w="2680" w:type="pct"/>
                  <w:tcBorders>
                    <w:tl2br w:val="nil"/>
                    <w:tr2bl w:val="nil"/>
                  </w:tcBorders>
                  <w:vAlign w:val="center"/>
                </w:tcPr>
                <w:p w14:paraId="065A5708">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设一般工业固废暂存间，妥善分类收集后出售给回收企业综合利用：不合格产品</w:t>
                  </w:r>
                  <w:r>
                    <w:rPr>
                      <w:rFonts w:hint="eastAsia" w:cs="Times New Roman"/>
                      <w:color w:val="auto"/>
                      <w:lang w:val="en-US" w:eastAsia="zh-CN"/>
                    </w:rPr>
                    <w:t>及边角料</w:t>
                  </w:r>
                  <w:r>
                    <w:rPr>
                      <w:rFonts w:hint="eastAsia" w:ascii="Times New Roman" w:hAnsi="Times New Roman" w:eastAsia="宋体" w:cs="Times New Roman"/>
                      <w:color w:val="auto"/>
                      <w:lang w:val="en-US" w:eastAsia="zh-CN"/>
                    </w:rPr>
                    <w:t>收集破碎后</w:t>
                  </w:r>
                  <w:r>
                    <w:rPr>
                      <w:rFonts w:hint="eastAsia" w:cs="Times New Roman"/>
                      <w:color w:val="auto"/>
                      <w:lang w:val="en-US" w:eastAsia="zh-CN"/>
                    </w:rPr>
                    <w:t>外售其他公司</w:t>
                  </w:r>
                  <w:r>
                    <w:rPr>
                      <w:rFonts w:hint="eastAsia" w:ascii="Times New Roman" w:hAnsi="Times New Roman" w:eastAsia="宋体" w:cs="Times New Roman"/>
                      <w:color w:val="auto"/>
                      <w:lang w:val="en-US" w:eastAsia="zh-CN"/>
                    </w:rPr>
                    <w:t>。</w:t>
                  </w:r>
                </w:p>
                <w:p w14:paraId="7DB1C944">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cs="Times New Roman"/>
                      <w:color w:val="auto"/>
                      <w:lang w:val="en-US" w:eastAsia="zh-CN"/>
                    </w:rPr>
                  </w:pPr>
                  <w:r>
                    <w:rPr>
                      <w:rFonts w:hint="eastAsia" w:ascii="Times New Roman" w:hAnsi="Times New Roman" w:eastAsia="宋体" w:cs="Times New Roman"/>
                      <w:color w:val="auto"/>
                      <w:lang w:val="en-US" w:eastAsia="zh-CN"/>
                    </w:rPr>
                    <w:t>废包装材料：收集后外售给废品回收公司</w:t>
                  </w:r>
                  <w:r>
                    <w:rPr>
                      <w:rFonts w:hint="eastAsia" w:cs="Times New Roman"/>
                      <w:color w:val="auto"/>
                      <w:lang w:val="en-US" w:eastAsia="zh-CN"/>
                    </w:rPr>
                    <w:t>；</w:t>
                  </w:r>
                </w:p>
                <w:p w14:paraId="2650170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cs="Times New Roman"/>
                      <w:color w:val="auto"/>
                      <w:lang w:val="en-US" w:eastAsia="zh-CN"/>
                    </w:rPr>
                  </w:pPr>
                  <w:r>
                    <w:rPr>
                      <w:rFonts w:hint="eastAsia" w:cs="Times New Roman"/>
                      <w:color w:val="auto"/>
                      <w:lang w:val="en-US" w:eastAsia="zh-CN"/>
                    </w:rPr>
                    <w:t>收集粉尘：通过收集后委托有资质的单位处置。</w:t>
                  </w:r>
                </w:p>
              </w:tc>
              <w:tc>
                <w:tcPr>
                  <w:tcW w:w="666" w:type="pct"/>
                  <w:tcBorders>
                    <w:tl2br w:val="nil"/>
                    <w:tr2bl w:val="nil"/>
                  </w:tcBorders>
                  <w:vAlign w:val="center"/>
                </w:tcPr>
                <w:p w14:paraId="759AB3B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本次新建</w:t>
                  </w:r>
                </w:p>
              </w:tc>
            </w:tr>
            <w:tr w14:paraId="2369F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641" w:type="pct"/>
                  <w:vMerge w:val="continue"/>
                  <w:tcBorders>
                    <w:tl2br w:val="nil"/>
                    <w:tr2bl w:val="nil"/>
                  </w:tcBorders>
                  <w:vAlign w:val="center"/>
                </w:tcPr>
                <w:p w14:paraId="0FC9747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57" w:type="pct"/>
                  <w:vMerge w:val="continue"/>
                  <w:tcBorders>
                    <w:tl2br w:val="nil"/>
                    <w:tr2bl w:val="nil"/>
                  </w:tcBorders>
                  <w:vAlign w:val="center"/>
                </w:tcPr>
                <w:p w14:paraId="163A583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754" w:type="pct"/>
                  <w:tcBorders>
                    <w:tl2br w:val="nil"/>
                    <w:tr2bl w:val="nil"/>
                  </w:tcBorders>
                  <w:vAlign w:val="center"/>
                </w:tcPr>
                <w:p w14:paraId="2C1C56D4">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危险废物</w:t>
                  </w:r>
                </w:p>
              </w:tc>
              <w:tc>
                <w:tcPr>
                  <w:tcW w:w="2680" w:type="pct"/>
                  <w:tcBorders>
                    <w:tl2br w:val="nil"/>
                    <w:tr2bl w:val="nil"/>
                  </w:tcBorders>
                  <w:vAlign w:val="center"/>
                </w:tcPr>
                <w:p w14:paraId="613F6F5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按照规范要求设置一间危险废物贮存库，面积约5m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vertAlign w:val="baseline"/>
                      <w:lang w:val="en-US" w:eastAsia="zh-CN"/>
                    </w:rPr>
                    <w:t>，存放废活性炭、</w:t>
                  </w:r>
                  <w:r>
                    <w:rPr>
                      <w:rFonts w:hint="eastAsia" w:cs="Times New Roman"/>
                      <w:color w:val="auto"/>
                      <w:sz w:val="21"/>
                      <w:szCs w:val="21"/>
                      <w:highlight w:val="none"/>
                      <w:vertAlign w:val="baseline"/>
                      <w:lang w:val="en-US" w:eastAsia="zh-CN"/>
                    </w:rPr>
                    <w:t>废机油</w:t>
                  </w:r>
                  <w:r>
                    <w:rPr>
                      <w:rFonts w:hint="eastAsia" w:ascii="Times New Roman" w:hAnsi="Times New Roman" w:eastAsia="宋体" w:cs="Times New Roman"/>
                      <w:color w:val="auto"/>
                      <w:sz w:val="21"/>
                      <w:szCs w:val="21"/>
                      <w:highlight w:val="none"/>
                      <w:vertAlign w:val="baseline"/>
                      <w:lang w:val="en-US" w:eastAsia="zh-CN"/>
                    </w:rPr>
                    <w:t>等危险废物。贮存间内张贴明显</w:t>
                  </w:r>
                  <w:r>
                    <w:rPr>
                      <w:rFonts w:hint="eastAsia" w:cs="Times New Roman"/>
                      <w:color w:val="auto"/>
                      <w:sz w:val="21"/>
                      <w:szCs w:val="21"/>
                      <w:highlight w:val="none"/>
                      <w:vertAlign w:val="baseline"/>
                      <w:lang w:val="en-US" w:eastAsia="zh-CN"/>
                    </w:rPr>
                    <w:t>警示标志</w:t>
                  </w:r>
                  <w:r>
                    <w:rPr>
                      <w:rFonts w:hint="eastAsia" w:ascii="Times New Roman" w:hAnsi="Times New Roman" w:eastAsia="宋体" w:cs="Times New Roman"/>
                      <w:color w:val="auto"/>
                      <w:sz w:val="21"/>
                      <w:szCs w:val="21"/>
                      <w:highlight w:val="none"/>
                      <w:vertAlign w:val="baseline"/>
                      <w:lang w:val="en-US" w:eastAsia="zh-CN"/>
                    </w:rPr>
                    <w:t>并设置围堰及导流沟，地面刷环氧树脂漆</w:t>
                  </w:r>
                  <w:r>
                    <w:rPr>
                      <w:rFonts w:hint="eastAsia"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并签署危废委托</w:t>
                  </w:r>
                  <w:r>
                    <w:rPr>
                      <w:rFonts w:hint="eastAsia" w:cs="Times New Roman"/>
                      <w:color w:val="auto"/>
                      <w:sz w:val="21"/>
                      <w:szCs w:val="21"/>
                      <w:highlight w:val="none"/>
                      <w:vertAlign w:val="baseline"/>
                      <w:lang w:val="en-US" w:eastAsia="zh-CN"/>
                    </w:rPr>
                    <w:t>协议。</w:t>
                  </w:r>
                </w:p>
              </w:tc>
              <w:tc>
                <w:tcPr>
                  <w:tcW w:w="666" w:type="pct"/>
                  <w:tcBorders>
                    <w:tl2br w:val="nil"/>
                    <w:tr2bl w:val="nil"/>
                  </w:tcBorders>
                  <w:vAlign w:val="center"/>
                </w:tcPr>
                <w:p w14:paraId="2298772D">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本次新建</w:t>
                  </w:r>
                </w:p>
              </w:tc>
            </w:tr>
          </w:tbl>
          <w:p w14:paraId="67A6A1A4">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25" w:name="_Toc20188"/>
            <w:r>
              <w:rPr>
                <w:rFonts w:hint="default" w:ascii="Times New Roman" w:hAnsi="Times New Roman" w:eastAsia="宋体" w:cs="Times New Roman"/>
                <w:b/>
                <w:bCs/>
                <w:color w:val="auto"/>
                <w:sz w:val="24"/>
                <w:szCs w:val="24"/>
                <w:u w:val="none"/>
                <w:lang w:val="en-US" w:eastAsia="zh-CN"/>
              </w:rPr>
              <w:t>2.2.</w:t>
            </w:r>
            <w:r>
              <w:rPr>
                <w:rFonts w:hint="default" w:cs="Times New Roman"/>
                <w:b/>
                <w:bCs/>
                <w:color w:val="auto"/>
                <w:sz w:val="24"/>
                <w:szCs w:val="24"/>
                <w:u w:val="none"/>
                <w:lang w:val="en-US" w:eastAsia="zh-CN"/>
              </w:rPr>
              <w:t>4</w:t>
            </w:r>
            <w:r>
              <w:rPr>
                <w:rFonts w:hint="default" w:ascii="Times New Roman" w:hAnsi="Times New Roman" w:eastAsia="宋体" w:cs="Times New Roman"/>
                <w:b/>
                <w:bCs/>
                <w:color w:val="auto"/>
                <w:sz w:val="24"/>
                <w:szCs w:val="24"/>
                <w:u w:val="none"/>
                <w:lang w:val="en-US" w:eastAsia="zh-CN"/>
              </w:rPr>
              <w:t xml:space="preserve"> </w:t>
            </w:r>
            <w:r>
              <w:rPr>
                <w:rFonts w:hint="eastAsia" w:ascii="Times New Roman" w:hAnsi="Times New Roman" w:eastAsia="宋体" w:cs="Times New Roman"/>
                <w:b/>
                <w:bCs/>
                <w:color w:val="auto"/>
                <w:sz w:val="24"/>
                <w:szCs w:val="24"/>
                <w:u w:val="none"/>
                <w:lang w:val="en-US" w:eastAsia="zh-CN"/>
              </w:rPr>
              <w:t>项目工程组成及建设内容</w:t>
            </w:r>
            <w:bookmarkEnd w:id="25"/>
          </w:p>
          <w:p w14:paraId="033BEA73">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本项目产品方案详见表2.2-2。</w:t>
            </w:r>
          </w:p>
          <w:p w14:paraId="101517AF">
            <w:pPr>
              <w:pStyle w:val="15"/>
              <w:keepNext w:val="0"/>
              <w:keepLines w:val="0"/>
              <w:pageBreakBefore w:val="0"/>
              <w:widowControl/>
              <w:kinsoku/>
              <w:wordWrap/>
              <w:overflowPunct/>
              <w:topLinePunct w:val="0"/>
              <w:autoSpaceDE/>
              <w:autoSpaceDN/>
              <w:bidi w:val="0"/>
              <w:adjustRightInd/>
              <w:snapToGrid w:val="0"/>
              <w:spacing w:before="157" w:beforeLines="50" w:after="0" w:line="240" w:lineRule="auto"/>
              <w:ind w:right="0" w:firstLine="0" w:firstLineChars="0"/>
              <w:jc w:val="center"/>
              <w:textAlignment w:val="auto"/>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表2.2-2 项目主要产品方案</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2827"/>
              <w:gridCol w:w="3332"/>
              <w:gridCol w:w="1616"/>
            </w:tblGrid>
            <w:tr w14:paraId="69F8D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88" w:type="pct"/>
                  <w:tcBorders>
                    <w:tl2br w:val="nil"/>
                    <w:tr2bl w:val="nil"/>
                  </w:tcBorders>
                  <w:vAlign w:val="center"/>
                </w:tcPr>
                <w:p w14:paraId="6D9F51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序号</w:t>
                  </w:r>
                </w:p>
              </w:tc>
              <w:tc>
                <w:tcPr>
                  <w:tcW w:w="1640" w:type="pct"/>
                  <w:tcBorders>
                    <w:tl2br w:val="nil"/>
                    <w:tr2bl w:val="nil"/>
                  </w:tcBorders>
                  <w:vAlign w:val="center"/>
                </w:tcPr>
                <w:p w14:paraId="1FCE6C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产品名称</w:t>
                  </w:r>
                </w:p>
              </w:tc>
              <w:tc>
                <w:tcPr>
                  <w:tcW w:w="1933" w:type="pct"/>
                  <w:tcBorders>
                    <w:tl2br w:val="nil"/>
                    <w:tr2bl w:val="nil"/>
                  </w:tcBorders>
                  <w:vAlign w:val="center"/>
                </w:tcPr>
                <w:p w14:paraId="4D95B9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产品产量</w:t>
                  </w:r>
                </w:p>
              </w:tc>
              <w:tc>
                <w:tcPr>
                  <w:tcW w:w="937" w:type="pct"/>
                  <w:tcBorders>
                    <w:tl2br w:val="nil"/>
                    <w:tr2bl w:val="nil"/>
                  </w:tcBorders>
                  <w:vAlign w:val="center"/>
                </w:tcPr>
                <w:p w14:paraId="01D726D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14:paraId="1740D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488" w:type="pct"/>
                  <w:tcBorders>
                    <w:tl2br w:val="nil"/>
                    <w:tr2bl w:val="nil"/>
                  </w:tcBorders>
                  <w:vAlign w:val="center"/>
                </w:tcPr>
                <w:p w14:paraId="3DC012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640" w:type="pct"/>
                  <w:tcBorders>
                    <w:tl2br w:val="nil"/>
                    <w:tr2bl w:val="nil"/>
                  </w:tcBorders>
                  <w:vAlign w:val="center"/>
                </w:tcPr>
                <w:p w14:paraId="599244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工业连接器</w:t>
                  </w:r>
                </w:p>
              </w:tc>
              <w:tc>
                <w:tcPr>
                  <w:tcW w:w="1933" w:type="pct"/>
                  <w:tcBorders>
                    <w:tl2br w:val="nil"/>
                    <w:tr2bl w:val="nil"/>
                  </w:tcBorders>
                  <w:vAlign w:val="center"/>
                </w:tcPr>
                <w:p w14:paraId="791288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300</w:t>
                  </w:r>
                  <w:r>
                    <w:rPr>
                      <w:rFonts w:hint="eastAsia" w:ascii="Times New Roman" w:hAnsi="Times New Roman" w:eastAsia="宋体" w:cs="Times New Roman"/>
                      <w:sz w:val="21"/>
                      <w:szCs w:val="21"/>
                      <w:vertAlign w:val="baseline"/>
                      <w:lang w:val="en-US" w:eastAsia="zh-CN"/>
                    </w:rPr>
                    <w:t>万</w:t>
                  </w:r>
                  <w:r>
                    <w:rPr>
                      <w:rFonts w:hint="eastAsia" w:cs="Times New Roman"/>
                      <w:sz w:val="21"/>
                      <w:szCs w:val="21"/>
                      <w:vertAlign w:val="baseline"/>
                      <w:lang w:val="en-US" w:eastAsia="zh-CN"/>
                    </w:rPr>
                    <w:t>件</w:t>
                  </w:r>
                </w:p>
              </w:tc>
              <w:tc>
                <w:tcPr>
                  <w:tcW w:w="937" w:type="pct"/>
                  <w:tcBorders>
                    <w:tl2br w:val="nil"/>
                    <w:tr2bl w:val="nil"/>
                  </w:tcBorders>
                  <w:vAlign w:val="center"/>
                </w:tcPr>
                <w:p w14:paraId="3E3ACC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w:t>
                  </w:r>
                </w:p>
              </w:tc>
            </w:tr>
            <w:tr w14:paraId="15FF0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488" w:type="pct"/>
                  <w:tcBorders>
                    <w:tl2br w:val="nil"/>
                    <w:tr2bl w:val="nil"/>
                  </w:tcBorders>
                  <w:vAlign w:val="center"/>
                </w:tcPr>
                <w:p w14:paraId="5AE434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bookmarkStart w:id="26" w:name="_Toc21784"/>
                  <w:r>
                    <w:rPr>
                      <w:rFonts w:hint="eastAsia" w:cs="Times New Roman"/>
                      <w:sz w:val="21"/>
                      <w:szCs w:val="21"/>
                      <w:vertAlign w:val="baseline"/>
                      <w:lang w:val="en-US" w:eastAsia="zh-CN"/>
                    </w:rPr>
                    <w:t>2</w:t>
                  </w:r>
                </w:p>
              </w:tc>
              <w:tc>
                <w:tcPr>
                  <w:tcW w:w="1640" w:type="pct"/>
                  <w:tcBorders>
                    <w:tl2br w:val="nil"/>
                    <w:tr2bl w:val="nil"/>
                  </w:tcBorders>
                  <w:vAlign w:val="center"/>
                </w:tcPr>
                <w:p w14:paraId="484690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工业线缆</w:t>
                  </w:r>
                </w:p>
              </w:tc>
              <w:tc>
                <w:tcPr>
                  <w:tcW w:w="1933" w:type="pct"/>
                  <w:tcBorders>
                    <w:tl2br w:val="nil"/>
                    <w:tr2bl w:val="nil"/>
                  </w:tcBorders>
                  <w:vAlign w:val="center"/>
                </w:tcPr>
                <w:p w14:paraId="470C62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200万件</w:t>
                  </w:r>
                </w:p>
              </w:tc>
              <w:tc>
                <w:tcPr>
                  <w:tcW w:w="937" w:type="pct"/>
                  <w:tcBorders>
                    <w:tl2br w:val="nil"/>
                    <w:tr2bl w:val="nil"/>
                  </w:tcBorders>
                  <w:vAlign w:val="center"/>
                </w:tcPr>
                <w:p w14:paraId="057924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w:t>
                  </w:r>
                </w:p>
              </w:tc>
            </w:tr>
          </w:tbl>
          <w:p w14:paraId="14C1D1CF">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2.2.</w:t>
            </w:r>
            <w:r>
              <w:rPr>
                <w:rFonts w:hint="eastAsia" w:ascii="Times New Roman" w:hAnsi="Times New Roman" w:eastAsia="宋体" w:cs="Times New Roman"/>
                <w:b/>
                <w:bCs/>
                <w:color w:val="auto"/>
                <w:sz w:val="24"/>
                <w:szCs w:val="24"/>
                <w:u w:val="none"/>
                <w:lang w:val="en-US" w:eastAsia="zh-CN"/>
              </w:rPr>
              <w:t>5</w:t>
            </w:r>
            <w:r>
              <w:rPr>
                <w:rFonts w:hint="default" w:ascii="Times New Roman" w:hAnsi="Times New Roman" w:eastAsia="宋体" w:cs="Times New Roman"/>
                <w:b/>
                <w:bCs/>
                <w:color w:val="auto"/>
                <w:sz w:val="24"/>
                <w:szCs w:val="24"/>
                <w:u w:val="none"/>
                <w:lang w:val="en-US" w:eastAsia="zh-CN"/>
              </w:rPr>
              <w:t xml:space="preserve"> </w:t>
            </w:r>
            <w:r>
              <w:rPr>
                <w:rFonts w:hint="eastAsia" w:ascii="Times New Roman" w:hAnsi="Times New Roman" w:eastAsia="宋体" w:cs="Times New Roman"/>
                <w:b/>
                <w:bCs/>
                <w:color w:val="auto"/>
                <w:sz w:val="24"/>
                <w:szCs w:val="24"/>
                <w:u w:val="none"/>
                <w:lang w:val="en-US" w:eastAsia="zh-CN"/>
              </w:rPr>
              <w:t>主要生产设备</w:t>
            </w:r>
            <w:bookmarkEnd w:id="26"/>
          </w:p>
          <w:p w14:paraId="14CE891C">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Times New Roman" w:hAnsi="Times New Roman" w:cs="Times New Roman"/>
                <w:b w:val="0"/>
                <w:bCs w:val="0"/>
                <w:color w:val="auto"/>
                <w:sz w:val="24"/>
                <w:szCs w:val="24"/>
                <w:u w:val="none"/>
                <w:lang w:val="en-US" w:eastAsia="zh-CN"/>
              </w:rPr>
            </w:pPr>
            <w:r>
              <w:rPr>
                <w:rFonts w:hint="eastAsia" w:ascii="Times New Roman" w:hAnsi="Times New Roman" w:cs="Times New Roman"/>
                <w:b w:val="0"/>
                <w:bCs w:val="0"/>
                <w:color w:val="auto"/>
                <w:sz w:val="24"/>
                <w:szCs w:val="24"/>
                <w:u w:val="none"/>
                <w:lang w:val="en-US" w:eastAsia="zh-CN"/>
              </w:rPr>
              <w:t>项目主要生产设备一览表详见表2.2-3。</w:t>
            </w:r>
          </w:p>
          <w:p w14:paraId="5F46C358">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表2.2-3 主要生产设备一览表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9"/>
              <w:gridCol w:w="2896"/>
              <w:gridCol w:w="2115"/>
              <w:gridCol w:w="1289"/>
              <w:gridCol w:w="1537"/>
            </w:tblGrid>
            <w:tr w14:paraId="19264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4041E3F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序号</w:t>
                  </w:r>
                </w:p>
              </w:tc>
              <w:tc>
                <w:tcPr>
                  <w:tcW w:w="1680" w:type="pct"/>
                  <w:tcBorders>
                    <w:tl2br w:val="nil"/>
                    <w:tr2bl w:val="nil"/>
                  </w:tcBorders>
                  <w:vAlign w:val="center"/>
                </w:tcPr>
                <w:p w14:paraId="7445B91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设备名称</w:t>
                  </w:r>
                </w:p>
              </w:tc>
              <w:tc>
                <w:tcPr>
                  <w:tcW w:w="1227" w:type="pct"/>
                  <w:tcBorders>
                    <w:tl2br w:val="nil"/>
                    <w:tr2bl w:val="nil"/>
                  </w:tcBorders>
                  <w:vAlign w:val="center"/>
                </w:tcPr>
                <w:p w14:paraId="258C3D6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功率/型号</w:t>
                  </w:r>
                </w:p>
              </w:tc>
              <w:tc>
                <w:tcPr>
                  <w:tcW w:w="748" w:type="pct"/>
                  <w:tcBorders>
                    <w:tl2br w:val="nil"/>
                    <w:tr2bl w:val="nil"/>
                  </w:tcBorders>
                  <w:vAlign w:val="center"/>
                </w:tcPr>
                <w:p w14:paraId="2BF8B3B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数量</w:t>
                  </w:r>
                </w:p>
              </w:tc>
              <w:tc>
                <w:tcPr>
                  <w:tcW w:w="891" w:type="pct"/>
                  <w:tcBorders>
                    <w:tl2br w:val="nil"/>
                    <w:tr2bl w:val="nil"/>
                  </w:tcBorders>
                  <w:vAlign w:val="center"/>
                </w:tcPr>
                <w:p w14:paraId="71977B7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备注</w:t>
                  </w:r>
                </w:p>
              </w:tc>
            </w:tr>
            <w:tr w14:paraId="4CC70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062E7353">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w:t>
                  </w:r>
                </w:p>
              </w:tc>
              <w:tc>
                <w:tcPr>
                  <w:tcW w:w="1680" w:type="pct"/>
                  <w:tcBorders>
                    <w:tl2br w:val="nil"/>
                    <w:tr2bl w:val="nil"/>
                  </w:tcBorders>
                  <w:vAlign w:val="center"/>
                </w:tcPr>
                <w:p w14:paraId="227C841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伊之密塑料注射成型机(160T)</w:t>
                  </w:r>
                </w:p>
              </w:tc>
              <w:tc>
                <w:tcPr>
                  <w:tcW w:w="1227" w:type="pct"/>
                  <w:tcBorders>
                    <w:tl2br w:val="nil"/>
                    <w:tr2bl w:val="nil"/>
                  </w:tcBorders>
                  <w:vAlign w:val="center"/>
                </w:tcPr>
                <w:p w14:paraId="39BBE1F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UN160A5S</w:t>
                  </w:r>
                </w:p>
              </w:tc>
              <w:tc>
                <w:tcPr>
                  <w:tcW w:w="748" w:type="pct"/>
                  <w:tcBorders>
                    <w:tl2br w:val="nil"/>
                    <w:tr2bl w:val="nil"/>
                  </w:tcBorders>
                  <w:vAlign w:val="center"/>
                </w:tcPr>
                <w:p w14:paraId="6BD4D23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vAlign w:val="center"/>
                </w:tcPr>
                <w:p w14:paraId="3063B739">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新建</w:t>
                  </w:r>
                </w:p>
              </w:tc>
            </w:tr>
            <w:tr w14:paraId="41BB2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59C005C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2</w:t>
                  </w:r>
                </w:p>
              </w:tc>
              <w:tc>
                <w:tcPr>
                  <w:tcW w:w="1680" w:type="pct"/>
                  <w:tcBorders>
                    <w:tl2br w:val="nil"/>
                    <w:tr2bl w:val="nil"/>
                  </w:tcBorders>
                  <w:vAlign w:val="center"/>
                </w:tcPr>
                <w:p w14:paraId="3AA5899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伊之密塑料注射成型机(120T)</w:t>
                  </w:r>
                </w:p>
              </w:tc>
              <w:tc>
                <w:tcPr>
                  <w:tcW w:w="1227" w:type="pct"/>
                  <w:tcBorders>
                    <w:tl2br w:val="nil"/>
                    <w:tr2bl w:val="nil"/>
                  </w:tcBorders>
                  <w:vAlign w:val="center"/>
                </w:tcPr>
                <w:p w14:paraId="0D1AC46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UN120A5S</w:t>
                  </w:r>
                </w:p>
              </w:tc>
              <w:tc>
                <w:tcPr>
                  <w:tcW w:w="748" w:type="pct"/>
                  <w:tcBorders>
                    <w:tl2br w:val="nil"/>
                    <w:tr2bl w:val="nil"/>
                  </w:tcBorders>
                  <w:vAlign w:val="center"/>
                </w:tcPr>
                <w:p w14:paraId="74F26ADA">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vAlign w:val="center"/>
                </w:tcPr>
                <w:p w14:paraId="43EC570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新建</w:t>
                  </w:r>
                </w:p>
              </w:tc>
            </w:tr>
            <w:tr w14:paraId="2BBEB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6A088D73">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3</w:t>
                  </w:r>
                </w:p>
              </w:tc>
              <w:tc>
                <w:tcPr>
                  <w:tcW w:w="1680" w:type="pct"/>
                  <w:tcBorders>
                    <w:tl2br w:val="nil"/>
                    <w:tr2bl w:val="nil"/>
                  </w:tcBorders>
                  <w:vAlign w:val="center"/>
                </w:tcPr>
                <w:p w14:paraId="79AC11D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伊之密塑料注射成型机(120T)</w:t>
                  </w:r>
                </w:p>
              </w:tc>
              <w:tc>
                <w:tcPr>
                  <w:tcW w:w="1227" w:type="pct"/>
                  <w:tcBorders>
                    <w:tl2br w:val="nil"/>
                    <w:tr2bl w:val="nil"/>
                  </w:tcBorders>
                  <w:vAlign w:val="center"/>
                </w:tcPr>
                <w:p w14:paraId="41E0CFA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UN120A5S</w:t>
                  </w:r>
                </w:p>
              </w:tc>
              <w:tc>
                <w:tcPr>
                  <w:tcW w:w="748" w:type="pct"/>
                  <w:tcBorders>
                    <w:tl2br w:val="nil"/>
                    <w:tr2bl w:val="nil"/>
                  </w:tcBorders>
                  <w:vAlign w:val="center"/>
                </w:tcPr>
                <w:p w14:paraId="61C9305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shd w:val="clear" w:color="auto" w:fill="auto"/>
                  <w:vAlign w:val="center"/>
                </w:tcPr>
                <w:p w14:paraId="2D6A12C8">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4B6F7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1E5F972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4</w:t>
                  </w:r>
                </w:p>
              </w:tc>
              <w:tc>
                <w:tcPr>
                  <w:tcW w:w="1680" w:type="pct"/>
                  <w:tcBorders>
                    <w:tl2br w:val="nil"/>
                    <w:tr2bl w:val="nil"/>
                  </w:tcBorders>
                  <w:shd w:val="clear" w:color="auto" w:fill="auto"/>
                  <w:vAlign w:val="center"/>
                </w:tcPr>
                <w:p w14:paraId="79524363">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塑料注射成型机(富强鑫）</w:t>
                  </w:r>
                </w:p>
              </w:tc>
              <w:tc>
                <w:tcPr>
                  <w:tcW w:w="1227" w:type="pct"/>
                  <w:tcBorders>
                    <w:tl2br w:val="nil"/>
                    <w:tr2bl w:val="nil"/>
                  </w:tcBorders>
                  <w:vAlign w:val="center"/>
                </w:tcPr>
                <w:p w14:paraId="7AFF00B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HD-130SV</w:t>
                  </w:r>
                </w:p>
              </w:tc>
              <w:tc>
                <w:tcPr>
                  <w:tcW w:w="748" w:type="pct"/>
                  <w:tcBorders>
                    <w:tl2br w:val="nil"/>
                    <w:tr2bl w:val="nil"/>
                  </w:tcBorders>
                  <w:vAlign w:val="center"/>
                </w:tcPr>
                <w:p w14:paraId="40F18978">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shd w:val="clear" w:color="auto" w:fill="auto"/>
                  <w:vAlign w:val="center"/>
                </w:tcPr>
                <w:p w14:paraId="1F316CF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19573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7FFAC2F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5</w:t>
                  </w:r>
                </w:p>
              </w:tc>
              <w:tc>
                <w:tcPr>
                  <w:tcW w:w="1680" w:type="pct"/>
                  <w:tcBorders>
                    <w:tl2br w:val="nil"/>
                    <w:tr2bl w:val="nil"/>
                  </w:tcBorders>
                  <w:shd w:val="clear" w:color="auto" w:fill="auto"/>
                  <w:vAlign w:val="center"/>
                </w:tcPr>
                <w:p w14:paraId="2A2FCEB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塑料注射成型机(富强鑫）</w:t>
                  </w:r>
                </w:p>
              </w:tc>
              <w:tc>
                <w:tcPr>
                  <w:tcW w:w="1227" w:type="pct"/>
                  <w:tcBorders>
                    <w:tl2br w:val="nil"/>
                    <w:tr2bl w:val="nil"/>
                  </w:tcBorders>
                  <w:vAlign w:val="center"/>
                </w:tcPr>
                <w:p w14:paraId="4EFFAC9C">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HD0130SV</w:t>
                  </w:r>
                </w:p>
              </w:tc>
              <w:tc>
                <w:tcPr>
                  <w:tcW w:w="748" w:type="pct"/>
                  <w:tcBorders>
                    <w:tl2br w:val="nil"/>
                    <w:tr2bl w:val="nil"/>
                  </w:tcBorders>
                  <w:vAlign w:val="center"/>
                </w:tcPr>
                <w:p w14:paraId="77EACD01">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shd w:val="clear" w:color="auto" w:fill="auto"/>
                  <w:vAlign w:val="center"/>
                </w:tcPr>
                <w:p w14:paraId="2DA90DC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6A960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4DD992D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6</w:t>
                  </w:r>
                </w:p>
              </w:tc>
              <w:tc>
                <w:tcPr>
                  <w:tcW w:w="1680" w:type="pct"/>
                  <w:tcBorders>
                    <w:tl2br w:val="nil"/>
                    <w:tr2bl w:val="nil"/>
                  </w:tcBorders>
                  <w:shd w:val="clear" w:color="auto" w:fill="auto"/>
                  <w:vAlign w:val="center"/>
                </w:tcPr>
                <w:p w14:paraId="48FB6F8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塑料注射成型机(180T)</w:t>
                  </w:r>
                </w:p>
              </w:tc>
              <w:tc>
                <w:tcPr>
                  <w:tcW w:w="1227" w:type="pct"/>
                  <w:tcBorders>
                    <w:tl2br w:val="nil"/>
                    <w:tr2bl w:val="nil"/>
                  </w:tcBorders>
                  <w:vAlign w:val="center"/>
                </w:tcPr>
                <w:p w14:paraId="7968499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JM168-MK6</w:t>
                  </w:r>
                </w:p>
              </w:tc>
              <w:tc>
                <w:tcPr>
                  <w:tcW w:w="748" w:type="pct"/>
                  <w:tcBorders>
                    <w:tl2br w:val="nil"/>
                    <w:tr2bl w:val="nil"/>
                  </w:tcBorders>
                  <w:vAlign w:val="center"/>
                </w:tcPr>
                <w:p w14:paraId="73629E5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shd w:val="clear" w:color="auto" w:fill="auto"/>
                  <w:vAlign w:val="center"/>
                </w:tcPr>
                <w:p w14:paraId="5CCC6E3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5AC401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52" w:type="pct"/>
                  <w:tcBorders>
                    <w:tl2br w:val="nil"/>
                    <w:tr2bl w:val="nil"/>
                  </w:tcBorders>
                  <w:vAlign w:val="center"/>
                </w:tcPr>
                <w:p w14:paraId="0AE3DB38">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7</w:t>
                  </w:r>
                </w:p>
              </w:tc>
              <w:tc>
                <w:tcPr>
                  <w:tcW w:w="1680" w:type="pct"/>
                  <w:tcBorders>
                    <w:tl2br w:val="nil"/>
                    <w:tr2bl w:val="nil"/>
                  </w:tcBorders>
                  <w:vAlign w:val="center"/>
                </w:tcPr>
                <w:p w14:paraId="7BBD4371">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塑料注射成型机（T80)</w:t>
                  </w:r>
                </w:p>
              </w:tc>
              <w:tc>
                <w:tcPr>
                  <w:tcW w:w="1227" w:type="pct"/>
                  <w:tcBorders>
                    <w:tl2br w:val="nil"/>
                    <w:tr2bl w:val="nil"/>
                  </w:tcBorders>
                  <w:vAlign w:val="center"/>
                </w:tcPr>
                <w:p w14:paraId="32646338">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M900-111/28SE</w:t>
                  </w:r>
                </w:p>
              </w:tc>
              <w:tc>
                <w:tcPr>
                  <w:tcW w:w="748" w:type="pct"/>
                  <w:tcBorders>
                    <w:tl2br w:val="nil"/>
                    <w:tr2bl w:val="nil"/>
                  </w:tcBorders>
                  <w:vAlign w:val="center"/>
                </w:tcPr>
                <w:p w14:paraId="2D9A512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1台</w:t>
                  </w:r>
                </w:p>
              </w:tc>
              <w:tc>
                <w:tcPr>
                  <w:tcW w:w="891" w:type="pct"/>
                  <w:tcBorders>
                    <w:tl2br w:val="nil"/>
                    <w:tr2bl w:val="nil"/>
                  </w:tcBorders>
                  <w:shd w:val="clear" w:color="auto" w:fill="auto"/>
                  <w:vAlign w:val="center"/>
                </w:tcPr>
                <w:p w14:paraId="36B45FB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07730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pct"/>
                  <w:tcBorders>
                    <w:tl2br w:val="nil"/>
                    <w:tr2bl w:val="nil"/>
                  </w:tcBorders>
                  <w:vAlign w:val="center"/>
                </w:tcPr>
                <w:p w14:paraId="0078FF51">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8</w:t>
                  </w:r>
                </w:p>
              </w:tc>
              <w:tc>
                <w:tcPr>
                  <w:tcW w:w="1680" w:type="pct"/>
                  <w:tcBorders>
                    <w:tl2br w:val="nil"/>
                    <w:tr2bl w:val="nil"/>
                  </w:tcBorders>
                  <w:vAlign w:val="center"/>
                </w:tcPr>
                <w:p w14:paraId="40692D7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干燥机1#</w:t>
                  </w:r>
                </w:p>
              </w:tc>
              <w:tc>
                <w:tcPr>
                  <w:tcW w:w="1227" w:type="pct"/>
                  <w:tcBorders>
                    <w:tl2br w:val="nil"/>
                    <w:tr2bl w:val="nil"/>
                  </w:tcBorders>
                  <w:vAlign w:val="center"/>
                </w:tcPr>
                <w:p w14:paraId="1FB71AD8">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tcBorders>
                    <w:tl2br w:val="nil"/>
                    <w:tr2bl w:val="nil"/>
                  </w:tcBorders>
                  <w:vAlign w:val="center"/>
                </w:tcPr>
                <w:p w14:paraId="674C7469">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w:t>
                  </w:r>
                  <w:r>
                    <w:rPr>
                      <w:rFonts w:hint="eastAsia" w:ascii="Times New Roman" w:hAnsi="Times New Roman" w:cs="Times New Roman"/>
                      <w:sz w:val="21"/>
                      <w:szCs w:val="21"/>
                      <w:u w:val="none"/>
                      <w:vertAlign w:val="baseline"/>
                      <w:lang w:val="en-US" w:eastAsia="zh-CN"/>
                    </w:rPr>
                    <w:t>台</w:t>
                  </w:r>
                </w:p>
              </w:tc>
              <w:tc>
                <w:tcPr>
                  <w:tcW w:w="891" w:type="pct"/>
                  <w:tcBorders>
                    <w:tl2br w:val="nil"/>
                    <w:tr2bl w:val="nil"/>
                  </w:tcBorders>
                  <w:shd w:val="clear" w:color="auto" w:fill="auto"/>
                  <w:vAlign w:val="center"/>
                </w:tcPr>
                <w:p w14:paraId="5382AFC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新建</w:t>
                  </w:r>
                </w:p>
              </w:tc>
            </w:tr>
            <w:tr w14:paraId="35FBE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72D224DA">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9</w:t>
                  </w:r>
                </w:p>
              </w:tc>
              <w:tc>
                <w:tcPr>
                  <w:tcW w:w="1680" w:type="pct"/>
                  <w:vAlign w:val="center"/>
                </w:tcPr>
                <w:p w14:paraId="529D47F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干燥机2#</w:t>
                  </w:r>
                </w:p>
              </w:tc>
              <w:tc>
                <w:tcPr>
                  <w:tcW w:w="1227" w:type="pct"/>
                  <w:vAlign w:val="center"/>
                </w:tcPr>
                <w:p w14:paraId="2783397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2BEC100B">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33002EA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新建</w:t>
                  </w:r>
                </w:p>
              </w:tc>
            </w:tr>
            <w:tr w14:paraId="3C365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068AF1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bookmarkStart w:id="27" w:name="_Toc3994"/>
                  <w:r>
                    <w:rPr>
                      <w:rFonts w:hint="eastAsia" w:ascii="Times New Roman" w:hAnsi="Times New Roman" w:eastAsia="宋体" w:cs="Times New Roman"/>
                      <w:b w:val="0"/>
                      <w:bCs w:val="0"/>
                      <w:color w:val="auto"/>
                      <w:spacing w:val="-8"/>
                      <w:sz w:val="21"/>
                      <w:szCs w:val="21"/>
                      <w:lang w:val="en-US" w:eastAsia="zh-CN"/>
                    </w:rPr>
                    <w:t>10</w:t>
                  </w:r>
                </w:p>
              </w:tc>
              <w:tc>
                <w:tcPr>
                  <w:tcW w:w="1680" w:type="pct"/>
                  <w:shd w:val="clear" w:color="auto" w:fill="auto"/>
                  <w:vAlign w:val="center"/>
                </w:tcPr>
                <w:p w14:paraId="1D692AE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干燥机3#</w:t>
                  </w:r>
                </w:p>
              </w:tc>
              <w:tc>
                <w:tcPr>
                  <w:tcW w:w="1227" w:type="pct"/>
                  <w:shd w:val="clear" w:color="auto" w:fill="auto"/>
                  <w:vAlign w:val="center"/>
                </w:tcPr>
                <w:p w14:paraId="11F8424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0FC6191A">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74DB9421">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48907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025E2DA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11</w:t>
                  </w:r>
                </w:p>
              </w:tc>
              <w:tc>
                <w:tcPr>
                  <w:tcW w:w="1680" w:type="pct"/>
                  <w:shd w:val="clear" w:color="auto" w:fill="auto"/>
                  <w:vAlign w:val="center"/>
                </w:tcPr>
                <w:p w14:paraId="40426E0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干燥机4#</w:t>
                  </w:r>
                </w:p>
              </w:tc>
              <w:tc>
                <w:tcPr>
                  <w:tcW w:w="1227" w:type="pct"/>
                  <w:shd w:val="clear" w:color="auto" w:fill="auto"/>
                  <w:vAlign w:val="center"/>
                </w:tcPr>
                <w:p w14:paraId="6DFA36B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781A6FE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21A02A1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3341C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5DD8D77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12</w:t>
                  </w:r>
                </w:p>
              </w:tc>
              <w:tc>
                <w:tcPr>
                  <w:tcW w:w="1680" w:type="pct"/>
                  <w:shd w:val="clear" w:color="auto" w:fill="auto"/>
                  <w:vAlign w:val="center"/>
                </w:tcPr>
                <w:p w14:paraId="163D6EE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烘烤箱（大）</w:t>
                  </w:r>
                </w:p>
              </w:tc>
              <w:tc>
                <w:tcPr>
                  <w:tcW w:w="1227" w:type="pct"/>
                  <w:shd w:val="clear" w:color="auto" w:fill="auto"/>
                  <w:vAlign w:val="center"/>
                </w:tcPr>
                <w:p w14:paraId="6BCD1E05">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4B89561C">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34D66A9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2CE61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7F81B58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13</w:t>
                  </w:r>
                </w:p>
              </w:tc>
              <w:tc>
                <w:tcPr>
                  <w:tcW w:w="1680" w:type="pct"/>
                  <w:shd w:val="clear" w:color="auto" w:fill="auto"/>
                  <w:vAlign w:val="center"/>
                </w:tcPr>
                <w:p w14:paraId="227A315C">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烘烤箱（小）</w:t>
                  </w:r>
                </w:p>
              </w:tc>
              <w:tc>
                <w:tcPr>
                  <w:tcW w:w="1227" w:type="pct"/>
                  <w:shd w:val="clear" w:color="auto" w:fill="auto"/>
                  <w:vAlign w:val="center"/>
                </w:tcPr>
                <w:p w14:paraId="54B1978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27A45B81">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0A3D4C93">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5242B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4489C3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14</w:t>
                  </w:r>
                </w:p>
              </w:tc>
              <w:tc>
                <w:tcPr>
                  <w:tcW w:w="1680" w:type="pct"/>
                  <w:shd w:val="clear" w:color="auto" w:fill="auto"/>
                  <w:vAlign w:val="center"/>
                </w:tcPr>
                <w:p w14:paraId="0B8AC5C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喷粉机（三涂）</w:t>
                  </w:r>
                </w:p>
              </w:tc>
              <w:tc>
                <w:tcPr>
                  <w:tcW w:w="1227" w:type="pct"/>
                  <w:shd w:val="clear" w:color="auto" w:fill="auto"/>
                  <w:vAlign w:val="center"/>
                </w:tcPr>
                <w:p w14:paraId="0840686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73B60102">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52F51A9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4A515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69CA061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15</w:t>
                  </w:r>
                </w:p>
              </w:tc>
              <w:tc>
                <w:tcPr>
                  <w:tcW w:w="1680" w:type="pct"/>
                  <w:shd w:val="clear" w:color="auto" w:fill="auto"/>
                  <w:vAlign w:val="center"/>
                </w:tcPr>
                <w:p w14:paraId="7D7ABC1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破碎机</w:t>
                  </w:r>
                </w:p>
              </w:tc>
              <w:tc>
                <w:tcPr>
                  <w:tcW w:w="1227" w:type="pct"/>
                  <w:shd w:val="clear" w:color="auto" w:fill="auto"/>
                  <w:vAlign w:val="center"/>
                </w:tcPr>
                <w:p w14:paraId="773A953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01AA33AA">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14A35899">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07E0A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5588FE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eastAsia="宋体" w:cs="Times New Roman"/>
                      <w:b w:val="0"/>
                      <w:bCs w:val="0"/>
                      <w:color w:val="auto"/>
                      <w:kern w:val="2"/>
                      <w:sz w:val="21"/>
                      <w:szCs w:val="21"/>
                      <w:lang w:val="en-US" w:eastAsia="zh-CN" w:bidi="ar-SA"/>
                    </w:rPr>
                    <w:t>16</w:t>
                  </w:r>
                </w:p>
              </w:tc>
              <w:tc>
                <w:tcPr>
                  <w:tcW w:w="1680" w:type="pct"/>
                  <w:shd w:val="clear" w:color="auto" w:fill="auto"/>
                  <w:vAlign w:val="center"/>
                </w:tcPr>
                <w:p w14:paraId="57C389B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冲床送料机</w:t>
                  </w:r>
                </w:p>
              </w:tc>
              <w:tc>
                <w:tcPr>
                  <w:tcW w:w="1227" w:type="pct"/>
                  <w:shd w:val="clear" w:color="auto" w:fill="auto"/>
                  <w:vAlign w:val="center"/>
                </w:tcPr>
                <w:p w14:paraId="5B82CD2B">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G0-300</w:t>
                  </w:r>
                </w:p>
              </w:tc>
              <w:tc>
                <w:tcPr>
                  <w:tcW w:w="748" w:type="pct"/>
                  <w:vAlign w:val="center"/>
                </w:tcPr>
                <w:p w14:paraId="3FFA83C0">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7FED07F6">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0E0C85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52" w:type="pct"/>
                  <w:vAlign w:val="center"/>
                </w:tcPr>
                <w:p w14:paraId="5B1D19E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17</w:t>
                  </w:r>
                </w:p>
              </w:tc>
              <w:tc>
                <w:tcPr>
                  <w:tcW w:w="1680" w:type="pct"/>
                  <w:shd w:val="clear" w:color="auto" w:fill="auto"/>
                  <w:vAlign w:val="center"/>
                </w:tcPr>
                <w:p w14:paraId="62CE712F">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气动冲床</w:t>
                  </w:r>
                </w:p>
              </w:tc>
              <w:tc>
                <w:tcPr>
                  <w:tcW w:w="1227" w:type="pct"/>
                  <w:shd w:val="clear" w:color="auto" w:fill="auto"/>
                  <w:vAlign w:val="center"/>
                </w:tcPr>
                <w:p w14:paraId="272A91BC">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C1-80V</w:t>
                  </w:r>
                </w:p>
              </w:tc>
              <w:tc>
                <w:tcPr>
                  <w:tcW w:w="748" w:type="pct"/>
                  <w:vAlign w:val="center"/>
                </w:tcPr>
                <w:p w14:paraId="0385C98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783120AD">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r w14:paraId="056CB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779" w:type="dxa"/>
                  <w:vAlign w:val="center"/>
                </w:tcPr>
                <w:p w14:paraId="66BF391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18</w:t>
                  </w:r>
                </w:p>
              </w:tc>
              <w:tc>
                <w:tcPr>
                  <w:tcW w:w="1680" w:type="pct"/>
                  <w:shd w:val="clear" w:color="auto" w:fill="auto"/>
                  <w:vAlign w:val="center"/>
                </w:tcPr>
                <w:p w14:paraId="4EBD78F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全功能自动烘干机</w:t>
                  </w:r>
                </w:p>
              </w:tc>
              <w:tc>
                <w:tcPr>
                  <w:tcW w:w="1227" w:type="pct"/>
                  <w:shd w:val="clear" w:color="auto" w:fill="auto"/>
                  <w:vAlign w:val="center"/>
                </w:tcPr>
                <w:p w14:paraId="5961077B">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vAlign w:val="center"/>
                </w:tcPr>
                <w:p w14:paraId="668D6B33">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1台</w:t>
                  </w:r>
                </w:p>
              </w:tc>
              <w:tc>
                <w:tcPr>
                  <w:tcW w:w="891" w:type="pct"/>
                  <w:vAlign w:val="center"/>
                </w:tcPr>
                <w:p w14:paraId="342FC1E7">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新建</w:t>
                  </w:r>
                </w:p>
              </w:tc>
            </w:tr>
            <w:tr w14:paraId="04534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779" w:type="dxa"/>
                  <w:vAlign w:val="center"/>
                </w:tcPr>
                <w:p w14:paraId="30F8BAB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19</w:t>
                  </w:r>
                </w:p>
              </w:tc>
              <w:tc>
                <w:tcPr>
                  <w:tcW w:w="1680" w:type="pct"/>
                  <w:shd w:val="clear" w:color="auto" w:fill="auto"/>
                  <w:vAlign w:val="center"/>
                </w:tcPr>
                <w:p w14:paraId="46DA4CEE">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cs="Times New Roman"/>
                      <w:sz w:val="21"/>
                      <w:szCs w:val="21"/>
                      <w:u w:val="none"/>
                      <w:vertAlign w:val="baseline"/>
                      <w:lang w:val="en-US" w:eastAsia="zh-CN"/>
                    </w:rPr>
                    <w:t>冷却塔</w:t>
                  </w:r>
                </w:p>
              </w:tc>
              <w:tc>
                <w:tcPr>
                  <w:tcW w:w="1227" w:type="pct"/>
                  <w:shd w:val="clear" w:color="auto" w:fill="auto"/>
                  <w:vAlign w:val="center"/>
                </w:tcPr>
                <w:p w14:paraId="01A5AFD2">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w:t>
                  </w:r>
                </w:p>
              </w:tc>
              <w:tc>
                <w:tcPr>
                  <w:tcW w:w="748" w:type="pct"/>
                  <w:shd w:val="clear" w:color="auto" w:fill="auto"/>
                  <w:vAlign w:val="center"/>
                </w:tcPr>
                <w:p w14:paraId="63AB18EB">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cs="Times New Roman"/>
                      <w:sz w:val="21"/>
                      <w:szCs w:val="21"/>
                      <w:u w:val="none"/>
                      <w:vertAlign w:val="baseline"/>
                      <w:lang w:val="en-US" w:eastAsia="zh-CN"/>
                    </w:rPr>
                    <w:t>1台</w:t>
                  </w:r>
                </w:p>
              </w:tc>
              <w:tc>
                <w:tcPr>
                  <w:tcW w:w="891" w:type="pct"/>
                  <w:shd w:val="clear" w:color="auto" w:fill="auto"/>
                  <w:vAlign w:val="center"/>
                </w:tcPr>
                <w:p w14:paraId="2E0DA3B4">
                  <w:pPr>
                    <w:pStyle w:val="15"/>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kern w:val="0"/>
                      <w:sz w:val="21"/>
                      <w:szCs w:val="21"/>
                      <w:u w:val="none"/>
                      <w:vertAlign w:val="baseline"/>
                      <w:lang w:val="en-US" w:eastAsia="zh-CN" w:bidi="ar-SA"/>
                    </w:rPr>
                  </w:pPr>
                  <w:r>
                    <w:rPr>
                      <w:rFonts w:hint="eastAsia" w:ascii="Times New Roman" w:hAnsi="Times New Roman" w:eastAsia="宋体" w:cs="Times New Roman"/>
                      <w:sz w:val="21"/>
                      <w:szCs w:val="21"/>
                      <w:u w:val="none"/>
                      <w:vertAlign w:val="baseline"/>
                      <w:lang w:val="en-US" w:eastAsia="zh-CN"/>
                    </w:rPr>
                    <w:t>新建</w:t>
                  </w:r>
                </w:p>
              </w:tc>
            </w:tr>
          </w:tbl>
          <w:p w14:paraId="7465A94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2.2.</w:t>
            </w:r>
            <w:r>
              <w:rPr>
                <w:rFonts w:hint="eastAsia" w:ascii="Times New Roman" w:hAnsi="Times New Roman" w:eastAsia="宋体" w:cs="Times New Roman"/>
                <w:b/>
                <w:bCs/>
                <w:color w:val="auto"/>
                <w:sz w:val="24"/>
                <w:szCs w:val="24"/>
                <w:u w:val="none"/>
                <w:lang w:val="en-US" w:eastAsia="zh-CN"/>
              </w:rPr>
              <w:t>6</w:t>
            </w:r>
            <w:r>
              <w:rPr>
                <w:rFonts w:hint="default" w:ascii="Times New Roman" w:hAnsi="Times New Roman" w:eastAsia="宋体" w:cs="Times New Roman"/>
                <w:b/>
                <w:bCs/>
                <w:color w:val="auto"/>
                <w:sz w:val="24"/>
                <w:szCs w:val="24"/>
                <w:u w:val="none"/>
                <w:lang w:val="en-US" w:eastAsia="zh-CN"/>
              </w:rPr>
              <w:t xml:space="preserve"> </w:t>
            </w:r>
            <w:r>
              <w:rPr>
                <w:rFonts w:hint="eastAsia" w:ascii="Times New Roman" w:hAnsi="Times New Roman" w:eastAsia="宋体" w:cs="Times New Roman"/>
                <w:b/>
                <w:bCs/>
                <w:color w:val="auto"/>
                <w:sz w:val="24"/>
                <w:szCs w:val="24"/>
                <w:u w:val="none"/>
                <w:lang w:val="en-US" w:eastAsia="zh-CN"/>
              </w:rPr>
              <w:t>项目主要原辅材料</w:t>
            </w:r>
            <w:bookmarkEnd w:id="27"/>
          </w:p>
          <w:p w14:paraId="2A3828DA">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Times New Roman" w:hAnsi="Times New Roman" w:cs="Times New Roman"/>
                <w:b w:val="0"/>
                <w:bCs w:val="0"/>
                <w:color w:val="auto"/>
                <w:sz w:val="24"/>
                <w:szCs w:val="24"/>
                <w:u w:val="none"/>
                <w:lang w:val="en-US" w:eastAsia="zh-CN"/>
              </w:rPr>
            </w:pPr>
            <w:r>
              <w:rPr>
                <w:rFonts w:hint="default" w:ascii="Times New Roman" w:hAnsi="Times New Roman" w:cs="Times New Roman"/>
                <w:b w:val="0"/>
                <w:bCs w:val="0"/>
                <w:color w:val="auto"/>
                <w:sz w:val="24"/>
                <w:szCs w:val="24"/>
                <w:u w:val="none"/>
                <w:lang w:val="en-US" w:eastAsia="zh-CN"/>
              </w:rPr>
              <w:t>项目</w:t>
            </w:r>
            <w:r>
              <w:rPr>
                <w:rFonts w:hint="eastAsia" w:ascii="Times New Roman" w:hAnsi="Times New Roman" w:cs="Times New Roman"/>
                <w:b w:val="0"/>
                <w:bCs w:val="0"/>
                <w:color w:val="auto"/>
                <w:sz w:val="24"/>
                <w:szCs w:val="24"/>
                <w:u w:val="none"/>
                <w:lang w:val="en-US" w:eastAsia="zh-CN"/>
              </w:rPr>
              <w:t>的主要原辅材料及用量情况详见表2.2-4。</w:t>
            </w:r>
          </w:p>
          <w:p w14:paraId="7AE86069">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表2.2-4 主要原辅材料及用量一览表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332"/>
              <w:gridCol w:w="1029"/>
              <w:gridCol w:w="2221"/>
              <w:gridCol w:w="1290"/>
              <w:gridCol w:w="690"/>
              <w:gridCol w:w="795"/>
              <w:gridCol w:w="784"/>
            </w:tblGrid>
            <w:tr w14:paraId="36869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trPr>
              <w:tc>
                <w:tcPr>
                  <w:tcW w:w="475" w:type="dxa"/>
                  <w:tcBorders>
                    <w:tl2br w:val="nil"/>
                    <w:tr2bl w:val="nil"/>
                  </w:tcBorders>
                  <w:noWrap w:val="0"/>
                  <w:vAlign w:val="center"/>
                </w:tcPr>
                <w:p w14:paraId="52F3515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en-US" w:eastAsia="zh-CN"/>
                    </w:rPr>
                    <w:t>序号</w:t>
                  </w:r>
                </w:p>
              </w:tc>
              <w:tc>
                <w:tcPr>
                  <w:tcW w:w="1332" w:type="dxa"/>
                  <w:tcBorders>
                    <w:tl2br w:val="nil"/>
                    <w:tr2bl w:val="nil"/>
                  </w:tcBorders>
                  <w:noWrap w:val="0"/>
                  <w:vAlign w:val="center"/>
                </w:tcPr>
                <w:p w14:paraId="1CEDFEB5">
                  <w:pPr>
                    <w:pStyle w:val="12"/>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en-US" w:eastAsia="zh-CN"/>
                    </w:rPr>
                    <w:t>原辅材料名称</w:t>
                  </w:r>
                </w:p>
              </w:tc>
              <w:tc>
                <w:tcPr>
                  <w:tcW w:w="1029" w:type="dxa"/>
                  <w:tcBorders>
                    <w:tl2br w:val="nil"/>
                    <w:tr2bl w:val="nil"/>
                  </w:tcBorders>
                  <w:noWrap w:val="0"/>
                  <w:vAlign w:val="center"/>
                </w:tcPr>
                <w:p w14:paraId="287DF27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lang w:val="en-US"/>
                    </w:rPr>
                  </w:pPr>
                  <w:r>
                    <w:rPr>
                      <w:rFonts w:hint="default" w:ascii="Times New Roman" w:hAnsi="Times New Roman" w:eastAsia="宋体" w:cs="Times New Roman"/>
                      <w:b w:val="0"/>
                      <w:bCs w:val="0"/>
                      <w:sz w:val="21"/>
                      <w:szCs w:val="21"/>
                      <w:lang w:val="en-US" w:eastAsia="zh-CN"/>
                    </w:rPr>
                    <w:t>原辅材料</w:t>
                  </w:r>
                  <w:r>
                    <w:rPr>
                      <w:rFonts w:hint="eastAsia" w:ascii="Times New Roman" w:hAnsi="Times New Roman" w:eastAsia="宋体" w:cs="Times New Roman"/>
                      <w:b w:val="0"/>
                      <w:bCs w:val="0"/>
                      <w:sz w:val="21"/>
                      <w:szCs w:val="21"/>
                      <w:lang w:val="en-US" w:eastAsia="zh-CN"/>
                    </w:rPr>
                    <w:t>年</w:t>
                  </w:r>
                  <w:r>
                    <w:rPr>
                      <w:rFonts w:hint="default" w:ascii="Times New Roman" w:hAnsi="Times New Roman" w:eastAsia="宋体" w:cs="Times New Roman"/>
                      <w:b w:val="0"/>
                      <w:bCs w:val="0"/>
                      <w:sz w:val="21"/>
                      <w:szCs w:val="21"/>
                      <w:lang w:val="en-US" w:eastAsia="zh-CN"/>
                    </w:rPr>
                    <w:t>用量</w:t>
                  </w:r>
                </w:p>
              </w:tc>
              <w:tc>
                <w:tcPr>
                  <w:tcW w:w="2221" w:type="dxa"/>
                  <w:tcBorders>
                    <w:tl2br w:val="nil"/>
                    <w:tr2bl w:val="nil"/>
                  </w:tcBorders>
                  <w:noWrap w:val="0"/>
                  <w:vAlign w:val="center"/>
                </w:tcPr>
                <w:p w14:paraId="2F13AAC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成分占比</w:t>
                  </w:r>
                </w:p>
              </w:tc>
              <w:tc>
                <w:tcPr>
                  <w:tcW w:w="1290" w:type="dxa"/>
                  <w:tcBorders>
                    <w:tl2br w:val="nil"/>
                    <w:tr2bl w:val="nil"/>
                  </w:tcBorders>
                  <w:noWrap w:val="0"/>
                  <w:vAlign w:val="center"/>
                </w:tcPr>
                <w:p w14:paraId="5BDB29B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最大储存量</w:t>
                  </w:r>
                </w:p>
              </w:tc>
              <w:tc>
                <w:tcPr>
                  <w:tcW w:w="690" w:type="dxa"/>
                  <w:tcBorders>
                    <w:tl2br w:val="nil"/>
                    <w:tr2bl w:val="nil"/>
                  </w:tcBorders>
                  <w:noWrap w:val="0"/>
                  <w:vAlign w:val="center"/>
                </w:tcPr>
                <w:p w14:paraId="35F0A21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物理形态</w:t>
                  </w:r>
                </w:p>
              </w:tc>
              <w:tc>
                <w:tcPr>
                  <w:tcW w:w="795" w:type="dxa"/>
                  <w:tcBorders>
                    <w:tl2br w:val="nil"/>
                    <w:tr2bl w:val="nil"/>
                  </w:tcBorders>
                  <w:noWrap w:val="0"/>
                  <w:vAlign w:val="center"/>
                </w:tcPr>
                <w:p w14:paraId="1AAC235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包装形式</w:t>
                  </w:r>
                </w:p>
              </w:tc>
              <w:tc>
                <w:tcPr>
                  <w:tcW w:w="784" w:type="dxa"/>
                  <w:tcBorders>
                    <w:tl2br w:val="nil"/>
                    <w:tr2bl w:val="nil"/>
                  </w:tcBorders>
                  <w:noWrap w:val="0"/>
                  <w:vAlign w:val="center"/>
                </w:tcPr>
                <w:p w14:paraId="3A6D408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储存位置</w:t>
                  </w:r>
                </w:p>
              </w:tc>
            </w:tr>
            <w:tr w14:paraId="074F7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75D8D5E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1332" w:type="dxa"/>
                  <w:tcBorders>
                    <w:tl2br w:val="nil"/>
                    <w:tr2bl w:val="nil"/>
                  </w:tcBorders>
                  <w:noWrap w:val="0"/>
                  <w:vAlign w:val="center"/>
                </w:tcPr>
                <w:p w14:paraId="1EC99685">
                  <w:pPr>
                    <w:pStyle w:val="12"/>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塑料</w:t>
                  </w:r>
                  <w:r>
                    <w:rPr>
                      <w:rFonts w:hint="eastAsia" w:ascii="Times New Roman" w:hAnsi="Times New Roman" w:cs="Times New Roman"/>
                      <w:b w:val="0"/>
                      <w:bCs w:val="0"/>
                      <w:color w:val="auto"/>
                      <w:sz w:val="21"/>
                      <w:szCs w:val="21"/>
                      <w:lang w:val="en-US" w:eastAsia="zh-CN"/>
                    </w:rPr>
                    <w:t>颗粒</w:t>
                  </w:r>
                  <w:r>
                    <w:rPr>
                      <w:rFonts w:hint="default" w:ascii="Times New Roman" w:hAnsi="Times New Roman" w:eastAsia="宋体" w:cs="Times New Roman"/>
                      <w:b w:val="0"/>
                      <w:bCs w:val="0"/>
                      <w:color w:val="auto"/>
                      <w:sz w:val="21"/>
                      <w:szCs w:val="21"/>
                      <w:lang w:val="en-US" w:eastAsia="zh-CN"/>
                    </w:rPr>
                    <w:t>（P</w:t>
                  </w:r>
                  <w:r>
                    <w:rPr>
                      <w:rFonts w:hint="eastAsia" w:ascii="Times New Roman" w:hAnsi="Times New Roman" w:cs="Times New Roman"/>
                      <w:b w:val="0"/>
                      <w:bCs w:val="0"/>
                      <w:color w:val="auto"/>
                      <w:sz w:val="21"/>
                      <w:szCs w:val="21"/>
                      <w:lang w:val="en-US" w:eastAsia="zh-CN"/>
                    </w:rPr>
                    <w:t>A</w:t>
                  </w:r>
                  <w:r>
                    <w:rPr>
                      <w:rFonts w:hint="default" w:ascii="Times New Roman" w:hAnsi="Times New Roman" w:eastAsia="宋体" w:cs="Times New Roman"/>
                      <w:b w:val="0"/>
                      <w:bCs w:val="0"/>
                      <w:color w:val="auto"/>
                      <w:sz w:val="21"/>
                      <w:szCs w:val="21"/>
                      <w:lang w:val="en-US" w:eastAsia="zh-CN"/>
                    </w:rPr>
                    <w:t>）</w:t>
                  </w:r>
                </w:p>
              </w:tc>
              <w:tc>
                <w:tcPr>
                  <w:tcW w:w="1029" w:type="dxa"/>
                  <w:tcBorders>
                    <w:tl2br w:val="nil"/>
                    <w:tr2bl w:val="nil"/>
                  </w:tcBorders>
                  <w:noWrap w:val="0"/>
                  <w:vAlign w:val="center"/>
                </w:tcPr>
                <w:p w14:paraId="2974EFD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15</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4DF311B6">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聚己内酰胺树脂≥95%</w:t>
                  </w:r>
                </w:p>
              </w:tc>
              <w:tc>
                <w:tcPr>
                  <w:tcW w:w="1290" w:type="dxa"/>
                  <w:tcBorders>
                    <w:tl2br w:val="nil"/>
                    <w:tr2bl w:val="nil"/>
                  </w:tcBorders>
                  <w:noWrap w:val="0"/>
                  <w:vAlign w:val="center"/>
                </w:tcPr>
                <w:p w14:paraId="4C6D45F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54DDB56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固体</w:t>
                  </w:r>
                </w:p>
              </w:tc>
              <w:tc>
                <w:tcPr>
                  <w:tcW w:w="795" w:type="dxa"/>
                  <w:tcBorders>
                    <w:tl2br w:val="nil"/>
                    <w:tr2bl w:val="nil"/>
                  </w:tcBorders>
                  <w:noWrap w:val="0"/>
                  <w:vAlign w:val="center"/>
                </w:tcPr>
                <w:p w14:paraId="0D473F6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62EEC39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2A869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0D236A9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w:t>
                  </w:r>
                </w:p>
              </w:tc>
              <w:tc>
                <w:tcPr>
                  <w:tcW w:w="1332" w:type="dxa"/>
                  <w:tcBorders>
                    <w:tl2br w:val="nil"/>
                    <w:tr2bl w:val="nil"/>
                  </w:tcBorders>
                  <w:noWrap w:val="0"/>
                  <w:vAlign w:val="center"/>
                </w:tcPr>
                <w:p w14:paraId="5E81A9A9">
                  <w:pPr>
                    <w:pStyle w:val="12"/>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塑料</w:t>
                  </w:r>
                  <w:r>
                    <w:rPr>
                      <w:rFonts w:hint="eastAsia" w:ascii="Times New Roman" w:hAnsi="Times New Roman" w:cs="Times New Roman"/>
                      <w:b w:val="0"/>
                      <w:bCs w:val="0"/>
                      <w:color w:val="auto"/>
                      <w:sz w:val="21"/>
                      <w:szCs w:val="21"/>
                      <w:lang w:val="en-US" w:eastAsia="zh-CN"/>
                    </w:rPr>
                    <w:t>颗粒</w:t>
                  </w:r>
                  <w:r>
                    <w:rPr>
                      <w:rFonts w:hint="default" w:ascii="Times New Roman" w:hAnsi="Times New Roman" w:eastAsia="宋体" w:cs="Times New Roman"/>
                      <w:b w:val="0"/>
                      <w:bCs w:val="0"/>
                      <w:color w:val="auto"/>
                      <w:sz w:val="21"/>
                      <w:szCs w:val="21"/>
                      <w:lang w:val="en-US" w:eastAsia="zh-CN"/>
                    </w:rPr>
                    <w:t>（P</w:t>
                  </w:r>
                  <w:r>
                    <w:rPr>
                      <w:rFonts w:hint="eastAsia" w:ascii="Times New Roman" w:hAnsi="Times New Roman" w:cs="Times New Roman"/>
                      <w:b w:val="0"/>
                      <w:bCs w:val="0"/>
                      <w:color w:val="auto"/>
                      <w:sz w:val="21"/>
                      <w:szCs w:val="21"/>
                      <w:lang w:val="en-US" w:eastAsia="zh-CN"/>
                    </w:rPr>
                    <w:t>C</w:t>
                  </w:r>
                  <w:r>
                    <w:rPr>
                      <w:rFonts w:hint="default" w:ascii="Times New Roman" w:hAnsi="Times New Roman" w:eastAsia="宋体" w:cs="Times New Roman"/>
                      <w:b w:val="0"/>
                      <w:bCs w:val="0"/>
                      <w:color w:val="auto"/>
                      <w:sz w:val="21"/>
                      <w:szCs w:val="21"/>
                      <w:lang w:val="en-US" w:eastAsia="zh-CN"/>
                    </w:rPr>
                    <w:t>）</w:t>
                  </w:r>
                </w:p>
              </w:tc>
              <w:tc>
                <w:tcPr>
                  <w:tcW w:w="1029" w:type="dxa"/>
                  <w:tcBorders>
                    <w:tl2br w:val="nil"/>
                    <w:tr2bl w:val="nil"/>
                  </w:tcBorders>
                  <w:noWrap w:val="0"/>
                  <w:vAlign w:val="center"/>
                </w:tcPr>
                <w:p w14:paraId="5AC7021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10</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364F111B">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p w14:paraId="73B9CFE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聚碳酸酯树脂≥95%</w:t>
                  </w:r>
                </w:p>
                <w:p w14:paraId="2683B34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p w14:paraId="0400062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290" w:type="dxa"/>
                  <w:tcBorders>
                    <w:tl2br w:val="nil"/>
                    <w:tr2bl w:val="nil"/>
                  </w:tcBorders>
                  <w:noWrap w:val="0"/>
                  <w:vAlign w:val="center"/>
                </w:tcPr>
                <w:p w14:paraId="38B2D7F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7983585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固体</w:t>
                  </w:r>
                </w:p>
              </w:tc>
              <w:tc>
                <w:tcPr>
                  <w:tcW w:w="795" w:type="dxa"/>
                  <w:tcBorders>
                    <w:tl2br w:val="nil"/>
                    <w:tr2bl w:val="nil"/>
                  </w:tcBorders>
                  <w:noWrap w:val="0"/>
                  <w:vAlign w:val="center"/>
                </w:tcPr>
                <w:p w14:paraId="13383A66">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725E71F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04A6D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667B58B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w:t>
                  </w:r>
                </w:p>
              </w:tc>
              <w:tc>
                <w:tcPr>
                  <w:tcW w:w="1332" w:type="dxa"/>
                  <w:tcBorders>
                    <w:tl2br w:val="nil"/>
                    <w:tr2bl w:val="nil"/>
                  </w:tcBorders>
                  <w:noWrap w:val="0"/>
                  <w:vAlign w:val="center"/>
                </w:tcPr>
                <w:p w14:paraId="3B893378">
                  <w:pPr>
                    <w:pStyle w:val="12"/>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塑料</w:t>
                  </w:r>
                  <w:r>
                    <w:rPr>
                      <w:rFonts w:hint="eastAsia" w:ascii="Times New Roman" w:hAnsi="Times New Roman" w:cs="Times New Roman"/>
                      <w:b w:val="0"/>
                      <w:bCs w:val="0"/>
                      <w:color w:val="auto"/>
                      <w:sz w:val="21"/>
                      <w:szCs w:val="21"/>
                      <w:lang w:val="en-US" w:eastAsia="zh-CN"/>
                    </w:rPr>
                    <w:t>颗粒</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TPU</w:t>
                  </w:r>
                  <w:r>
                    <w:rPr>
                      <w:rFonts w:hint="default" w:ascii="Times New Roman" w:hAnsi="Times New Roman" w:eastAsia="宋体" w:cs="Times New Roman"/>
                      <w:b w:val="0"/>
                      <w:bCs w:val="0"/>
                      <w:color w:val="auto"/>
                      <w:sz w:val="21"/>
                      <w:szCs w:val="21"/>
                      <w:lang w:val="en-US" w:eastAsia="zh-CN"/>
                    </w:rPr>
                    <w:t>）</w:t>
                  </w:r>
                </w:p>
              </w:tc>
              <w:tc>
                <w:tcPr>
                  <w:tcW w:w="1029" w:type="dxa"/>
                  <w:tcBorders>
                    <w:tl2br w:val="nil"/>
                    <w:tr2bl w:val="nil"/>
                  </w:tcBorders>
                  <w:noWrap w:val="0"/>
                  <w:vAlign w:val="center"/>
                </w:tcPr>
                <w:p w14:paraId="25229AF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7CAC5BF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p w14:paraId="6FD636EB">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热塑性聚氨酯弹性体≥95%</w:t>
                  </w:r>
                </w:p>
                <w:p w14:paraId="6A6B53E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p w14:paraId="21DB426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290" w:type="dxa"/>
                  <w:tcBorders>
                    <w:tl2br w:val="nil"/>
                    <w:tr2bl w:val="nil"/>
                  </w:tcBorders>
                  <w:noWrap w:val="0"/>
                  <w:vAlign w:val="center"/>
                </w:tcPr>
                <w:p w14:paraId="43689C66">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2DDE0D4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固体</w:t>
                  </w:r>
                </w:p>
              </w:tc>
              <w:tc>
                <w:tcPr>
                  <w:tcW w:w="795" w:type="dxa"/>
                  <w:tcBorders>
                    <w:tl2br w:val="nil"/>
                    <w:tr2bl w:val="nil"/>
                  </w:tcBorders>
                  <w:noWrap w:val="0"/>
                  <w:vAlign w:val="center"/>
                </w:tcPr>
                <w:p w14:paraId="65ED06D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64E21E6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7032C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385624C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w:t>
                  </w:r>
                </w:p>
              </w:tc>
              <w:tc>
                <w:tcPr>
                  <w:tcW w:w="1332" w:type="dxa"/>
                  <w:tcBorders>
                    <w:tl2br w:val="nil"/>
                    <w:tr2bl w:val="nil"/>
                  </w:tcBorders>
                  <w:noWrap w:val="0"/>
                  <w:vAlign w:val="center"/>
                </w:tcPr>
                <w:p w14:paraId="355811DB">
                  <w:pPr>
                    <w:pStyle w:val="12"/>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color w:val="auto"/>
                      <w:kern w:val="2"/>
                      <w:sz w:val="21"/>
                      <w:szCs w:val="21"/>
                      <w:highlight w:val="none"/>
                      <w:lang w:val="en-US" w:eastAsia="zh-CN" w:bidi="ar-SA"/>
                    </w:rPr>
                    <w:t>塑粉（涂装）</w:t>
                  </w:r>
                </w:p>
              </w:tc>
              <w:tc>
                <w:tcPr>
                  <w:tcW w:w="1029" w:type="dxa"/>
                  <w:tcBorders>
                    <w:tl2br w:val="nil"/>
                    <w:tr2bl w:val="nil"/>
                  </w:tcBorders>
                  <w:noWrap w:val="0"/>
                  <w:vAlign w:val="center"/>
                </w:tcPr>
                <w:p w14:paraId="2DA56CE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1.5</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5EB3E90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聚酯树脂</w:t>
                  </w:r>
                  <w:r>
                    <w:rPr>
                      <w:rFonts w:hint="eastAsia" w:ascii="Times New Roman" w:hAnsi="Times New Roman" w:eastAsia="宋体" w:cs="Times New Roman"/>
                      <w:b w:val="0"/>
                      <w:bCs w:val="0"/>
                      <w:color w:val="auto"/>
                      <w:sz w:val="21"/>
                      <w:szCs w:val="21"/>
                      <w:lang w:val="en-US" w:eastAsia="zh-CN"/>
                    </w:rPr>
                    <w:t>、消光固化物等</w:t>
                  </w:r>
                </w:p>
              </w:tc>
              <w:tc>
                <w:tcPr>
                  <w:tcW w:w="1290" w:type="dxa"/>
                  <w:tcBorders>
                    <w:tl2br w:val="nil"/>
                    <w:tr2bl w:val="nil"/>
                  </w:tcBorders>
                  <w:noWrap w:val="0"/>
                  <w:vAlign w:val="center"/>
                </w:tcPr>
                <w:p w14:paraId="0BC353A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0.5</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59807BD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固体</w:t>
                  </w:r>
                </w:p>
              </w:tc>
              <w:tc>
                <w:tcPr>
                  <w:tcW w:w="795" w:type="dxa"/>
                  <w:tcBorders>
                    <w:tl2br w:val="nil"/>
                    <w:tr2bl w:val="nil"/>
                  </w:tcBorders>
                  <w:noWrap w:val="0"/>
                  <w:vAlign w:val="center"/>
                </w:tcPr>
                <w:p w14:paraId="62271E5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298C76A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3FC07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145CBB6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w:t>
                  </w:r>
                </w:p>
              </w:tc>
              <w:tc>
                <w:tcPr>
                  <w:tcW w:w="1332" w:type="dxa"/>
                  <w:tcBorders>
                    <w:tl2br w:val="nil"/>
                    <w:tr2bl w:val="nil"/>
                  </w:tcBorders>
                  <w:noWrap w:val="0"/>
                  <w:vAlign w:val="center"/>
                </w:tcPr>
                <w:p w14:paraId="3892951F">
                  <w:pPr>
                    <w:pStyle w:val="3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color w:val="auto"/>
                      <w:kern w:val="2"/>
                      <w:sz w:val="21"/>
                      <w:szCs w:val="21"/>
                      <w:highlight w:val="none"/>
                      <w:lang w:val="en-US" w:eastAsia="zh-CN" w:bidi="ar-SA"/>
                    </w:rPr>
                    <w:t>铸铝除油剂</w:t>
                  </w:r>
                </w:p>
              </w:tc>
              <w:tc>
                <w:tcPr>
                  <w:tcW w:w="1029" w:type="dxa"/>
                  <w:tcBorders>
                    <w:tl2br w:val="nil"/>
                    <w:tr2bl w:val="nil"/>
                  </w:tcBorders>
                  <w:noWrap w:val="0"/>
                  <w:vAlign w:val="center"/>
                </w:tcPr>
                <w:p w14:paraId="2512749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0.3</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6EC53E0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lang w:val="en-US" w:eastAsia="zh-CN"/>
                    </w:rPr>
                    <w:t>10%碳酸钠；5%硅酸钠；10%葡萄糖酸钠；25%AES；50%水</w:t>
                  </w:r>
                </w:p>
              </w:tc>
              <w:tc>
                <w:tcPr>
                  <w:tcW w:w="1290" w:type="dxa"/>
                  <w:tcBorders>
                    <w:tl2br w:val="nil"/>
                    <w:tr2bl w:val="nil"/>
                  </w:tcBorders>
                  <w:noWrap w:val="0"/>
                  <w:vAlign w:val="center"/>
                </w:tcPr>
                <w:p w14:paraId="74DF843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0.05</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2606CA64">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固体</w:t>
                  </w:r>
                </w:p>
              </w:tc>
              <w:tc>
                <w:tcPr>
                  <w:tcW w:w="795" w:type="dxa"/>
                  <w:tcBorders>
                    <w:tl2br w:val="nil"/>
                    <w:tr2bl w:val="nil"/>
                  </w:tcBorders>
                  <w:noWrap w:val="0"/>
                  <w:vAlign w:val="center"/>
                </w:tcPr>
                <w:p w14:paraId="20D247C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0512553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化学品仓库</w:t>
                  </w:r>
                </w:p>
              </w:tc>
            </w:tr>
            <w:tr w14:paraId="710DC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4B0C37F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6</w:t>
                  </w:r>
                </w:p>
              </w:tc>
              <w:tc>
                <w:tcPr>
                  <w:tcW w:w="1332" w:type="dxa"/>
                  <w:tcBorders>
                    <w:tl2br w:val="nil"/>
                    <w:tr2bl w:val="nil"/>
                  </w:tcBorders>
                  <w:noWrap w:val="0"/>
                  <w:vAlign w:val="center"/>
                </w:tcPr>
                <w:p w14:paraId="5CF8B8FB">
                  <w:pPr>
                    <w:pStyle w:val="3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color w:val="auto"/>
                      <w:kern w:val="2"/>
                      <w:sz w:val="21"/>
                      <w:szCs w:val="21"/>
                      <w:highlight w:val="none"/>
                      <w:lang w:val="en-US" w:eastAsia="zh-CN" w:bidi="ar-SA"/>
                    </w:rPr>
                    <w:t>硅烷处理剂（钝化液）</w:t>
                  </w:r>
                </w:p>
              </w:tc>
              <w:tc>
                <w:tcPr>
                  <w:tcW w:w="1029" w:type="dxa"/>
                  <w:tcBorders>
                    <w:tl2br w:val="nil"/>
                    <w:tr2bl w:val="nil"/>
                  </w:tcBorders>
                  <w:noWrap w:val="0"/>
                  <w:vAlign w:val="center"/>
                </w:tcPr>
                <w:p w14:paraId="68E14C1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0.17</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2FD6D4B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0.5%柠檬酸；1%乙二醇；30%水性聚氨酯树脂；68.5%水</w:t>
                  </w:r>
                </w:p>
              </w:tc>
              <w:tc>
                <w:tcPr>
                  <w:tcW w:w="1290" w:type="dxa"/>
                  <w:tcBorders>
                    <w:tl2br w:val="nil"/>
                    <w:tr2bl w:val="nil"/>
                  </w:tcBorders>
                  <w:noWrap w:val="0"/>
                  <w:vAlign w:val="center"/>
                </w:tcPr>
                <w:p w14:paraId="4001A2F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63730CD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025333EB">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桶装</w:t>
                  </w:r>
                </w:p>
              </w:tc>
              <w:tc>
                <w:tcPr>
                  <w:tcW w:w="784" w:type="dxa"/>
                  <w:tcBorders>
                    <w:tl2br w:val="nil"/>
                    <w:tr2bl w:val="nil"/>
                  </w:tcBorders>
                  <w:noWrap w:val="0"/>
                  <w:vAlign w:val="center"/>
                </w:tcPr>
                <w:p w14:paraId="0F21F4E4">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化学品仓库</w:t>
                  </w:r>
                </w:p>
              </w:tc>
            </w:tr>
            <w:tr w14:paraId="1032C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6565E8D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10</w:t>
                  </w:r>
                </w:p>
              </w:tc>
              <w:tc>
                <w:tcPr>
                  <w:tcW w:w="1332" w:type="dxa"/>
                  <w:tcBorders>
                    <w:tl2br w:val="nil"/>
                    <w:tr2bl w:val="nil"/>
                  </w:tcBorders>
                  <w:noWrap w:val="0"/>
                  <w:vAlign w:val="center"/>
                </w:tcPr>
                <w:p w14:paraId="7431FF03">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机油</w:t>
                  </w:r>
                </w:p>
              </w:tc>
              <w:tc>
                <w:tcPr>
                  <w:tcW w:w="1029" w:type="dxa"/>
                  <w:tcBorders>
                    <w:tl2br w:val="nil"/>
                    <w:tr2bl w:val="nil"/>
                  </w:tcBorders>
                  <w:noWrap w:val="0"/>
                  <w:vAlign w:val="center"/>
                </w:tcPr>
                <w:p w14:paraId="3C340206">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0.25</w:t>
                  </w:r>
                  <w:r>
                    <w:rPr>
                      <w:rFonts w:hint="eastAsia" w:ascii="Times New Roman" w:hAnsi="Times New Roman" w:eastAsia="宋体" w:cs="Times New Roman"/>
                      <w:b w:val="0"/>
                      <w:bCs w:val="0"/>
                      <w:sz w:val="21"/>
                      <w:szCs w:val="21"/>
                      <w:lang w:val="en-US" w:eastAsia="zh-CN"/>
                    </w:rPr>
                    <w:t>t/a</w:t>
                  </w:r>
                </w:p>
              </w:tc>
              <w:tc>
                <w:tcPr>
                  <w:tcW w:w="2221" w:type="dxa"/>
                  <w:tcBorders>
                    <w:tl2br w:val="nil"/>
                    <w:tr2bl w:val="nil"/>
                  </w:tcBorders>
                  <w:noWrap w:val="0"/>
                  <w:vAlign w:val="center"/>
                </w:tcPr>
                <w:p w14:paraId="28A47F7E">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290" w:type="dxa"/>
                  <w:tcBorders>
                    <w:tl2br w:val="nil"/>
                    <w:tr2bl w:val="nil"/>
                  </w:tcBorders>
                  <w:noWrap w:val="0"/>
                  <w:vAlign w:val="center"/>
                </w:tcPr>
                <w:p w14:paraId="4A8186A4">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653DF7F0">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液体</w:t>
                  </w:r>
                </w:p>
              </w:tc>
              <w:tc>
                <w:tcPr>
                  <w:tcW w:w="795" w:type="dxa"/>
                  <w:tcBorders>
                    <w:tl2br w:val="nil"/>
                    <w:tr2bl w:val="nil"/>
                  </w:tcBorders>
                  <w:noWrap w:val="0"/>
                  <w:vAlign w:val="center"/>
                </w:tcPr>
                <w:p w14:paraId="2FCCDB8B">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桶装</w:t>
                  </w:r>
                </w:p>
              </w:tc>
              <w:tc>
                <w:tcPr>
                  <w:tcW w:w="784" w:type="dxa"/>
                  <w:tcBorders>
                    <w:tl2br w:val="nil"/>
                    <w:tr2bl w:val="nil"/>
                  </w:tcBorders>
                  <w:noWrap w:val="0"/>
                  <w:vAlign w:val="center"/>
                </w:tcPr>
                <w:p w14:paraId="4800248E">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化学品仓库</w:t>
                  </w:r>
                </w:p>
              </w:tc>
            </w:tr>
            <w:tr w14:paraId="5CB59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1FF4C00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ascii="Times New Roman" w:hAnsi="Times New Roman" w:cs="Times New Roman"/>
                      <w:b w:val="0"/>
                      <w:bCs w:val="0"/>
                      <w:color w:val="auto"/>
                      <w:sz w:val="21"/>
                      <w:szCs w:val="21"/>
                      <w:lang w:val="en-US" w:eastAsia="zh-CN"/>
                    </w:rPr>
                    <w:t>1</w:t>
                  </w:r>
                </w:p>
              </w:tc>
              <w:tc>
                <w:tcPr>
                  <w:tcW w:w="1332" w:type="dxa"/>
                  <w:tcBorders>
                    <w:tl2br w:val="nil"/>
                    <w:tr2bl w:val="nil"/>
                  </w:tcBorders>
                  <w:noWrap w:val="0"/>
                  <w:vAlign w:val="center"/>
                </w:tcPr>
                <w:p w14:paraId="336403ED">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色粉</w:t>
                  </w:r>
                </w:p>
              </w:tc>
              <w:tc>
                <w:tcPr>
                  <w:tcW w:w="1029" w:type="dxa"/>
                  <w:tcBorders>
                    <w:tl2br w:val="nil"/>
                    <w:tr2bl w:val="nil"/>
                  </w:tcBorders>
                  <w:noWrap w:val="0"/>
                  <w:vAlign w:val="center"/>
                </w:tcPr>
                <w:p w14:paraId="4E575A87">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20kg/a</w:t>
                  </w:r>
                </w:p>
              </w:tc>
              <w:tc>
                <w:tcPr>
                  <w:tcW w:w="2221" w:type="dxa"/>
                  <w:tcBorders>
                    <w:tl2br w:val="nil"/>
                    <w:tr2bl w:val="nil"/>
                  </w:tcBorders>
                  <w:noWrap w:val="0"/>
                  <w:vAlign w:val="center"/>
                </w:tcPr>
                <w:p w14:paraId="4065A373">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cs="Times New Roman"/>
                      <w:b w:val="0"/>
                      <w:bCs w:val="0"/>
                      <w:color w:val="auto"/>
                      <w:sz w:val="21"/>
                      <w:szCs w:val="21"/>
                      <w:lang w:val="en-US" w:eastAsia="zh-CN"/>
                    </w:rPr>
                    <w:t>20%～70%</w:t>
                  </w:r>
                  <w:r>
                    <w:rPr>
                      <w:rFonts w:hint="eastAsia" w:ascii="Times New Roman" w:hAnsi="Times New Roman" w:cs="Times New Roman"/>
                      <w:b w:val="0"/>
                      <w:bCs w:val="0"/>
                      <w:color w:val="auto"/>
                      <w:sz w:val="21"/>
                      <w:szCs w:val="21"/>
                      <w:lang w:val="en-US" w:eastAsia="zh-CN"/>
                    </w:rPr>
                    <w:t>二氧化钛；</w:t>
                  </w:r>
                  <w:r>
                    <w:rPr>
                      <w:rFonts w:hint="eastAsia" w:cs="Times New Roman"/>
                      <w:b w:val="0"/>
                      <w:bCs w:val="0"/>
                      <w:color w:val="auto"/>
                      <w:sz w:val="21"/>
                      <w:szCs w:val="21"/>
                      <w:lang w:val="en-US" w:eastAsia="zh-CN"/>
                    </w:rPr>
                    <w:t>5%～10%</w:t>
                  </w:r>
                  <w:r>
                    <w:rPr>
                      <w:rFonts w:hint="eastAsia" w:ascii="Times New Roman" w:hAnsi="Times New Roman" w:cs="Times New Roman"/>
                      <w:b w:val="0"/>
                      <w:bCs w:val="0"/>
                      <w:color w:val="auto"/>
                      <w:sz w:val="21"/>
                      <w:szCs w:val="21"/>
                      <w:lang w:val="en-US" w:eastAsia="zh-CN"/>
                    </w:rPr>
                    <w:t>聚乙烯蜡；</w:t>
                  </w:r>
                  <w:r>
                    <w:rPr>
                      <w:rFonts w:hint="eastAsia" w:cs="Times New Roman"/>
                      <w:b w:val="0"/>
                      <w:bCs w:val="0"/>
                      <w:color w:val="auto"/>
                      <w:sz w:val="21"/>
                      <w:szCs w:val="21"/>
                      <w:lang w:val="en-US" w:eastAsia="zh-CN"/>
                    </w:rPr>
                    <w:t>20%～80%</w:t>
                  </w:r>
                  <w:r>
                    <w:rPr>
                      <w:rFonts w:hint="eastAsia" w:ascii="Times New Roman" w:hAnsi="Times New Roman" w:cs="Times New Roman"/>
                      <w:b w:val="0"/>
                      <w:bCs w:val="0"/>
                      <w:color w:val="auto"/>
                      <w:sz w:val="21"/>
                      <w:szCs w:val="21"/>
                      <w:lang w:val="en-US" w:eastAsia="zh-CN"/>
                    </w:rPr>
                    <w:t>聚乙烯；</w:t>
                  </w:r>
                </w:p>
              </w:tc>
              <w:tc>
                <w:tcPr>
                  <w:tcW w:w="1290" w:type="dxa"/>
                  <w:tcBorders>
                    <w:tl2br w:val="nil"/>
                    <w:tr2bl w:val="nil"/>
                  </w:tcBorders>
                  <w:noWrap w:val="0"/>
                  <w:vAlign w:val="center"/>
                </w:tcPr>
                <w:p w14:paraId="09ADBD4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0.005</w:t>
                  </w:r>
                  <w:r>
                    <w:rPr>
                      <w:rFonts w:hint="eastAsia" w:ascii="Times New Roman" w:hAnsi="Times New Roman" w:eastAsia="宋体" w:cs="Times New Roman"/>
                      <w:b w:val="0"/>
                      <w:bCs w:val="0"/>
                      <w:sz w:val="21"/>
                      <w:szCs w:val="21"/>
                      <w:lang w:val="en-US" w:eastAsia="zh-CN"/>
                    </w:rPr>
                    <w:t>t</w:t>
                  </w:r>
                </w:p>
              </w:tc>
              <w:tc>
                <w:tcPr>
                  <w:tcW w:w="690" w:type="dxa"/>
                  <w:tcBorders>
                    <w:tl2br w:val="nil"/>
                    <w:tr2bl w:val="nil"/>
                  </w:tcBorders>
                  <w:noWrap w:val="0"/>
                  <w:vAlign w:val="center"/>
                </w:tcPr>
                <w:p w14:paraId="79387145">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018B44F3">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桶装</w:t>
                  </w:r>
                </w:p>
              </w:tc>
              <w:tc>
                <w:tcPr>
                  <w:tcW w:w="784" w:type="dxa"/>
                  <w:tcBorders>
                    <w:tl2br w:val="nil"/>
                    <w:tr2bl w:val="nil"/>
                  </w:tcBorders>
                  <w:noWrap w:val="0"/>
                  <w:vAlign w:val="center"/>
                </w:tcPr>
                <w:p w14:paraId="0E090FD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1C4E3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0758A7C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12</w:t>
                  </w:r>
                </w:p>
              </w:tc>
              <w:tc>
                <w:tcPr>
                  <w:tcW w:w="1332" w:type="dxa"/>
                  <w:tcBorders>
                    <w:tl2br w:val="nil"/>
                    <w:tr2bl w:val="nil"/>
                  </w:tcBorders>
                  <w:noWrap w:val="0"/>
                  <w:vAlign w:val="center"/>
                </w:tcPr>
                <w:p w14:paraId="780260C7">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ADC12铝合金壳体</w:t>
                  </w:r>
                </w:p>
              </w:tc>
              <w:tc>
                <w:tcPr>
                  <w:tcW w:w="1029" w:type="dxa"/>
                  <w:tcBorders>
                    <w:tl2br w:val="nil"/>
                    <w:tr2bl w:val="nil"/>
                  </w:tcBorders>
                  <w:noWrap w:val="0"/>
                  <w:vAlign w:val="center"/>
                </w:tcPr>
                <w:p w14:paraId="02987A9E">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300万个（1个工业连接器使用1个壳体）</w:t>
                  </w:r>
                </w:p>
              </w:tc>
              <w:tc>
                <w:tcPr>
                  <w:tcW w:w="2221" w:type="dxa"/>
                  <w:tcBorders>
                    <w:tl2br w:val="nil"/>
                    <w:tr2bl w:val="nil"/>
                  </w:tcBorders>
                  <w:noWrap w:val="0"/>
                  <w:vAlign w:val="center"/>
                </w:tcPr>
                <w:p w14:paraId="49522BF4">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290" w:type="dxa"/>
                  <w:tcBorders>
                    <w:tl2br w:val="nil"/>
                    <w:tr2bl w:val="nil"/>
                  </w:tcBorders>
                  <w:noWrap w:val="0"/>
                  <w:vAlign w:val="center"/>
                </w:tcPr>
                <w:p w14:paraId="7387D71C">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50万个</w:t>
                  </w:r>
                </w:p>
              </w:tc>
              <w:tc>
                <w:tcPr>
                  <w:tcW w:w="690" w:type="dxa"/>
                  <w:tcBorders>
                    <w:tl2br w:val="nil"/>
                    <w:tr2bl w:val="nil"/>
                  </w:tcBorders>
                  <w:noWrap w:val="0"/>
                  <w:vAlign w:val="center"/>
                </w:tcPr>
                <w:p w14:paraId="603DCEDD">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314BC65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547C281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41996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04671AA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13</w:t>
                  </w:r>
                </w:p>
              </w:tc>
              <w:tc>
                <w:tcPr>
                  <w:tcW w:w="1332" w:type="dxa"/>
                  <w:tcBorders>
                    <w:tl2br w:val="nil"/>
                    <w:tr2bl w:val="nil"/>
                  </w:tcBorders>
                  <w:noWrap w:val="0"/>
                  <w:vAlign w:val="center"/>
                </w:tcPr>
                <w:p w14:paraId="45C47777">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铆钉</w:t>
                  </w:r>
                </w:p>
              </w:tc>
              <w:tc>
                <w:tcPr>
                  <w:tcW w:w="1029" w:type="dxa"/>
                  <w:tcBorders>
                    <w:tl2br w:val="nil"/>
                    <w:tr2bl w:val="nil"/>
                  </w:tcBorders>
                  <w:noWrap w:val="0"/>
                  <w:vAlign w:val="center"/>
                </w:tcPr>
                <w:p w14:paraId="1B6DD4CB">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1200万个（1个工业连接器使用4个铆钉）</w:t>
                  </w:r>
                </w:p>
              </w:tc>
              <w:tc>
                <w:tcPr>
                  <w:tcW w:w="2221" w:type="dxa"/>
                  <w:tcBorders>
                    <w:tl2br w:val="nil"/>
                    <w:tr2bl w:val="nil"/>
                  </w:tcBorders>
                  <w:noWrap w:val="0"/>
                  <w:vAlign w:val="center"/>
                </w:tcPr>
                <w:p w14:paraId="7CC9E08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290" w:type="dxa"/>
                  <w:tcBorders>
                    <w:tl2br w:val="nil"/>
                    <w:tr2bl w:val="nil"/>
                  </w:tcBorders>
                  <w:noWrap w:val="0"/>
                  <w:vAlign w:val="center"/>
                </w:tcPr>
                <w:p w14:paraId="1EF21AF6">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200万个</w:t>
                  </w:r>
                </w:p>
              </w:tc>
              <w:tc>
                <w:tcPr>
                  <w:tcW w:w="690" w:type="dxa"/>
                  <w:tcBorders>
                    <w:tl2br w:val="nil"/>
                    <w:tr2bl w:val="nil"/>
                  </w:tcBorders>
                  <w:noWrap w:val="0"/>
                  <w:vAlign w:val="center"/>
                </w:tcPr>
                <w:p w14:paraId="44B309F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7D16705B">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75591000">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37B7E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43FB7E7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14</w:t>
                  </w:r>
                </w:p>
              </w:tc>
              <w:tc>
                <w:tcPr>
                  <w:tcW w:w="1332" w:type="dxa"/>
                  <w:tcBorders>
                    <w:tl2br w:val="nil"/>
                    <w:tr2bl w:val="nil"/>
                  </w:tcBorders>
                  <w:noWrap w:val="0"/>
                  <w:vAlign w:val="center"/>
                </w:tcPr>
                <w:p w14:paraId="6F79222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端子</w:t>
                  </w:r>
                </w:p>
              </w:tc>
              <w:tc>
                <w:tcPr>
                  <w:tcW w:w="1029" w:type="dxa"/>
                  <w:tcBorders>
                    <w:tl2br w:val="nil"/>
                    <w:tr2bl w:val="nil"/>
                  </w:tcBorders>
                  <w:noWrap w:val="0"/>
                  <w:vAlign w:val="center"/>
                </w:tcPr>
                <w:p w14:paraId="698D3C1E">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200万个(一个线束对应的是1个端子)</w:t>
                  </w:r>
                </w:p>
              </w:tc>
              <w:tc>
                <w:tcPr>
                  <w:tcW w:w="2221" w:type="dxa"/>
                  <w:tcBorders>
                    <w:tl2br w:val="nil"/>
                    <w:tr2bl w:val="nil"/>
                  </w:tcBorders>
                  <w:noWrap w:val="0"/>
                  <w:vAlign w:val="center"/>
                </w:tcPr>
                <w:p w14:paraId="0CA7CE76">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290" w:type="dxa"/>
                  <w:tcBorders>
                    <w:tl2br w:val="nil"/>
                    <w:tr2bl w:val="nil"/>
                  </w:tcBorders>
                  <w:noWrap w:val="0"/>
                  <w:vAlign w:val="center"/>
                </w:tcPr>
                <w:p w14:paraId="68450261">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50万个</w:t>
                  </w:r>
                </w:p>
              </w:tc>
              <w:tc>
                <w:tcPr>
                  <w:tcW w:w="690" w:type="dxa"/>
                  <w:tcBorders>
                    <w:tl2br w:val="nil"/>
                    <w:tr2bl w:val="nil"/>
                  </w:tcBorders>
                  <w:noWrap w:val="0"/>
                  <w:vAlign w:val="center"/>
                </w:tcPr>
                <w:p w14:paraId="12B8BF05">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2604DF63">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袋装</w:t>
                  </w:r>
                </w:p>
              </w:tc>
              <w:tc>
                <w:tcPr>
                  <w:tcW w:w="784" w:type="dxa"/>
                  <w:tcBorders>
                    <w:tl2br w:val="nil"/>
                    <w:tr2bl w:val="nil"/>
                  </w:tcBorders>
                  <w:noWrap w:val="0"/>
                  <w:vAlign w:val="center"/>
                </w:tcPr>
                <w:p w14:paraId="0A77A65B">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1FDF2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4271BB3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val="en-US" w:eastAsia="zh-CN"/>
                    </w:rPr>
                    <w:t>5</w:t>
                  </w:r>
                </w:p>
              </w:tc>
              <w:tc>
                <w:tcPr>
                  <w:tcW w:w="1332" w:type="dxa"/>
                  <w:tcBorders>
                    <w:tl2br w:val="nil"/>
                    <w:tr2bl w:val="nil"/>
                  </w:tcBorders>
                  <w:noWrap w:val="0"/>
                  <w:vAlign w:val="center"/>
                </w:tcPr>
                <w:p w14:paraId="7E71C51C">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线束</w:t>
                  </w:r>
                </w:p>
              </w:tc>
              <w:tc>
                <w:tcPr>
                  <w:tcW w:w="1029" w:type="dxa"/>
                  <w:tcBorders>
                    <w:tl2br w:val="nil"/>
                    <w:tr2bl w:val="nil"/>
                  </w:tcBorders>
                  <w:noWrap w:val="0"/>
                  <w:vAlign w:val="center"/>
                </w:tcPr>
                <w:p w14:paraId="06A53AD0">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cs="Times New Roman"/>
                      <w:b w:val="0"/>
                      <w:bCs w:val="0"/>
                      <w:color w:val="auto"/>
                      <w:sz w:val="21"/>
                      <w:szCs w:val="21"/>
                      <w:lang w:val="en-US" w:eastAsia="zh-CN"/>
                    </w:rPr>
                    <w:t>500万～1000万</w:t>
                  </w:r>
                  <w:r>
                    <w:rPr>
                      <w:rFonts w:hint="eastAsia" w:ascii="Times New Roman" w:hAnsi="Times New Roman" w:cs="Times New Roman"/>
                      <w:b w:val="0"/>
                      <w:bCs w:val="0"/>
                      <w:color w:val="auto"/>
                      <w:sz w:val="21"/>
                      <w:szCs w:val="21"/>
                      <w:lang w:val="en-US" w:eastAsia="zh-CN"/>
                    </w:rPr>
                    <w:t>米</w:t>
                  </w:r>
                </w:p>
              </w:tc>
              <w:tc>
                <w:tcPr>
                  <w:tcW w:w="2221" w:type="dxa"/>
                  <w:tcBorders>
                    <w:tl2br w:val="nil"/>
                    <w:tr2bl w:val="nil"/>
                  </w:tcBorders>
                  <w:noWrap w:val="0"/>
                  <w:vAlign w:val="center"/>
                </w:tcPr>
                <w:p w14:paraId="510B4484">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290" w:type="dxa"/>
                  <w:tcBorders>
                    <w:tl2br w:val="nil"/>
                    <w:tr2bl w:val="nil"/>
                  </w:tcBorders>
                  <w:noWrap w:val="0"/>
                  <w:vAlign w:val="center"/>
                </w:tcPr>
                <w:p w14:paraId="3C8ED36A">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50万米</w:t>
                  </w:r>
                </w:p>
              </w:tc>
              <w:tc>
                <w:tcPr>
                  <w:tcW w:w="690" w:type="dxa"/>
                  <w:tcBorders>
                    <w:tl2br w:val="nil"/>
                    <w:tr2bl w:val="nil"/>
                  </w:tcBorders>
                  <w:noWrap w:val="0"/>
                  <w:vAlign w:val="center"/>
                </w:tcPr>
                <w:p w14:paraId="67BFF1D2">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固体</w:t>
                  </w:r>
                </w:p>
              </w:tc>
              <w:tc>
                <w:tcPr>
                  <w:tcW w:w="795" w:type="dxa"/>
                  <w:tcBorders>
                    <w:tl2br w:val="nil"/>
                    <w:tr2bl w:val="nil"/>
                  </w:tcBorders>
                  <w:noWrap w:val="0"/>
                  <w:vAlign w:val="center"/>
                </w:tcPr>
                <w:p w14:paraId="13CD30B6">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784" w:type="dxa"/>
                  <w:tcBorders>
                    <w:tl2br w:val="nil"/>
                    <w:tr2bl w:val="nil"/>
                  </w:tcBorders>
                  <w:noWrap w:val="0"/>
                  <w:vAlign w:val="center"/>
                </w:tcPr>
                <w:p w14:paraId="37EFBAA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原料仓库</w:t>
                  </w:r>
                </w:p>
              </w:tc>
            </w:tr>
            <w:tr w14:paraId="414D2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shd w:val="clear" w:color="auto" w:fill="auto"/>
                  <w:noWrap w:val="0"/>
                  <w:vAlign w:val="center"/>
                </w:tcPr>
                <w:p w14:paraId="177F5CA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16</w:t>
                  </w:r>
                </w:p>
              </w:tc>
              <w:tc>
                <w:tcPr>
                  <w:tcW w:w="1332" w:type="dxa"/>
                  <w:tcBorders>
                    <w:tl2br w:val="nil"/>
                    <w:tr2bl w:val="nil"/>
                  </w:tcBorders>
                  <w:noWrap w:val="0"/>
                  <w:vAlign w:val="center"/>
                </w:tcPr>
                <w:p w14:paraId="52B2DA68">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生产用电</w:t>
                  </w:r>
                </w:p>
              </w:tc>
              <w:tc>
                <w:tcPr>
                  <w:tcW w:w="3250" w:type="dxa"/>
                  <w:gridSpan w:val="2"/>
                  <w:tcBorders>
                    <w:tl2br w:val="nil"/>
                    <w:tr2bl w:val="nil"/>
                  </w:tcBorders>
                  <w:noWrap w:val="0"/>
                  <w:vAlign w:val="center"/>
                </w:tcPr>
                <w:p w14:paraId="7EDE32B7">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25</w:t>
                  </w:r>
                  <w:r>
                    <w:rPr>
                      <w:rFonts w:hint="default" w:ascii="Times New Roman" w:hAnsi="Times New Roman" w:eastAsia="宋体" w:cs="Times New Roman"/>
                      <w:b w:val="0"/>
                      <w:bCs w:val="0"/>
                      <w:color w:val="auto"/>
                      <w:sz w:val="21"/>
                      <w:szCs w:val="21"/>
                      <w:lang w:val="en-US" w:eastAsia="zh-CN"/>
                    </w:rPr>
                    <w:t>万kwh/a</w:t>
                  </w:r>
                </w:p>
              </w:tc>
              <w:tc>
                <w:tcPr>
                  <w:tcW w:w="3559" w:type="dxa"/>
                  <w:gridSpan w:val="4"/>
                  <w:tcBorders>
                    <w:tl2br w:val="nil"/>
                    <w:tr2bl w:val="nil"/>
                  </w:tcBorders>
                  <w:noWrap w:val="0"/>
                  <w:vAlign w:val="center"/>
                </w:tcPr>
                <w:p w14:paraId="2E2BE55F">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r>
            <w:tr w14:paraId="034411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5" w:type="dxa"/>
                  <w:tcBorders>
                    <w:tl2br w:val="nil"/>
                    <w:tr2bl w:val="nil"/>
                  </w:tcBorders>
                  <w:noWrap w:val="0"/>
                  <w:vAlign w:val="center"/>
                </w:tcPr>
                <w:p w14:paraId="20171AC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17</w:t>
                  </w:r>
                </w:p>
              </w:tc>
              <w:tc>
                <w:tcPr>
                  <w:tcW w:w="1332" w:type="dxa"/>
                  <w:tcBorders>
                    <w:tl2br w:val="nil"/>
                    <w:tr2bl w:val="nil"/>
                  </w:tcBorders>
                  <w:noWrap w:val="0"/>
                  <w:vAlign w:val="center"/>
                </w:tcPr>
                <w:p w14:paraId="650AF380">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生产用水</w:t>
                  </w:r>
                </w:p>
              </w:tc>
              <w:tc>
                <w:tcPr>
                  <w:tcW w:w="3250" w:type="dxa"/>
                  <w:gridSpan w:val="2"/>
                  <w:tcBorders>
                    <w:tl2br w:val="nil"/>
                    <w:tr2bl w:val="nil"/>
                  </w:tcBorders>
                  <w:noWrap w:val="0"/>
                  <w:vAlign w:val="center"/>
                </w:tcPr>
                <w:p w14:paraId="1C0DF7D9">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1779.01</w:t>
                  </w:r>
                  <w:r>
                    <w:rPr>
                      <w:rFonts w:hint="default" w:ascii="Times New Roman" w:hAnsi="Times New Roman" w:eastAsia="宋体" w:cs="Times New Roman"/>
                      <w:b w:val="0"/>
                      <w:bCs w:val="0"/>
                      <w:color w:val="auto"/>
                      <w:sz w:val="21"/>
                      <w:szCs w:val="21"/>
                      <w:lang w:val="en-US" w:eastAsia="zh-CN"/>
                    </w:rPr>
                    <w:t>t/a</w:t>
                  </w:r>
                </w:p>
              </w:tc>
              <w:tc>
                <w:tcPr>
                  <w:tcW w:w="3559" w:type="dxa"/>
                  <w:gridSpan w:val="4"/>
                  <w:tcBorders>
                    <w:tl2br w:val="nil"/>
                    <w:tr2bl w:val="nil"/>
                  </w:tcBorders>
                  <w:noWrap w:val="0"/>
                  <w:vAlign w:val="center"/>
                </w:tcPr>
                <w:p w14:paraId="11B14624">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r>
          </w:tbl>
          <w:p w14:paraId="140CB3E6">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表2.2-</w:t>
            </w:r>
            <w:r>
              <w:rPr>
                <w:rFonts w:hint="eastAsia" w:ascii="Times New Roman" w:hAnsi="Times New Roman" w:cs="Times New Roman"/>
                <w:b/>
                <w:bCs/>
                <w:color w:val="auto"/>
                <w:sz w:val="24"/>
                <w:szCs w:val="24"/>
                <w:u w:val="none"/>
                <w:lang w:val="en-US" w:eastAsia="zh-CN"/>
              </w:rPr>
              <w:t>5</w:t>
            </w:r>
            <w:r>
              <w:rPr>
                <w:rFonts w:hint="eastAsia" w:ascii="Times New Roman" w:hAnsi="Times New Roman" w:eastAsia="宋体" w:cs="Times New Roman"/>
                <w:b/>
                <w:bCs/>
                <w:color w:val="auto"/>
                <w:sz w:val="24"/>
                <w:szCs w:val="24"/>
                <w:u w:val="none"/>
                <w:lang w:val="en-US" w:eastAsia="zh-CN"/>
              </w:rPr>
              <w:t xml:space="preserve"> 原辅材料</w:t>
            </w:r>
            <w:r>
              <w:rPr>
                <w:rFonts w:hint="eastAsia" w:ascii="Times New Roman" w:hAnsi="Times New Roman" w:cs="Times New Roman"/>
                <w:b/>
                <w:bCs/>
                <w:color w:val="auto"/>
                <w:sz w:val="24"/>
                <w:szCs w:val="24"/>
                <w:u w:val="none"/>
                <w:lang w:val="en-US" w:eastAsia="zh-CN"/>
              </w:rPr>
              <w:t>理化性质表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0"/>
              <w:gridCol w:w="1539"/>
              <w:gridCol w:w="6617"/>
            </w:tblGrid>
            <w:tr w14:paraId="06A19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267" w:type="pct"/>
                  <w:tcBorders>
                    <w:tl2br w:val="nil"/>
                    <w:tr2bl w:val="nil"/>
                  </w:tcBorders>
                  <w:vAlign w:val="center"/>
                </w:tcPr>
                <w:p w14:paraId="5B1EE3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893" w:type="pct"/>
                  <w:tcBorders>
                    <w:tl2br w:val="nil"/>
                    <w:tr2bl w:val="nil"/>
                  </w:tcBorders>
                  <w:vAlign w:val="center"/>
                </w:tcPr>
                <w:p w14:paraId="58AB94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原辅材料名称</w:t>
                  </w:r>
                </w:p>
              </w:tc>
              <w:tc>
                <w:tcPr>
                  <w:tcW w:w="3838" w:type="pct"/>
                  <w:tcBorders>
                    <w:tl2br w:val="nil"/>
                    <w:tr2bl w:val="nil"/>
                  </w:tcBorders>
                  <w:vAlign w:val="center"/>
                </w:tcPr>
                <w:p w14:paraId="6439C0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理化性质</w:t>
                  </w:r>
                </w:p>
              </w:tc>
            </w:tr>
            <w:tr w14:paraId="0413A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7" w:hRule="atLeast"/>
              </w:trPr>
              <w:tc>
                <w:tcPr>
                  <w:tcW w:w="267" w:type="pct"/>
                  <w:tcBorders>
                    <w:tl2br w:val="nil"/>
                    <w:tr2bl w:val="nil"/>
                  </w:tcBorders>
                  <w:shd w:val="clear" w:color="auto" w:fill="auto"/>
                  <w:vAlign w:val="center"/>
                </w:tcPr>
                <w:p w14:paraId="492744A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893" w:type="pct"/>
                  <w:tcBorders>
                    <w:tl2br w:val="nil"/>
                    <w:tr2bl w:val="nil"/>
                  </w:tcBorders>
                  <w:shd w:val="clear" w:color="auto" w:fill="auto"/>
                  <w:vAlign w:val="center"/>
                </w:tcPr>
                <w:p w14:paraId="77C30F6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塑料颗粒（P</w:t>
                  </w:r>
                  <w:r>
                    <w:rPr>
                      <w:rFonts w:hint="eastAsia" w:ascii="Times New Roman" w:hAnsi="Times New Roman" w:cs="Times New Roman"/>
                      <w:b w:val="0"/>
                      <w:bCs w:val="0"/>
                      <w:color w:val="auto"/>
                      <w:sz w:val="21"/>
                      <w:szCs w:val="21"/>
                      <w:lang w:val="en-US" w:eastAsia="zh-CN"/>
                    </w:rPr>
                    <w:t>A</w:t>
                  </w:r>
                  <w:r>
                    <w:rPr>
                      <w:rFonts w:hint="default" w:ascii="Times New Roman" w:hAnsi="Times New Roman" w:eastAsia="宋体" w:cs="Times New Roman"/>
                      <w:b w:val="0"/>
                      <w:bCs w:val="0"/>
                      <w:color w:val="auto"/>
                      <w:sz w:val="21"/>
                      <w:szCs w:val="21"/>
                      <w:lang w:val="en-US" w:eastAsia="zh-CN"/>
                    </w:rPr>
                    <w:t>）</w:t>
                  </w:r>
                </w:p>
              </w:tc>
              <w:tc>
                <w:tcPr>
                  <w:tcW w:w="3838" w:type="pct"/>
                  <w:tcBorders>
                    <w:tl2br w:val="nil"/>
                    <w:tr2bl w:val="nil"/>
                  </w:tcBorders>
                  <w:vAlign w:val="center"/>
                </w:tcPr>
                <w:p w14:paraId="44C5CD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PA（聚酰胺，尼龙）是一种热塑性塑料，主要由己内酰胺（PA6）或己二胺与己二酸（PA66）缩聚而成。该材料旨在提供优异的耐磨性、自润滑性和高机械强度，同时保持良好的耐油性和韧性。密度约为1.13–1.15 g/cm³，通常为半透明至乳白色，也可着色为各种颜色。不耐强酸、强碱、酚类及浓无机酸，但耐脂肪烃、芳烃和大多数有机溶剂。</w:t>
                  </w:r>
                </w:p>
              </w:tc>
            </w:tr>
            <w:tr w14:paraId="2ABBF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 w:type="pct"/>
                  <w:tcBorders>
                    <w:tl2br w:val="nil"/>
                    <w:tr2bl w:val="nil"/>
                  </w:tcBorders>
                  <w:shd w:val="clear" w:color="auto" w:fill="auto"/>
                  <w:vAlign w:val="center"/>
                </w:tcPr>
                <w:p w14:paraId="78ECC4B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2</w:t>
                  </w:r>
                </w:p>
              </w:tc>
              <w:tc>
                <w:tcPr>
                  <w:tcW w:w="893" w:type="pct"/>
                  <w:tcBorders>
                    <w:tl2br w:val="nil"/>
                    <w:tr2bl w:val="nil"/>
                  </w:tcBorders>
                  <w:shd w:val="clear" w:color="auto" w:fill="auto"/>
                  <w:vAlign w:val="center"/>
                </w:tcPr>
                <w:p w14:paraId="37B0975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塑料颗粒（P</w:t>
                  </w:r>
                  <w:r>
                    <w:rPr>
                      <w:rFonts w:hint="eastAsia" w:ascii="Times New Roman" w:hAnsi="Times New Roman" w:cs="Times New Roman"/>
                      <w:b w:val="0"/>
                      <w:bCs w:val="0"/>
                      <w:color w:val="auto"/>
                      <w:sz w:val="21"/>
                      <w:szCs w:val="21"/>
                      <w:lang w:val="en-US" w:eastAsia="zh-CN"/>
                    </w:rPr>
                    <w:t>C</w:t>
                  </w:r>
                  <w:r>
                    <w:rPr>
                      <w:rFonts w:hint="default" w:ascii="Times New Roman" w:hAnsi="Times New Roman" w:eastAsia="宋体" w:cs="Times New Roman"/>
                      <w:b w:val="0"/>
                      <w:bCs w:val="0"/>
                      <w:color w:val="auto"/>
                      <w:sz w:val="21"/>
                      <w:szCs w:val="21"/>
                      <w:lang w:val="en-US" w:eastAsia="zh-CN"/>
                    </w:rPr>
                    <w:t>）</w:t>
                  </w:r>
                </w:p>
              </w:tc>
              <w:tc>
                <w:tcPr>
                  <w:tcW w:w="3838" w:type="pct"/>
                  <w:tcBorders>
                    <w:tl2br w:val="nil"/>
                    <w:tr2bl w:val="nil"/>
                  </w:tcBorders>
                  <w:vAlign w:val="center"/>
                </w:tcPr>
                <w:p w14:paraId="77F39F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eastAsia"/>
                    </w:rPr>
                    <w:t>PC（聚碳酸酯）是一种高性能热塑性塑料，由双酚A与光气（或酯交换法）缩聚而成。该材料旨在提供卓越的透明性、高冲击强度、良好的尺寸稳定性和耐热性（热变形温度约130–140 °C）。密度约为1.20 g/cm³，通常为高透明，也可着色为各种颜色。不耐强碱、浓酸、酮类、酯类、芳香烃和氯化烃等极性溶剂，但耐脂肪烃和弱酸弱碱。</w:t>
                  </w:r>
                </w:p>
              </w:tc>
            </w:tr>
            <w:tr w14:paraId="0511E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2" w:hRule="atLeast"/>
              </w:trPr>
              <w:tc>
                <w:tcPr>
                  <w:tcW w:w="267" w:type="pct"/>
                  <w:tcBorders>
                    <w:tl2br w:val="nil"/>
                    <w:tr2bl w:val="nil"/>
                  </w:tcBorders>
                  <w:shd w:val="clear" w:color="auto" w:fill="auto"/>
                  <w:vAlign w:val="center"/>
                </w:tcPr>
                <w:p w14:paraId="164F98A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p>
              </w:tc>
              <w:tc>
                <w:tcPr>
                  <w:tcW w:w="893" w:type="pct"/>
                  <w:tcBorders>
                    <w:tl2br w:val="nil"/>
                    <w:tr2bl w:val="nil"/>
                  </w:tcBorders>
                  <w:shd w:val="clear" w:color="auto" w:fill="auto"/>
                  <w:vAlign w:val="center"/>
                </w:tcPr>
                <w:p w14:paraId="69CBF56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塑料颗粒</w:t>
                  </w:r>
                  <w:r>
                    <w:rPr>
                      <w:rFonts w:hint="eastAsia" w:ascii="Times New Roman" w:hAnsi="Times New Roman" w:cs="Times New Roman"/>
                      <w:b w:val="0"/>
                      <w:bCs w:val="0"/>
                      <w:color w:val="auto"/>
                      <w:sz w:val="21"/>
                      <w:szCs w:val="21"/>
                      <w:lang w:val="en-US" w:eastAsia="zh-CN"/>
                    </w:rPr>
                    <w:t>（TPU）</w:t>
                  </w:r>
                </w:p>
              </w:tc>
              <w:tc>
                <w:tcPr>
                  <w:tcW w:w="3838" w:type="pct"/>
                  <w:tcBorders>
                    <w:tl2br w:val="nil"/>
                    <w:tr2bl w:val="nil"/>
                  </w:tcBorders>
                  <w:vAlign w:val="center"/>
                </w:tcPr>
                <w:p w14:paraId="02B6C1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PU（热塑性聚氨酯）是一种热塑性弹性体，由二异氰酸酯（如MDI）、聚酯或聚醚多元醇及扩链剂（如1,4-丁二醇）缩聚而成。该材料旨在将橡胶的高弹性与塑料的可注塑性结合，提供优异的耐磨性、耐油性和低温韧性。密度约为1.10–1.25g/cm³，通常为半透明至不透明，可调配成各种颜色。不耐强酸、强碱、酚类、酮类和酯类溶剂，但耐脂肪烃、油类和一般有机溶剂。</w:t>
                  </w:r>
                </w:p>
              </w:tc>
            </w:tr>
            <w:tr w14:paraId="46887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7" w:hRule="atLeast"/>
              </w:trPr>
              <w:tc>
                <w:tcPr>
                  <w:tcW w:w="267" w:type="pct"/>
                  <w:tcBorders>
                    <w:tl2br w:val="nil"/>
                    <w:tr2bl w:val="nil"/>
                  </w:tcBorders>
                  <w:shd w:val="clear" w:color="auto" w:fill="auto"/>
                  <w:vAlign w:val="center"/>
                </w:tcPr>
                <w:p w14:paraId="7A0178F4">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4</w:t>
                  </w:r>
                </w:p>
              </w:tc>
              <w:tc>
                <w:tcPr>
                  <w:tcW w:w="893" w:type="pct"/>
                  <w:tcBorders>
                    <w:tl2br w:val="nil"/>
                    <w:tr2bl w:val="nil"/>
                  </w:tcBorders>
                  <w:shd w:val="clear" w:color="auto" w:fill="auto"/>
                  <w:vAlign w:val="center"/>
                </w:tcPr>
                <w:p w14:paraId="0D3FABC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塑粉</w:t>
                  </w:r>
                </w:p>
              </w:tc>
              <w:tc>
                <w:tcPr>
                  <w:tcW w:w="3838" w:type="pct"/>
                  <w:tcBorders>
                    <w:tl2br w:val="nil"/>
                    <w:tr2bl w:val="nil"/>
                  </w:tcBorders>
                  <w:vAlign w:val="center"/>
                </w:tcPr>
                <w:p w14:paraId="784178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粉末涂料（塑粉）是一种无溶剂、100%固体的热固性或热塑性干粉，外观呈均匀细粉状，粒径通常分布在30~90μm；密度1.2~1.8 g/cm³，软化点60~110℃，玻璃化转变温度（Tg）≥50℃，常温下不结块、不挥发，储存稳定性好。在180~200℃烘烤10~15 min后，树脂与固化剂交联成网状结构，形成硬度高（铅笔硬度H~3H）、附着力强（0级）、耐冲击（≥50 kg·cm）、耐盐雾（≥500h）、耐酸碱和耐溶剂（MEK擦拭≥100次）的致密涂膜，同时具有优良的绝缘性（体积电阻率&gt;10¹⁴Ω·cm）和紫外耐候性（QUV-B1000h保光率≥80%）</w:t>
                  </w:r>
                  <w:r>
                    <w:rPr>
                      <w:rFonts w:hint="eastAsia" w:cs="Times New Roman"/>
                      <w:color w:val="auto"/>
                      <w:sz w:val="21"/>
                      <w:szCs w:val="21"/>
                      <w:vertAlign w:val="baseline"/>
                      <w:lang w:val="en-US" w:eastAsia="zh-CN"/>
                    </w:rPr>
                    <w:t>。</w:t>
                  </w:r>
                </w:p>
              </w:tc>
            </w:tr>
            <w:tr w14:paraId="37815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5" w:hRule="atLeast"/>
              </w:trPr>
              <w:tc>
                <w:tcPr>
                  <w:tcW w:w="267" w:type="pct"/>
                  <w:tcBorders>
                    <w:tl2br w:val="nil"/>
                    <w:tr2bl w:val="nil"/>
                  </w:tcBorders>
                  <w:shd w:val="clear" w:color="auto" w:fill="auto"/>
                  <w:vAlign w:val="center"/>
                </w:tcPr>
                <w:p w14:paraId="53B38DB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5</w:t>
                  </w:r>
                </w:p>
              </w:tc>
              <w:tc>
                <w:tcPr>
                  <w:tcW w:w="893" w:type="pct"/>
                  <w:tcBorders>
                    <w:tl2br w:val="nil"/>
                    <w:tr2bl w:val="nil"/>
                  </w:tcBorders>
                  <w:shd w:val="clear" w:color="auto" w:fill="auto"/>
                  <w:vAlign w:val="center"/>
                </w:tcPr>
                <w:p w14:paraId="7F07906E">
                  <w:pPr>
                    <w:pStyle w:val="3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color w:val="auto"/>
                      <w:kern w:val="2"/>
                      <w:sz w:val="21"/>
                      <w:szCs w:val="21"/>
                      <w:highlight w:val="none"/>
                      <w:lang w:val="en-US" w:eastAsia="zh-CN" w:bidi="ar-SA"/>
                    </w:rPr>
                    <w:t>铸铝除油剂</w:t>
                  </w:r>
                </w:p>
              </w:tc>
              <w:tc>
                <w:tcPr>
                  <w:tcW w:w="3838" w:type="pct"/>
                  <w:tcBorders>
                    <w:tl2br w:val="nil"/>
                    <w:tr2bl w:val="nil"/>
                  </w:tcBorders>
                  <w:vAlign w:val="center"/>
                </w:tcPr>
                <w:p w14:paraId="6B5C6F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铸铝除油剂是一种水溶性碱性清洗液，由碳酸钠、硅酸钠、葡萄糖酸钠与AES表面活性剂复配而成，旨在高效去除铝件表面油污并保持金属光亮。外观为乳白色液体，pH≈12，相对密度1.01–1.02，沸点约100 ℃，不可燃、不挥发、无闪点，与强酸或强氧化剂禁配，常温常压下稳定，可完全溶于水且易生物降解。</w:t>
                  </w:r>
                </w:p>
              </w:tc>
            </w:tr>
            <w:tr w14:paraId="78016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5" w:hRule="atLeast"/>
              </w:trPr>
              <w:tc>
                <w:tcPr>
                  <w:tcW w:w="460" w:type="dxa"/>
                  <w:vAlign w:val="center"/>
                </w:tcPr>
                <w:p w14:paraId="4D19FA2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bookmarkStart w:id="28" w:name="_Toc3875"/>
                  <w:r>
                    <w:rPr>
                      <w:rFonts w:hint="eastAsia" w:ascii="Times New Roman" w:hAnsi="Times New Roman" w:cs="Times New Roman"/>
                      <w:b w:val="0"/>
                      <w:bCs w:val="0"/>
                      <w:color w:val="auto"/>
                      <w:kern w:val="2"/>
                      <w:sz w:val="21"/>
                      <w:szCs w:val="21"/>
                      <w:lang w:val="en-US" w:eastAsia="zh-CN" w:bidi="ar-SA"/>
                    </w:rPr>
                    <w:t>6</w:t>
                  </w:r>
                </w:p>
              </w:tc>
              <w:tc>
                <w:tcPr>
                  <w:tcW w:w="1539" w:type="dxa"/>
                  <w:shd w:val="clear" w:color="auto" w:fill="auto"/>
                  <w:vAlign w:val="center"/>
                </w:tcPr>
                <w:p w14:paraId="7B6161BD">
                  <w:pPr>
                    <w:pStyle w:val="3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color w:val="auto"/>
                      <w:kern w:val="2"/>
                      <w:sz w:val="21"/>
                      <w:szCs w:val="21"/>
                      <w:highlight w:val="none"/>
                      <w:lang w:val="en-US" w:eastAsia="zh-CN" w:bidi="ar-SA"/>
                    </w:rPr>
                    <w:t>硅烷处理剂（钝化液）</w:t>
                  </w:r>
                </w:p>
              </w:tc>
              <w:tc>
                <w:tcPr>
                  <w:tcW w:w="6614" w:type="dxa"/>
                  <w:vAlign w:val="center"/>
                </w:tcPr>
                <w:p w14:paraId="2933C8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硅烷处理剂是一种弱碱性水基防锈液，由水性聚氨酯树脂、乙二醇、柠檬酸和水复配而成，旨在为铁件表面提供环保、可降解的钝化-防锈膜。外观为淡黄色透明液体，pH≈9.5，相对密度1.05，沸点约105 ℃，无闪点、不燃不爆、无挥发性，与水互溶，常温稳定，禁配强酸及强氧化剂，对水生生物</w:t>
                  </w:r>
                  <w:r>
                    <w:rPr>
                      <w:rFonts w:hint="eastAsia" w:cs="Times New Roman"/>
                      <w:color w:val="auto"/>
                      <w:sz w:val="21"/>
                      <w:szCs w:val="21"/>
                      <w:vertAlign w:val="baseline"/>
                      <w:lang w:val="en-US" w:eastAsia="zh-CN"/>
                    </w:rPr>
                    <w:t>具有</w:t>
                  </w:r>
                  <w:r>
                    <w:rPr>
                      <w:rFonts w:hint="default" w:ascii="Times New Roman" w:hAnsi="Times New Roman" w:eastAsia="宋体" w:cs="Times New Roman"/>
                      <w:color w:val="auto"/>
                      <w:sz w:val="21"/>
                      <w:szCs w:val="21"/>
                      <w:vertAlign w:val="baseline"/>
                      <w:lang w:val="en-US" w:eastAsia="zh-CN"/>
                    </w:rPr>
                    <w:t>弱毒性。</w:t>
                  </w:r>
                </w:p>
              </w:tc>
            </w:tr>
          </w:tbl>
          <w:p w14:paraId="2515087D">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2.2.7项目水平衡</w:t>
            </w:r>
            <w:bookmarkEnd w:id="28"/>
          </w:p>
          <w:p w14:paraId="53BBEB95">
            <w:pPr>
              <w:pStyle w:val="40"/>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b w:val="0"/>
                <w:bCs/>
                <w:color w:val="auto"/>
                <w:sz w:val="24"/>
              </w:rPr>
            </w:pPr>
            <w:bookmarkStart w:id="29" w:name="_Toc81"/>
            <w:r>
              <w:rPr>
                <w:rFonts w:hint="eastAsia"/>
                <w:b w:val="0"/>
                <w:bCs/>
                <w:color w:val="auto"/>
                <w:sz w:val="24"/>
              </w:rPr>
              <w:t>（1）生活污水</w:t>
            </w:r>
            <w:bookmarkEnd w:id="29"/>
          </w:p>
          <w:p w14:paraId="0684283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outlineLvl w:val="9"/>
              <w:rPr>
                <w:color w:val="auto"/>
                <w:kern w:val="0"/>
                <w:sz w:val="24"/>
                <w:lang w:bidi="ar"/>
              </w:rPr>
            </w:pPr>
            <w:r>
              <w:rPr>
                <w:rFonts w:hint="eastAsia"/>
                <w:color w:val="auto"/>
                <w:sz w:val="24"/>
              </w:rPr>
              <w:t>根据</w:t>
            </w:r>
            <w:r>
              <w:rPr>
                <w:color w:val="auto"/>
                <w:sz w:val="24"/>
              </w:rPr>
              <w:t>《建筑给水排水设计标准》</w:t>
            </w:r>
            <w:r>
              <w:rPr>
                <w:rFonts w:hint="eastAsia"/>
                <w:color w:val="auto"/>
                <w:sz w:val="24"/>
                <w:lang w:eastAsia="zh-CN"/>
              </w:rPr>
              <w:t>（</w:t>
            </w:r>
            <w:r>
              <w:rPr>
                <w:color w:val="auto"/>
                <w:sz w:val="24"/>
              </w:rPr>
              <w:t>GB50015-2019</w:t>
            </w:r>
            <w:r>
              <w:rPr>
                <w:rFonts w:hint="eastAsia"/>
                <w:color w:val="auto"/>
                <w:sz w:val="24"/>
                <w:lang w:eastAsia="zh-CN"/>
              </w:rPr>
              <w:t>）</w:t>
            </w:r>
            <w:r>
              <w:rPr>
                <w:color w:val="auto"/>
                <w:sz w:val="24"/>
              </w:rPr>
              <w:t>，本项目</w:t>
            </w:r>
            <w:r>
              <w:rPr>
                <w:rFonts w:hint="eastAsia"/>
                <w:color w:val="auto"/>
                <w:sz w:val="24"/>
              </w:rPr>
              <w:t>不</w:t>
            </w:r>
            <w:r>
              <w:rPr>
                <w:color w:val="auto"/>
                <w:sz w:val="24"/>
              </w:rPr>
              <w:t>住宿员工用水量按</w:t>
            </w:r>
            <w:r>
              <w:rPr>
                <w:rFonts w:hint="eastAsia"/>
                <w:color w:val="auto"/>
                <w:sz w:val="24"/>
              </w:rPr>
              <w:t>50</w:t>
            </w:r>
            <w:r>
              <w:rPr>
                <w:color w:val="auto"/>
                <w:sz w:val="24"/>
              </w:rPr>
              <w:t>L/人·d计</w:t>
            </w:r>
            <w:r>
              <w:rPr>
                <w:color w:val="auto"/>
                <w:kern w:val="0"/>
                <w:sz w:val="24"/>
                <w:lang w:bidi="ar"/>
              </w:rPr>
              <w:t>，项目职工人数</w:t>
            </w:r>
            <w:r>
              <w:rPr>
                <w:rFonts w:hint="eastAsia"/>
                <w:color w:val="auto"/>
                <w:kern w:val="0"/>
                <w:sz w:val="24"/>
                <w:lang w:val="en-US" w:eastAsia="zh-CN" w:bidi="ar"/>
              </w:rPr>
              <w:t>70</w:t>
            </w:r>
            <w:r>
              <w:rPr>
                <w:color w:val="auto"/>
                <w:kern w:val="0"/>
                <w:sz w:val="24"/>
                <w:lang w:bidi="ar"/>
              </w:rPr>
              <w:t>人，均不住厂，则生活用水量约</w:t>
            </w:r>
            <w:r>
              <w:rPr>
                <w:rFonts w:hint="eastAsia"/>
                <w:color w:val="auto"/>
                <w:kern w:val="0"/>
                <w:sz w:val="24"/>
                <w:lang w:val="en-US" w:eastAsia="zh-CN" w:bidi="ar"/>
              </w:rPr>
              <w:t>3.5</w:t>
            </w:r>
            <w:r>
              <w:rPr>
                <w:color w:val="auto"/>
                <w:kern w:val="0"/>
                <w:sz w:val="24"/>
                <w:lang w:bidi="ar"/>
              </w:rPr>
              <w:t>t/d（</w:t>
            </w:r>
            <w:r>
              <w:rPr>
                <w:rFonts w:hint="eastAsia"/>
                <w:color w:val="auto"/>
                <w:kern w:val="0"/>
                <w:sz w:val="24"/>
                <w:lang w:eastAsia="zh-CN" w:bidi="ar"/>
              </w:rPr>
              <w:t>1277.5</w:t>
            </w:r>
            <w:r>
              <w:rPr>
                <w:color w:val="auto"/>
                <w:kern w:val="0"/>
                <w:sz w:val="24"/>
                <w:lang w:bidi="ar"/>
              </w:rPr>
              <w:t>t/a），项目废水排放系数按照0.8计算，则废水产生量为</w:t>
            </w:r>
            <w:r>
              <w:rPr>
                <w:rFonts w:hint="eastAsia"/>
                <w:color w:val="auto"/>
                <w:kern w:val="0"/>
                <w:sz w:val="24"/>
                <w:lang w:val="en-US" w:eastAsia="zh-CN" w:bidi="ar"/>
              </w:rPr>
              <w:t>2.8</w:t>
            </w:r>
            <w:r>
              <w:rPr>
                <w:color w:val="auto"/>
                <w:kern w:val="0"/>
                <w:sz w:val="24"/>
                <w:lang w:bidi="ar"/>
              </w:rPr>
              <w:t>t/d（</w:t>
            </w:r>
            <w:r>
              <w:rPr>
                <w:rFonts w:hint="eastAsia"/>
                <w:color w:val="auto"/>
                <w:kern w:val="0"/>
                <w:sz w:val="24"/>
                <w:lang w:val="en-US" w:eastAsia="zh-CN" w:bidi="ar"/>
              </w:rPr>
              <w:t>1022</w:t>
            </w:r>
            <w:r>
              <w:rPr>
                <w:color w:val="auto"/>
                <w:kern w:val="0"/>
                <w:sz w:val="24"/>
                <w:lang w:bidi="ar"/>
              </w:rPr>
              <w:t>t/a）</w:t>
            </w:r>
            <w:r>
              <w:rPr>
                <w:rFonts w:hint="eastAsia"/>
                <w:color w:val="auto"/>
                <w:kern w:val="0"/>
                <w:sz w:val="24"/>
                <w:lang w:eastAsia="zh-CN" w:bidi="ar"/>
              </w:rPr>
              <w:t>，</w:t>
            </w:r>
            <w:r>
              <w:rPr>
                <w:rFonts w:hint="eastAsia"/>
                <w:color w:val="auto"/>
                <w:kern w:val="0"/>
                <w:sz w:val="24"/>
                <w:lang w:val="en-US" w:eastAsia="zh-CN" w:bidi="ar"/>
              </w:rPr>
              <w:t>生活污水依托厂内已建的化粪池处理后进入市政污水管网纳入</w:t>
            </w:r>
            <w:r>
              <w:rPr>
                <w:rFonts w:hint="eastAsia" w:ascii="Times New Roman" w:hAnsi="Times New Roman" w:eastAsia="宋体" w:cs="Times New Roman"/>
                <w:color w:val="auto"/>
                <w:spacing w:val="0"/>
                <w:sz w:val="24"/>
                <w:szCs w:val="24"/>
                <w:highlight w:val="none"/>
                <w:u w:val="none"/>
                <w:lang w:eastAsia="zh-CN"/>
              </w:rPr>
              <w:t>福清市融元污水处理厂</w:t>
            </w:r>
            <w:r>
              <w:rPr>
                <w:rFonts w:hint="eastAsia"/>
                <w:color w:val="auto"/>
                <w:kern w:val="0"/>
                <w:sz w:val="24"/>
                <w:lang w:val="en-US" w:eastAsia="zh-CN" w:bidi="ar"/>
              </w:rPr>
              <w:t>集中处理</w:t>
            </w:r>
            <w:r>
              <w:rPr>
                <w:rFonts w:hint="eastAsia"/>
                <w:color w:val="auto"/>
                <w:kern w:val="0"/>
                <w:sz w:val="24"/>
                <w:lang w:bidi="ar"/>
              </w:rPr>
              <w:t>。</w:t>
            </w:r>
          </w:p>
          <w:p w14:paraId="11CC3D4B">
            <w:pPr>
              <w:pStyle w:val="40"/>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b w:val="0"/>
                <w:bCs/>
                <w:color w:val="auto"/>
                <w:sz w:val="24"/>
              </w:rPr>
            </w:pPr>
            <w:bookmarkStart w:id="30" w:name="_Toc27624"/>
            <w:r>
              <w:rPr>
                <w:rFonts w:hint="eastAsia"/>
                <w:b w:val="0"/>
                <w:bCs/>
                <w:color w:val="auto"/>
                <w:sz w:val="24"/>
              </w:rPr>
              <w:t>（2）注塑冷却水</w:t>
            </w:r>
            <w:bookmarkEnd w:id="30"/>
          </w:p>
          <w:p w14:paraId="63C8830D">
            <w:pPr>
              <w:pStyle w:val="41"/>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rPr>
            </w:pPr>
            <w:r>
              <w:rPr>
                <w:color w:val="auto"/>
                <w:sz w:val="24"/>
                <w:highlight w:val="none"/>
              </w:rPr>
              <w:t>本项目拟设1台冷却塔，</w:t>
            </w:r>
            <w:r>
              <w:rPr>
                <w:rFonts w:hint="eastAsia"/>
                <w:color w:val="auto"/>
                <w:sz w:val="24"/>
                <w:szCs w:val="24"/>
                <w:highlight w:val="none"/>
              </w:rPr>
              <w:t>本项目生产过程中生产设备需要用到循环冷却塔进行间接冷却，根据建设单位提供的信息，本项目冷却塔循环水量设计为</w:t>
            </w:r>
            <w:r>
              <w:rPr>
                <w:rFonts w:hint="eastAsia"/>
                <w:color w:val="auto"/>
                <w:sz w:val="24"/>
                <w:szCs w:val="24"/>
                <w:highlight w:val="none"/>
                <w:lang w:val="en-US" w:eastAsia="zh-CN"/>
              </w:rPr>
              <w:t>7.8</w:t>
            </w:r>
            <w:r>
              <w:rPr>
                <w:rFonts w:hint="eastAsia"/>
                <w:color w:val="auto"/>
                <w:sz w:val="24"/>
                <w:szCs w:val="24"/>
                <w:highlight w:val="none"/>
              </w:rPr>
              <w:t>t/h，年运行4800h，冷却塔运行过程中无需添加阻垢剂、杀菌剂等试剂进行调整，冷却水在正常情况下可保持良好运行状态。此外循环过程会有部分水以蒸汽的形式损耗掉，根据《化工企业冷却塔设计规定》（HG205522-1922），冷却塔蒸发耗水率计算公式为：</w:t>
            </w:r>
          </w:p>
          <w:p w14:paraId="4E539E6E">
            <w:pPr>
              <w:pStyle w:val="41"/>
              <w:keepNext w:val="0"/>
              <w:keepLines w:val="0"/>
              <w:pageBreakBefore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color w:val="auto"/>
                <w:sz w:val="24"/>
                <w:szCs w:val="24"/>
                <w:highlight w:val="none"/>
              </w:rPr>
            </w:pPr>
            <w:r>
              <w:rPr>
                <w:rFonts w:hint="eastAsia"/>
                <w:color w:val="auto"/>
                <w:sz w:val="24"/>
                <w:szCs w:val="24"/>
                <w:highlight w:val="none"/>
              </w:rPr>
              <w:t>P=KΔt</w:t>
            </w:r>
          </w:p>
          <w:p w14:paraId="6AD18B9C">
            <w:pPr>
              <w:pStyle w:val="41"/>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rPr>
            </w:pPr>
            <w:r>
              <w:rPr>
                <w:rFonts w:hint="eastAsia"/>
                <w:color w:val="auto"/>
                <w:sz w:val="24"/>
                <w:szCs w:val="24"/>
                <w:highlight w:val="none"/>
              </w:rPr>
              <w:t>式中：P——蒸发损失率，%；</w:t>
            </w:r>
          </w:p>
          <w:p w14:paraId="19A17B87">
            <w:pPr>
              <w:pStyle w:val="41"/>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rPr>
            </w:pPr>
            <w:r>
              <w:rPr>
                <w:rFonts w:hint="eastAsia"/>
                <w:color w:val="auto"/>
                <w:sz w:val="24"/>
                <w:szCs w:val="24"/>
                <w:highlight w:val="none"/>
              </w:rPr>
              <w:t>Δt——冷却塔进水与出水温度差，℃,取值10℃;</w:t>
            </w:r>
          </w:p>
          <w:p w14:paraId="412409A6">
            <w:pPr>
              <w:pStyle w:val="41"/>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rPr>
            </w:pPr>
            <w:r>
              <w:rPr>
                <w:rFonts w:hint="eastAsia"/>
                <w:color w:val="auto"/>
                <w:sz w:val="24"/>
                <w:szCs w:val="24"/>
                <w:highlight w:val="none"/>
              </w:rPr>
              <w:t>K——系数，1/℃,本项目取0.12。</w:t>
            </w:r>
          </w:p>
          <w:p w14:paraId="03BC0DF8">
            <w:pPr>
              <w:pStyle w:val="41"/>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rPr>
            </w:pPr>
            <w:r>
              <w:rPr>
                <w:rFonts w:hint="eastAsia"/>
                <w:color w:val="auto"/>
                <w:sz w:val="24"/>
                <w:szCs w:val="24"/>
                <w:highlight w:val="none"/>
              </w:rPr>
              <w:t>经计算公式计算得损耗水量为循环水量的1.2%，本项目共1台冷却塔，则本项目冷却塔损耗水量约为</w:t>
            </w:r>
            <w:r>
              <w:rPr>
                <w:rFonts w:hint="eastAsia"/>
                <w:color w:val="auto"/>
                <w:sz w:val="24"/>
                <w:szCs w:val="24"/>
                <w:highlight w:val="none"/>
                <w:lang w:val="en-US" w:eastAsia="zh-CN"/>
              </w:rPr>
              <w:t>449.28</w:t>
            </w:r>
            <w:r>
              <w:rPr>
                <w:rFonts w:hint="eastAsia"/>
                <w:color w:val="auto"/>
                <w:sz w:val="24"/>
                <w:szCs w:val="24"/>
                <w:highlight w:val="none"/>
              </w:rPr>
              <w:t>t/a</w:t>
            </w:r>
            <w:r>
              <w:rPr>
                <w:rFonts w:hint="eastAsia"/>
                <w:color w:val="auto"/>
                <w:sz w:val="24"/>
                <w:szCs w:val="24"/>
                <w:highlight w:val="none"/>
                <w:lang w:val="en-US" w:eastAsia="zh-CN"/>
              </w:rPr>
              <w:t>(0.094t/h)</w:t>
            </w:r>
            <w:r>
              <w:rPr>
                <w:rFonts w:hint="eastAsia"/>
                <w:color w:val="auto"/>
                <w:sz w:val="24"/>
                <w:szCs w:val="24"/>
                <w:highlight w:val="none"/>
              </w:rPr>
              <w:t>。冷却水循环使用，定期补充新鲜水，冷却水</w:t>
            </w:r>
            <w:r>
              <w:rPr>
                <w:rFonts w:hint="eastAsia"/>
                <w:color w:val="auto"/>
                <w:sz w:val="24"/>
                <w:szCs w:val="24"/>
                <w:highlight w:val="none"/>
                <w:lang w:val="en-US" w:eastAsia="zh-CN"/>
              </w:rPr>
              <w:t>循环使用</w:t>
            </w:r>
            <w:r>
              <w:rPr>
                <w:rFonts w:hint="eastAsia"/>
                <w:color w:val="auto"/>
                <w:sz w:val="24"/>
                <w:szCs w:val="24"/>
                <w:highlight w:val="none"/>
              </w:rPr>
              <w:t>不外排。</w:t>
            </w:r>
          </w:p>
          <w:p w14:paraId="7DA8E74A">
            <w:pPr>
              <w:pStyle w:val="4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3）除油剂、钝化剂稀释用水</w:t>
            </w:r>
          </w:p>
          <w:p w14:paraId="4B4A61DC">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color w:val="auto"/>
                <w:sz w:val="24"/>
                <w:szCs w:val="24"/>
                <w:highlight w:val="none"/>
                <w:lang w:val="en-US" w:eastAsia="zh-CN"/>
              </w:rPr>
            </w:pPr>
            <w:r>
              <w:rPr>
                <w:rFonts w:hint="default"/>
                <w:color w:val="auto"/>
                <w:sz w:val="24"/>
                <w:szCs w:val="24"/>
                <w:highlight w:val="none"/>
                <w:lang w:val="en-US" w:eastAsia="zh-CN"/>
              </w:rPr>
              <w:t>项目除油剂、钝化剂使用前需用清水稀释，配置成除油液、钝化剂。本项目第一次</w:t>
            </w:r>
            <w:r>
              <w:rPr>
                <w:rFonts w:hint="eastAsia"/>
                <w:color w:val="auto"/>
                <w:sz w:val="24"/>
                <w:szCs w:val="24"/>
                <w:highlight w:val="none"/>
                <w:lang w:val="en-US" w:eastAsia="zh-CN"/>
              </w:rPr>
              <w:t>配制</w:t>
            </w:r>
            <w:r>
              <w:rPr>
                <w:rFonts w:hint="default"/>
                <w:color w:val="auto"/>
                <w:sz w:val="24"/>
                <w:szCs w:val="24"/>
                <w:highlight w:val="none"/>
                <w:lang w:val="en-US" w:eastAsia="zh-CN"/>
              </w:rPr>
              <w:t>槽液时使用新鲜水进行稀释，后期补充用水将分别使用除油后第二级清洗废水、钝化后第二级清洗废水。由于除油液、钝化液有效成分含量较低，除油剂、钝化剂稀释用水接近槽体有效容积（</w:t>
            </w:r>
            <w:r>
              <w:rPr>
                <w:rFonts w:hint="eastAsia"/>
                <w:color w:val="auto"/>
                <w:sz w:val="24"/>
                <w:szCs w:val="24"/>
                <w:highlight w:val="none"/>
                <w:lang w:val="en-US" w:eastAsia="zh-CN"/>
              </w:rPr>
              <w:t>项目清洗槽槽体有效容积为1m*0.6m*0.8m=0.48</w:t>
            </w:r>
            <w:r>
              <w:rPr>
                <w:rFonts w:hint="default"/>
                <w:color w:val="auto"/>
                <w:sz w:val="24"/>
                <w:szCs w:val="24"/>
                <w:highlight w:val="none"/>
                <w:lang w:val="en-US" w:eastAsia="zh-CN"/>
              </w:rPr>
              <w:t>m</w:t>
            </w:r>
            <w:r>
              <w:rPr>
                <w:rFonts w:hint="default"/>
                <w:color w:val="auto"/>
                <w:sz w:val="24"/>
                <w:szCs w:val="24"/>
                <w:highlight w:val="none"/>
                <w:vertAlign w:val="superscript"/>
                <w:lang w:val="en-US" w:eastAsia="zh-CN"/>
              </w:rPr>
              <w:t>3</w:t>
            </w:r>
            <w:r>
              <w:rPr>
                <w:rFonts w:hint="default"/>
                <w:color w:val="auto"/>
                <w:sz w:val="24"/>
                <w:szCs w:val="24"/>
                <w:highlight w:val="none"/>
                <w:lang w:val="en-US" w:eastAsia="zh-CN"/>
              </w:rPr>
              <w:t>），因此除油剂和钝化剂稀释用水量约为</w:t>
            </w:r>
            <w:r>
              <w:rPr>
                <w:rFonts w:hint="eastAsia"/>
                <w:color w:val="auto"/>
                <w:sz w:val="24"/>
                <w:szCs w:val="24"/>
                <w:highlight w:val="none"/>
                <w:lang w:val="en-US" w:eastAsia="zh-CN"/>
              </w:rPr>
              <w:t>0.96</w:t>
            </w:r>
            <w:r>
              <w:rPr>
                <w:rFonts w:hint="default"/>
                <w:color w:val="auto"/>
                <w:sz w:val="24"/>
                <w:szCs w:val="24"/>
                <w:highlight w:val="none"/>
                <w:lang w:val="en-US" w:eastAsia="zh-CN"/>
              </w:rPr>
              <w:t>m</w:t>
            </w:r>
            <w:r>
              <w:rPr>
                <w:rFonts w:hint="default"/>
                <w:color w:val="auto"/>
                <w:sz w:val="24"/>
                <w:szCs w:val="24"/>
                <w:highlight w:val="none"/>
                <w:vertAlign w:val="superscript"/>
                <w:lang w:val="en-US" w:eastAsia="zh-CN"/>
              </w:rPr>
              <w:t>3</w:t>
            </w:r>
            <w:r>
              <w:rPr>
                <w:rFonts w:hint="default"/>
                <w:color w:val="auto"/>
                <w:sz w:val="24"/>
                <w:szCs w:val="24"/>
                <w:highlight w:val="none"/>
                <w:lang w:val="en-US" w:eastAsia="zh-CN"/>
              </w:rPr>
              <w:t>/a。</w:t>
            </w:r>
          </w:p>
          <w:p w14:paraId="67E422A6">
            <w:pPr>
              <w:pStyle w:val="3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pPr>
            <w:r>
              <w:rPr>
                <w:rFonts w:hint="eastAsia"/>
                <w:color w:val="auto"/>
                <w:sz w:val="24"/>
                <w:szCs w:val="24"/>
                <w:highlight w:val="none"/>
                <w:lang w:eastAsia="zh-CN"/>
              </w:rPr>
              <w:t>（</w:t>
            </w:r>
            <w:r>
              <w:rPr>
                <w:rFonts w:hint="eastAsia"/>
                <w:color w:val="auto"/>
                <w:sz w:val="24"/>
                <w:szCs w:val="24"/>
                <w:highlight w:val="none"/>
                <w:lang w:val="en-US" w:eastAsia="zh-CN"/>
              </w:rPr>
              <w:t>4）</w:t>
            </w:r>
            <w:r>
              <w:rPr>
                <w:spacing w:val="-2"/>
              </w:rPr>
              <w:t>清洗用水</w:t>
            </w:r>
          </w:p>
          <w:p w14:paraId="31C3BFA7">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项目单个水洗槽有效容积为0.48m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，每10天更换一次新鲜水，共有3个水洗槽，则清洗用水量为51.26m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/a（0.48*356/10*3），其中除油前清洗用水量为17.09m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/a，除油后清洗用水量为17.09m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/a，钝化后清洗用水量为17.09m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/a。清洗用水主要来源是废水处理站，损耗水量由自来水补充。</w:t>
            </w:r>
          </w:p>
          <w:p w14:paraId="5E0B1F39">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color w:val="auto"/>
                <w:sz w:val="24"/>
                <w:szCs w:val="24"/>
                <w:highlight w:val="none"/>
                <w:lang w:val="en-US" w:eastAsia="zh-CN"/>
              </w:rPr>
            </w:pPr>
            <w:r>
              <w:rPr>
                <w:rFonts w:hint="default"/>
                <w:color w:val="auto"/>
                <w:sz w:val="24"/>
                <w:szCs w:val="24"/>
                <w:highlight w:val="none"/>
                <w:lang w:val="en-US" w:eastAsia="zh-CN"/>
              </w:rPr>
              <w:t>项目营运期生产废水主要有除油前清洗废水、除油后清洗废水和钝化后清洗废水。废除油液和废钝化液作危险废物委托有资质单位处置。</w:t>
            </w:r>
          </w:p>
          <w:p w14:paraId="68C708F4">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color w:val="auto"/>
                <w:sz w:val="24"/>
                <w:szCs w:val="24"/>
                <w:highlight w:val="none"/>
                <w:lang w:val="en-US" w:eastAsia="zh-CN"/>
              </w:rPr>
            </w:pPr>
            <w:r>
              <w:rPr>
                <w:rFonts w:hint="default"/>
                <w:color w:val="auto"/>
                <w:sz w:val="24"/>
                <w:szCs w:val="24"/>
                <w:highlight w:val="none"/>
                <w:lang w:val="en-US" w:eastAsia="zh-CN"/>
              </w:rPr>
              <w:t>①除油前清洗废水：产生量以用水量的90%计，约</w:t>
            </w:r>
            <w:r>
              <w:rPr>
                <w:rFonts w:hint="eastAsia"/>
                <w:color w:val="auto"/>
                <w:sz w:val="24"/>
                <w:szCs w:val="24"/>
                <w:highlight w:val="none"/>
                <w:lang w:val="en-US" w:eastAsia="zh-CN"/>
              </w:rPr>
              <w:t>15.38</w:t>
            </w:r>
            <w:r>
              <w:rPr>
                <w:rFonts w:hint="default"/>
                <w:color w:val="auto"/>
                <w:sz w:val="24"/>
                <w:szCs w:val="24"/>
                <w:highlight w:val="none"/>
                <w:lang w:val="en-US" w:eastAsia="zh-CN"/>
              </w:rPr>
              <w:t>t/a。</w:t>
            </w:r>
          </w:p>
          <w:p w14:paraId="7B82F6F8">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color w:val="auto"/>
                <w:sz w:val="24"/>
                <w:szCs w:val="24"/>
                <w:highlight w:val="none"/>
                <w:lang w:val="en-US" w:eastAsia="zh-CN"/>
              </w:rPr>
            </w:pPr>
            <w:r>
              <w:rPr>
                <w:rFonts w:hint="default"/>
                <w:color w:val="auto"/>
                <w:sz w:val="24"/>
                <w:szCs w:val="24"/>
                <w:highlight w:val="none"/>
                <w:lang w:val="en-US" w:eastAsia="zh-CN"/>
              </w:rPr>
              <w:t>②除油后清洗废水：除油后清洗废水产生量以用水量的9</w:t>
            </w:r>
            <w:r>
              <w:rPr>
                <w:rFonts w:hint="eastAsia"/>
                <w:color w:val="auto"/>
                <w:sz w:val="24"/>
                <w:szCs w:val="24"/>
                <w:highlight w:val="none"/>
                <w:lang w:val="en-US" w:eastAsia="zh-CN"/>
              </w:rPr>
              <w:t>0</w:t>
            </w:r>
            <w:r>
              <w:rPr>
                <w:rFonts w:hint="default"/>
                <w:color w:val="auto"/>
                <w:sz w:val="24"/>
                <w:szCs w:val="24"/>
                <w:highlight w:val="none"/>
                <w:lang w:val="en-US" w:eastAsia="zh-CN"/>
              </w:rPr>
              <w:t>%计，约</w:t>
            </w:r>
            <w:r>
              <w:rPr>
                <w:rFonts w:hint="eastAsia"/>
                <w:color w:val="auto"/>
                <w:sz w:val="24"/>
                <w:szCs w:val="24"/>
                <w:highlight w:val="none"/>
                <w:lang w:val="en-US" w:eastAsia="zh-CN"/>
              </w:rPr>
              <w:t>15.38</w:t>
            </w:r>
            <w:r>
              <w:rPr>
                <w:rFonts w:hint="default"/>
                <w:color w:val="auto"/>
                <w:sz w:val="24"/>
                <w:szCs w:val="24"/>
                <w:highlight w:val="none"/>
                <w:lang w:val="en-US" w:eastAsia="zh-CN"/>
              </w:rPr>
              <w:t>t/a。</w:t>
            </w:r>
          </w:p>
          <w:p w14:paraId="590B1CC3">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color w:val="auto"/>
                <w:sz w:val="24"/>
                <w:szCs w:val="24"/>
                <w:highlight w:val="none"/>
                <w:lang w:val="en-US" w:eastAsia="zh-CN"/>
              </w:rPr>
            </w:pPr>
            <w:r>
              <w:rPr>
                <w:rFonts w:hint="default"/>
                <w:color w:val="auto"/>
                <w:sz w:val="24"/>
                <w:szCs w:val="24"/>
                <w:highlight w:val="none"/>
                <w:lang w:val="en-US" w:eastAsia="zh-CN"/>
              </w:rPr>
              <w:t>③钝化后清洗废水：产生量以用水量的95%计，约</w:t>
            </w:r>
            <w:r>
              <w:rPr>
                <w:rFonts w:hint="eastAsia"/>
                <w:color w:val="auto"/>
                <w:sz w:val="24"/>
                <w:szCs w:val="24"/>
                <w:highlight w:val="none"/>
                <w:lang w:val="en-US" w:eastAsia="zh-CN"/>
              </w:rPr>
              <w:t>16.24</w:t>
            </w:r>
            <w:r>
              <w:rPr>
                <w:rFonts w:hint="default"/>
                <w:color w:val="auto"/>
                <w:sz w:val="24"/>
                <w:szCs w:val="24"/>
                <w:highlight w:val="none"/>
                <w:lang w:val="en-US" w:eastAsia="zh-CN"/>
              </w:rPr>
              <w:t>t/a。</w:t>
            </w:r>
          </w:p>
          <w:p w14:paraId="05835083">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④废除油液和废钝化液：除油液和钝化液每年更换一次，平时视情况不定期补充除油剂、钝化剂。</w:t>
            </w:r>
          </w:p>
          <w:p w14:paraId="70679A94">
            <w:pPr>
              <w:pStyle w:val="4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项目生产废水经管道排入自建废水处理站处理，回用于清洗工序，不外排</w:t>
            </w:r>
          </w:p>
          <w:p w14:paraId="52ABDC43">
            <w:pPr>
              <w:pStyle w:val="40"/>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Times New Roman"/>
                <w:b w:val="0"/>
                <w:bCs/>
                <w:color w:val="auto"/>
                <w:sz w:val="24"/>
                <w:lang w:val="en-US" w:eastAsia="zh-CN"/>
              </w:rPr>
            </w:pPr>
            <w:bookmarkStart w:id="31" w:name="_Toc11791"/>
            <w:r>
              <w:rPr>
                <w:rFonts w:hint="eastAsia" w:ascii="Times New Roman" w:hAnsi="Times New Roman" w:eastAsia="宋体" w:cs="Times New Roman"/>
                <w:b w:val="0"/>
                <w:bCs/>
                <w:color w:val="auto"/>
                <w:sz w:val="24"/>
                <w:lang w:val="en-US" w:eastAsia="zh-CN"/>
              </w:rPr>
              <w:t>项目水平衡图详见图2.1-1。</w:t>
            </w:r>
            <w:bookmarkEnd w:id="31"/>
          </w:p>
          <w:p w14:paraId="2372C171">
            <w:pPr>
              <w:pStyle w:val="40"/>
              <w:keepNext w:val="0"/>
              <w:keepLines w:val="0"/>
              <w:pageBreakBefore w:val="0"/>
              <w:kinsoku/>
              <w:wordWrap/>
              <w:overflowPunct/>
              <w:topLinePunct w:val="0"/>
              <w:autoSpaceDE/>
              <w:autoSpaceDN/>
              <w:bidi w:val="0"/>
              <w:adjustRightInd/>
              <w:snapToGrid/>
              <w:spacing w:line="360" w:lineRule="auto"/>
              <w:textAlignment w:val="auto"/>
              <w:outlineLvl w:val="9"/>
              <w:rPr>
                <w:rFonts w:hint="eastAsia" w:ascii="Times New Roman" w:hAnsi="Times New Roman" w:eastAsia="宋体" w:cs="Times New Roman"/>
                <w:b w:val="0"/>
                <w:bCs/>
                <w:color w:val="auto"/>
                <w:sz w:val="24"/>
                <w:lang w:val="en-US" w:eastAsia="zh-CN"/>
              </w:rPr>
            </w:pPr>
            <w:r>
              <w:rPr>
                <w:rFonts w:hint="eastAsia" w:ascii="Times New Roman" w:hAnsi="Times New Roman" w:eastAsia="宋体" w:cs="Times New Roman"/>
                <w:b w:val="0"/>
                <w:bCs/>
                <w:color w:val="auto"/>
                <w:sz w:val="24"/>
                <w:lang w:val="en-US" w:eastAsia="zh-CN"/>
              </w:rPr>
              <w:drawing>
                <wp:inline distT="0" distB="0" distL="114300" distR="114300">
                  <wp:extent cx="5471795" cy="4864100"/>
                  <wp:effectExtent l="0" t="0" r="0" b="0"/>
                  <wp:docPr id="143" name="ECB019B1-382A-4266-B25C-5B523AA43C14-1" descr="C:/Users/Administrator/AppData/Local/Temp/wps.thzhZ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ECB019B1-382A-4266-B25C-5B523AA43C14-1" descr="C:/Users/Administrator/AppData/Local/Temp/wps.thzhZLwps"/>
                          <pic:cNvPicPr>
                            <a:picLocks noChangeAspect="1"/>
                          </pic:cNvPicPr>
                        </pic:nvPicPr>
                        <pic:blipFill>
                          <a:blip r:embed="rId18"/>
                          <a:stretch>
                            <a:fillRect/>
                          </a:stretch>
                        </pic:blipFill>
                        <pic:spPr>
                          <a:xfrm>
                            <a:off x="0" y="0"/>
                            <a:ext cx="5471795" cy="4864100"/>
                          </a:xfrm>
                          <a:prstGeom prst="rect">
                            <a:avLst/>
                          </a:prstGeom>
                        </pic:spPr>
                      </pic:pic>
                    </a:graphicData>
                  </a:graphic>
                </wp:inline>
              </w:drawing>
            </w:r>
          </w:p>
          <w:p w14:paraId="7BD416E7">
            <w:pPr>
              <w:pStyle w:val="40"/>
              <w:keepNext w:val="0"/>
              <w:keepLines w:val="0"/>
              <w:pageBreakBefore w:val="0"/>
              <w:kinsoku/>
              <w:wordWrap/>
              <w:overflowPunct/>
              <w:topLinePunct w:val="0"/>
              <w:autoSpaceDE/>
              <w:autoSpaceDN/>
              <w:bidi w:val="0"/>
              <w:adjustRightInd/>
              <w:snapToGrid/>
              <w:spacing w:line="360" w:lineRule="auto"/>
              <w:textAlignment w:val="auto"/>
              <w:outlineLvl w:val="9"/>
              <w:rPr>
                <w:rFonts w:hint="eastAsia" w:ascii="Times New Roman" w:hAnsi="Times New Roman" w:eastAsia="宋体" w:cs="Times New Roman"/>
                <w:b w:val="0"/>
                <w:bCs/>
                <w:color w:val="auto"/>
                <w:sz w:val="24"/>
                <w:lang w:val="en-US" w:eastAsia="zh-CN"/>
              </w:rPr>
            </w:pPr>
          </w:p>
          <w:p w14:paraId="007FAA55">
            <w:pPr>
              <w:pStyle w:val="40"/>
              <w:keepNext w:val="0"/>
              <w:keepLines w:val="0"/>
              <w:pageBreakBefore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b/>
                <w:bCs w:val="0"/>
                <w:color w:val="auto"/>
                <w:sz w:val="24"/>
                <w:szCs w:val="24"/>
                <w:lang w:val="en-US" w:eastAsia="zh-CN"/>
              </w:rPr>
            </w:pPr>
            <w:bookmarkStart w:id="32" w:name="_Toc7512"/>
            <w:r>
              <w:rPr>
                <w:rFonts w:hint="default" w:ascii="Times New Roman" w:hAnsi="Times New Roman" w:eastAsia="宋体" w:cs="Times New Roman"/>
                <w:b/>
                <w:bCs w:val="0"/>
                <w:color w:val="auto"/>
                <w:sz w:val="24"/>
                <w:szCs w:val="24"/>
                <w:lang w:val="en-US" w:eastAsia="zh-CN"/>
              </w:rPr>
              <w:t>图2.1-1 项目水平衡图（单位：t/</w:t>
            </w:r>
            <w:r>
              <w:rPr>
                <w:rFonts w:hint="eastAsia" w:cs="Times New Roman"/>
                <w:b/>
                <w:bCs w:val="0"/>
                <w:color w:val="auto"/>
                <w:sz w:val="24"/>
                <w:szCs w:val="24"/>
                <w:lang w:val="en-US" w:eastAsia="zh-CN"/>
              </w:rPr>
              <w:t>a</w:t>
            </w:r>
            <w:r>
              <w:rPr>
                <w:rFonts w:hint="default" w:ascii="Times New Roman" w:hAnsi="Times New Roman" w:eastAsia="宋体" w:cs="Times New Roman"/>
                <w:b/>
                <w:bCs w:val="0"/>
                <w:color w:val="auto"/>
                <w:sz w:val="24"/>
                <w:szCs w:val="24"/>
                <w:lang w:val="en-US" w:eastAsia="zh-CN"/>
              </w:rPr>
              <w:t>）</w:t>
            </w:r>
            <w:bookmarkEnd w:id="32"/>
          </w:p>
          <w:p w14:paraId="1672FC1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33" w:name="_Toc32588"/>
            <w:r>
              <w:rPr>
                <w:rFonts w:hint="eastAsia" w:ascii="Times New Roman" w:hAnsi="Times New Roman" w:eastAsia="宋体" w:cs="Times New Roman"/>
                <w:b/>
                <w:bCs/>
                <w:color w:val="auto"/>
                <w:sz w:val="24"/>
                <w:szCs w:val="24"/>
                <w:u w:val="none"/>
                <w:lang w:val="en-US" w:eastAsia="zh-CN"/>
              </w:rPr>
              <w:t>2.2.8项目平面布置合理性分析</w:t>
            </w:r>
            <w:bookmarkEnd w:id="33"/>
          </w:p>
          <w:p w14:paraId="64912F36">
            <w:pPr>
              <w:spacing w:line="360" w:lineRule="auto"/>
              <w:ind w:firstLine="480" w:firstLineChars="200"/>
              <w:rPr>
                <w:color w:val="auto"/>
                <w:sz w:val="24"/>
                <w:highlight w:val="none"/>
              </w:rPr>
            </w:pPr>
            <w:r>
              <w:rPr>
                <w:color w:val="auto"/>
                <w:sz w:val="24"/>
              </w:rPr>
              <w:t>项目</w:t>
            </w:r>
            <w:r>
              <w:rPr>
                <w:rFonts w:hint="eastAsia" w:ascii="Times New Roman" w:hAnsi="Times New Roman" w:eastAsia="宋体" w:cs="Times New Roman"/>
                <w:color w:val="auto"/>
                <w:sz w:val="21"/>
                <w:szCs w:val="21"/>
                <w:highlight w:val="none"/>
                <w:vertAlign w:val="baseline"/>
                <w:lang w:val="en-US" w:eastAsia="zh-CN"/>
              </w:rPr>
              <w:t>一</w:t>
            </w:r>
            <w:r>
              <w:rPr>
                <w:rFonts w:hint="eastAsia"/>
                <w:color w:val="auto"/>
                <w:sz w:val="24"/>
                <w:lang w:val="en-US" w:eastAsia="zh-CN"/>
              </w:rPr>
              <w:t>层主要为工业连接器生产线、三层为工业线缆生产线</w:t>
            </w:r>
            <w:r>
              <w:rPr>
                <w:rFonts w:hint="eastAsia"/>
                <w:color w:val="auto"/>
                <w:sz w:val="24"/>
                <w:lang w:eastAsia="zh-CN"/>
              </w:rPr>
              <w:t>、</w:t>
            </w:r>
            <w:r>
              <w:rPr>
                <w:rFonts w:hint="eastAsia"/>
                <w:color w:val="auto"/>
                <w:sz w:val="24"/>
                <w:lang w:val="en-US" w:eastAsia="zh-CN"/>
              </w:rPr>
              <w:t>四层为办公区</w:t>
            </w:r>
            <w:r>
              <w:rPr>
                <w:rFonts w:hint="eastAsia"/>
                <w:color w:val="auto"/>
                <w:sz w:val="24"/>
              </w:rPr>
              <w:t>等</w:t>
            </w:r>
            <w:r>
              <w:rPr>
                <w:color w:val="auto"/>
                <w:sz w:val="24"/>
              </w:rPr>
              <w:t>，此平面布置方案功能划分相对清晰，各</w:t>
            </w:r>
            <w:r>
              <w:rPr>
                <w:rFonts w:hint="eastAsia"/>
                <w:color w:val="auto"/>
                <w:sz w:val="24"/>
                <w:lang w:eastAsia="zh-CN"/>
              </w:rPr>
              <w:t>区域</w:t>
            </w:r>
            <w:r>
              <w:rPr>
                <w:color w:val="auto"/>
                <w:sz w:val="24"/>
              </w:rPr>
              <w:t>之间物流顺畅，运输距离较短，有利于生产布置。在满足生产条件要求的前提下，充分利用厂区空间进行设备布置，布局紧凑，生产流程比较流畅，布局基本合理。</w:t>
            </w:r>
            <w:r>
              <w:rPr>
                <w:color w:val="auto"/>
                <w:sz w:val="24"/>
                <w:highlight w:val="none"/>
              </w:rPr>
              <w:t>车间平面布置图详见</w:t>
            </w:r>
            <w:r>
              <w:rPr>
                <w:b/>
                <w:bCs/>
                <w:color w:val="auto"/>
                <w:sz w:val="24"/>
                <w:highlight w:val="none"/>
              </w:rPr>
              <w:t>附图</w:t>
            </w:r>
            <w:r>
              <w:rPr>
                <w:rFonts w:hint="eastAsia"/>
                <w:b/>
                <w:bCs/>
                <w:color w:val="auto"/>
                <w:sz w:val="24"/>
                <w:highlight w:val="none"/>
                <w:lang w:val="en-US" w:eastAsia="zh-CN"/>
              </w:rPr>
              <w:t>五</w:t>
            </w:r>
            <w:r>
              <w:rPr>
                <w:color w:val="auto"/>
                <w:sz w:val="24"/>
                <w:highlight w:val="none"/>
              </w:rPr>
              <w:t>。</w:t>
            </w:r>
          </w:p>
          <w:p w14:paraId="0A010316">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项目</w:t>
            </w:r>
            <w:r>
              <w:rPr>
                <w:rFonts w:hint="default" w:ascii="Times New Roman" w:hAnsi="Times New Roman" w:eastAsia="宋体" w:cs="Times New Roman"/>
                <w:color w:val="auto"/>
                <w:sz w:val="24"/>
                <w:szCs w:val="24"/>
                <w:highlight w:val="none"/>
              </w:rPr>
              <w:t>当地</w:t>
            </w:r>
            <w:r>
              <w:rPr>
                <w:rFonts w:hint="default" w:ascii="Times New Roman" w:hAnsi="Times New Roman" w:eastAsia="宋体" w:cs="Times New Roman"/>
                <w:color w:val="auto"/>
                <w:sz w:val="24"/>
                <w:szCs w:val="24"/>
                <w:highlight w:val="none"/>
                <w:lang w:eastAsia="zh-CN"/>
              </w:rPr>
              <w:t>常年主导风向为</w:t>
            </w:r>
            <w:r>
              <w:rPr>
                <w:rFonts w:hint="eastAsia" w:ascii="Times New Roman" w:hAnsi="Times New Roman" w:eastAsia="宋体" w:cs="Times New Roman"/>
                <w:color w:val="auto"/>
                <w:sz w:val="24"/>
                <w:szCs w:val="24"/>
                <w:highlight w:val="none"/>
                <w:lang w:val="en-US" w:eastAsia="zh-CN"/>
              </w:rPr>
              <w:t>东北侧</w:t>
            </w:r>
            <w:r>
              <w:rPr>
                <w:rFonts w:hint="default" w:ascii="Times New Roman" w:hAnsi="Times New Roman" w:eastAsia="宋体" w:cs="Times New Roman"/>
                <w:color w:val="auto"/>
                <w:sz w:val="24"/>
                <w:szCs w:val="24"/>
                <w:highlight w:val="none"/>
              </w:rPr>
              <w:t>，说明其下风向</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西南侧</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受污染</w:t>
            </w:r>
            <w:r>
              <w:rPr>
                <w:rFonts w:hint="eastAsia" w:ascii="Times New Roman" w:hAnsi="Times New Roman" w:eastAsia="宋体" w:cs="Times New Roman"/>
                <w:color w:val="auto"/>
                <w:sz w:val="24"/>
                <w:szCs w:val="24"/>
                <w:highlight w:val="none"/>
                <w:lang w:eastAsia="zh-CN"/>
              </w:rPr>
              <w:t>的概率</w:t>
            </w:r>
            <w:r>
              <w:rPr>
                <w:rFonts w:hint="eastAsia" w:cs="Times New Roman"/>
                <w:color w:val="auto"/>
                <w:sz w:val="24"/>
                <w:szCs w:val="24"/>
                <w:highlight w:val="none"/>
                <w:lang w:val="en-US" w:eastAsia="zh-CN"/>
              </w:rPr>
              <w:t>较</w:t>
            </w:r>
            <w:r>
              <w:rPr>
                <w:rFonts w:hint="default" w:ascii="Times New Roman" w:hAnsi="Times New Roman" w:eastAsia="宋体" w:cs="Times New Roman"/>
                <w:color w:val="auto"/>
                <w:sz w:val="24"/>
                <w:szCs w:val="24"/>
                <w:highlight w:val="none"/>
              </w:rPr>
              <w:t>高</w:t>
            </w:r>
            <w:r>
              <w:rPr>
                <w:rFonts w:hint="default" w:ascii="Times New Roman" w:hAnsi="Times New Roman" w:eastAsia="宋体" w:cs="Times New Roman"/>
                <w:color w:val="auto"/>
                <w:sz w:val="24"/>
                <w:szCs w:val="24"/>
                <w:highlight w:val="none"/>
                <w:lang w:eastAsia="zh-CN"/>
              </w:rPr>
              <w:t>，项目</w:t>
            </w:r>
            <w:r>
              <w:rPr>
                <w:rFonts w:hint="eastAsia" w:ascii="Times New Roman" w:hAnsi="Times New Roman" w:eastAsia="宋体" w:cs="Times New Roman"/>
                <w:color w:val="auto"/>
                <w:sz w:val="24"/>
                <w:szCs w:val="24"/>
                <w:highlight w:val="none"/>
                <w:lang w:val="en-US" w:eastAsia="zh-CN"/>
              </w:rPr>
              <w:t>拟</w:t>
            </w:r>
            <w:r>
              <w:rPr>
                <w:rFonts w:hint="default" w:ascii="Times New Roman" w:hAnsi="Times New Roman" w:eastAsia="宋体" w:cs="Times New Roman"/>
                <w:color w:val="auto"/>
                <w:sz w:val="24"/>
                <w:szCs w:val="24"/>
                <w:highlight w:val="none"/>
                <w:lang w:eastAsia="zh-CN"/>
              </w:rPr>
              <w:t>将</w:t>
            </w:r>
            <w:r>
              <w:rPr>
                <w:rFonts w:hint="eastAsia" w:ascii="Times New Roman" w:hAnsi="Times New Roman" w:eastAsia="宋体" w:cs="Times New Roman"/>
                <w:color w:val="auto"/>
                <w:sz w:val="24"/>
                <w:szCs w:val="24"/>
                <w:highlight w:val="none"/>
                <w:lang w:eastAsia="zh-CN"/>
              </w:rPr>
              <w:t>废气</w:t>
            </w:r>
            <w:r>
              <w:rPr>
                <w:rFonts w:hint="default" w:ascii="Times New Roman" w:hAnsi="Times New Roman" w:eastAsia="宋体" w:cs="Times New Roman"/>
                <w:color w:val="auto"/>
                <w:sz w:val="24"/>
                <w:szCs w:val="24"/>
                <w:highlight w:val="none"/>
                <w:lang w:eastAsia="zh-CN"/>
              </w:rPr>
              <w:t>排气筒设置</w:t>
            </w:r>
            <w:r>
              <w:rPr>
                <w:rFonts w:hint="eastAsia" w:ascii="Times New Roman" w:hAnsi="Times New Roman" w:eastAsia="宋体" w:cs="Times New Roman"/>
                <w:color w:val="auto"/>
                <w:sz w:val="24"/>
                <w:szCs w:val="24"/>
                <w:highlight w:val="none"/>
                <w:lang w:val="en-US" w:eastAsia="zh-CN"/>
              </w:rPr>
              <w:t>在厂房</w:t>
            </w:r>
            <w:r>
              <w:rPr>
                <w:rFonts w:hint="default" w:ascii="Times New Roman" w:hAnsi="Times New Roman" w:eastAsia="宋体" w:cs="Times New Roman"/>
                <w:color w:val="auto"/>
                <w:sz w:val="24"/>
                <w:szCs w:val="24"/>
                <w:highlight w:val="none"/>
                <w:lang w:eastAsia="zh-CN"/>
              </w:rPr>
              <w:t>屋顶</w:t>
            </w:r>
            <w:r>
              <w:rPr>
                <w:rFonts w:hint="eastAsia" w:ascii="Times New Roman" w:hAnsi="Times New Roman" w:eastAsia="宋体" w:cs="Times New Roman"/>
                <w:color w:val="auto"/>
                <w:sz w:val="24"/>
                <w:szCs w:val="24"/>
                <w:highlight w:val="none"/>
                <w:lang w:val="en-US" w:eastAsia="zh-CN"/>
              </w:rPr>
              <w:t>北侧区域</w:t>
            </w:r>
            <w:r>
              <w:rPr>
                <w:rFonts w:hint="eastAsia" w:ascii="Times New Roman" w:hAnsi="Times New Roman" w:eastAsia="宋体" w:cs="Times New Roman"/>
                <w:color w:val="auto"/>
                <w:sz w:val="24"/>
                <w:szCs w:val="24"/>
                <w:highlight w:val="none"/>
                <w:lang w:eastAsia="zh-CN"/>
              </w:rPr>
              <w:t>，排放口朝内</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不位于</w:t>
            </w:r>
            <w:r>
              <w:rPr>
                <w:rFonts w:hint="default" w:ascii="Times New Roman" w:hAnsi="Times New Roman" w:eastAsia="宋体" w:cs="Times New Roman"/>
                <w:color w:val="auto"/>
                <w:sz w:val="24"/>
                <w:szCs w:val="24"/>
                <w:highlight w:val="none"/>
                <w:lang w:eastAsia="zh-CN"/>
              </w:rPr>
              <w:t>常年主导风向</w:t>
            </w:r>
            <w:r>
              <w:rPr>
                <w:rFonts w:hint="eastAsia" w:ascii="Times New Roman" w:hAnsi="Times New Roman" w:eastAsia="宋体" w:cs="Times New Roman"/>
                <w:color w:val="auto"/>
                <w:sz w:val="24"/>
                <w:szCs w:val="24"/>
                <w:highlight w:val="none"/>
                <w:lang w:val="en-US" w:eastAsia="zh-CN"/>
              </w:rPr>
              <w:t>上风向，</w:t>
            </w:r>
            <w:r>
              <w:rPr>
                <w:rFonts w:hint="default" w:ascii="Times New Roman" w:hAnsi="Times New Roman" w:eastAsia="宋体" w:cs="Times New Roman"/>
                <w:color w:val="auto"/>
                <w:sz w:val="24"/>
                <w:szCs w:val="24"/>
                <w:highlight w:val="none"/>
                <w:lang w:eastAsia="zh-CN"/>
              </w:rPr>
              <w:t>拟将</w:t>
            </w:r>
            <w:r>
              <w:rPr>
                <w:rFonts w:hint="eastAsia" w:cs="Times New Roman"/>
                <w:color w:val="auto"/>
                <w:sz w:val="24"/>
                <w:szCs w:val="24"/>
                <w:highlight w:val="none"/>
                <w:lang w:eastAsia="zh-CN"/>
              </w:rPr>
              <w:t>危险废物储存库</w:t>
            </w:r>
            <w:r>
              <w:rPr>
                <w:rFonts w:hint="default" w:ascii="Times New Roman" w:hAnsi="Times New Roman" w:eastAsia="宋体" w:cs="Times New Roman"/>
                <w:color w:val="auto"/>
                <w:sz w:val="24"/>
                <w:szCs w:val="24"/>
                <w:highlight w:val="none"/>
                <w:lang w:eastAsia="zh-CN"/>
              </w:rPr>
              <w:t>设置于</w:t>
            </w:r>
            <w:r>
              <w:rPr>
                <w:rFonts w:hint="eastAsia" w:ascii="Times New Roman" w:hAnsi="Times New Roman" w:eastAsia="宋体" w:cs="Times New Roman"/>
                <w:color w:val="auto"/>
                <w:sz w:val="24"/>
                <w:szCs w:val="24"/>
                <w:highlight w:val="none"/>
                <w:lang w:val="en-US" w:eastAsia="zh-CN"/>
              </w:rPr>
              <w:t>车间西南侧区域</w:t>
            </w:r>
            <w:r>
              <w:rPr>
                <w:rFonts w:hint="default" w:ascii="Times New Roman" w:hAnsi="Times New Roman" w:eastAsia="宋体" w:cs="Times New Roman"/>
                <w:color w:val="auto"/>
                <w:sz w:val="24"/>
                <w:szCs w:val="24"/>
                <w:highlight w:val="none"/>
                <w:lang w:eastAsia="zh-CN"/>
              </w:rPr>
              <w:t>，方便危险废物的分类收集，</w:t>
            </w:r>
            <w:r>
              <w:rPr>
                <w:rFonts w:hint="eastAsia" w:ascii="Times New Roman" w:hAnsi="Times New Roman" w:eastAsia="宋体" w:cs="Times New Roman"/>
                <w:color w:val="auto"/>
                <w:sz w:val="24"/>
                <w:szCs w:val="24"/>
                <w:highlight w:val="none"/>
                <w:lang w:val="en-US" w:eastAsia="zh-CN"/>
              </w:rPr>
              <w:t>危险废物</w:t>
            </w:r>
            <w:r>
              <w:rPr>
                <w:rFonts w:hint="default" w:ascii="Times New Roman" w:hAnsi="Times New Roman" w:eastAsia="宋体" w:cs="Times New Roman"/>
                <w:color w:val="auto"/>
                <w:sz w:val="24"/>
                <w:szCs w:val="24"/>
                <w:highlight w:val="none"/>
                <w:lang w:eastAsia="zh-CN"/>
              </w:rPr>
              <w:t>可以</w:t>
            </w:r>
            <w:r>
              <w:rPr>
                <w:rFonts w:hint="eastAsia" w:ascii="Times New Roman" w:hAnsi="Times New Roman" w:eastAsia="宋体" w:cs="Times New Roman"/>
                <w:color w:val="auto"/>
                <w:sz w:val="24"/>
                <w:szCs w:val="24"/>
                <w:highlight w:val="none"/>
                <w:lang w:eastAsia="zh-CN"/>
              </w:rPr>
              <w:t>得到有效的</w:t>
            </w:r>
            <w:r>
              <w:rPr>
                <w:rFonts w:hint="default" w:ascii="Times New Roman" w:hAnsi="Times New Roman" w:eastAsia="宋体" w:cs="Times New Roman"/>
                <w:color w:val="auto"/>
                <w:sz w:val="24"/>
                <w:szCs w:val="24"/>
                <w:highlight w:val="none"/>
                <w:lang w:eastAsia="zh-CN"/>
              </w:rPr>
              <w:t>处理处置，可避免造成二次污染；项目</w:t>
            </w:r>
            <w:r>
              <w:rPr>
                <w:rFonts w:hint="eastAsia" w:ascii="Times New Roman" w:hAnsi="Times New Roman" w:eastAsia="宋体" w:cs="Times New Roman"/>
                <w:color w:val="auto"/>
                <w:sz w:val="24"/>
                <w:szCs w:val="24"/>
                <w:highlight w:val="none"/>
                <w:lang w:eastAsia="zh-CN"/>
              </w:rPr>
              <w:t>设备噪声经</w:t>
            </w:r>
            <w:r>
              <w:rPr>
                <w:rFonts w:hint="default" w:ascii="Times New Roman" w:hAnsi="Times New Roman" w:eastAsia="宋体" w:cs="Times New Roman"/>
                <w:color w:val="auto"/>
                <w:sz w:val="24"/>
                <w:szCs w:val="24"/>
                <w:highlight w:val="none"/>
                <w:lang w:eastAsia="zh-CN"/>
              </w:rPr>
              <w:t>基础减振、厂房墙体隔声等综合降噪措施后，可实现噪声达标排放。</w:t>
            </w:r>
            <w:r>
              <w:rPr>
                <w:rFonts w:hint="default" w:ascii="Times New Roman" w:hAnsi="Times New Roman" w:eastAsia="宋体" w:cs="Times New Roman"/>
                <w:color w:val="auto"/>
                <w:sz w:val="24"/>
                <w:szCs w:val="24"/>
                <w:highlight w:val="none"/>
              </w:rPr>
              <w:t>从环境影响的角度看，</w:t>
            </w:r>
            <w:r>
              <w:rPr>
                <w:rFonts w:hint="default" w:ascii="Times New Roman" w:hAnsi="Times New Roman" w:eastAsia="宋体" w:cs="Times New Roman"/>
                <w:color w:val="auto"/>
                <w:sz w:val="24"/>
                <w:szCs w:val="24"/>
                <w:highlight w:val="none"/>
                <w:lang w:eastAsia="zh-CN"/>
              </w:rPr>
              <w:t>项目环保设施平面布置基本合理。</w:t>
            </w:r>
          </w:p>
          <w:p w14:paraId="4B1A5F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color w:val="auto"/>
                <w:sz w:val="24"/>
                <w:szCs w:val="24"/>
                <w:highlight w:val="none"/>
              </w:rPr>
              <w:t>综上所述，本项目的布置基本合理。</w:t>
            </w:r>
          </w:p>
        </w:tc>
      </w:tr>
    </w:tbl>
    <w:p w14:paraId="25A567ED">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sz w:val="24"/>
          <w:szCs w:val="24"/>
        </w:rPr>
      </w:pPr>
      <w:r>
        <w:rPr>
          <w:rFonts w:ascii="Times New Roman" w:hAnsi="Times New Roman"/>
          <w:sz w:val="24"/>
          <w:szCs w:val="24"/>
        </w:rPr>
        <w:br w:type="page"/>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2"/>
      </w:tblGrid>
      <w:tr w14:paraId="43EB8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3" w:hRule="atLeast"/>
        </w:trPr>
        <w:tc>
          <w:tcPr>
            <w:tcW w:w="244" w:type="pct"/>
            <w:vAlign w:val="center"/>
          </w:tcPr>
          <w:p w14:paraId="64EA83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4"/>
                <w:szCs w:val="24"/>
                <w:vertAlign w:val="baseline"/>
                <w:lang w:eastAsia="zh-CN"/>
              </w:rPr>
            </w:pPr>
            <w:r>
              <w:rPr>
                <w:rFonts w:ascii="Times New Roman" w:hAnsi="Times New Roman"/>
                <w:sz w:val="24"/>
                <w:szCs w:val="24"/>
              </w:rPr>
              <w:t>工艺流程和产排污环节</w:t>
            </w:r>
          </w:p>
        </w:tc>
        <w:tc>
          <w:tcPr>
            <w:tcW w:w="4755" w:type="pct"/>
            <w:vAlign w:val="top"/>
          </w:tcPr>
          <w:p w14:paraId="0694E105">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color w:val="auto"/>
                <w:sz w:val="28"/>
                <w:szCs w:val="28"/>
                <w:u w:val="none"/>
                <w:lang w:val="en-US" w:eastAsia="zh-CN"/>
              </w:rPr>
            </w:pPr>
            <w:bookmarkStart w:id="34" w:name="_Toc11954"/>
            <w:r>
              <w:rPr>
                <w:rFonts w:hint="eastAsia" w:ascii="Times New Roman" w:hAnsi="Times New Roman" w:eastAsia="宋体" w:cs="Times New Roman"/>
                <w:color w:val="auto"/>
                <w:sz w:val="28"/>
                <w:szCs w:val="28"/>
                <w:u w:val="none"/>
                <w:lang w:val="en-US" w:eastAsia="zh-CN"/>
              </w:rPr>
              <w:t>2.3</w:t>
            </w:r>
            <w:r>
              <w:rPr>
                <w:rFonts w:hint="eastAsia" w:ascii="Times New Roman" w:hAnsi="Times New Roman" w:cs="Times New Roman"/>
                <w:color w:val="auto"/>
                <w:sz w:val="28"/>
                <w:szCs w:val="28"/>
                <w:u w:val="none"/>
                <w:lang w:val="en-US" w:eastAsia="zh-CN"/>
              </w:rPr>
              <w:t>项目</w:t>
            </w:r>
            <w:r>
              <w:rPr>
                <w:rFonts w:hint="eastAsia" w:ascii="Times New Roman" w:hAnsi="Times New Roman" w:eastAsia="宋体" w:cs="Times New Roman"/>
                <w:color w:val="auto"/>
                <w:sz w:val="28"/>
                <w:szCs w:val="28"/>
                <w:u w:val="none"/>
                <w:lang w:val="en-US" w:eastAsia="zh-CN"/>
              </w:rPr>
              <w:t>生产工艺</w:t>
            </w:r>
            <w:r>
              <w:rPr>
                <w:rFonts w:hint="eastAsia" w:ascii="Times New Roman" w:hAnsi="Times New Roman" w:cs="Times New Roman"/>
                <w:color w:val="auto"/>
                <w:sz w:val="28"/>
                <w:szCs w:val="28"/>
                <w:u w:val="none"/>
                <w:lang w:val="en-US" w:eastAsia="zh-CN"/>
              </w:rPr>
              <w:t>流程及产污环节</w:t>
            </w:r>
            <w:bookmarkEnd w:id="34"/>
          </w:p>
          <w:p w14:paraId="3598037A">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35" w:name="_Toc31825"/>
            <w:r>
              <w:rPr>
                <w:rFonts w:hint="eastAsia" w:ascii="Times New Roman" w:hAnsi="Times New Roman" w:eastAsia="宋体" w:cs="Times New Roman"/>
                <w:b/>
                <w:bCs/>
                <w:color w:val="auto"/>
                <w:sz w:val="24"/>
                <w:szCs w:val="24"/>
                <w:u w:val="none"/>
                <w:lang w:val="en-US" w:eastAsia="zh-CN"/>
              </w:rPr>
              <w:t>2.3.1项目工艺流程及工艺介绍</w:t>
            </w:r>
            <w:bookmarkEnd w:id="35"/>
          </w:p>
          <w:p w14:paraId="47D7BCD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0"/>
              <w:textAlignment w:val="auto"/>
              <w:outlineLvl w:val="9"/>
              <w:rPr>
                <w:rFonts w:hint="eastAsia"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lang w:val="en-US" w:eastAsia="zh-CN" w:bidi="ar-SA"/>
              </w:rPr>
              <w:t>（一）</w:t>
            </w:r>
            <w:r>
              <w:rPr>
                <w:rFonts w:hint="eastAsia" w:cs="Times New Roman"/>
                <w:color w:val="auto"/>
                <w:sz w:val="24"/>
                <w:szCs w:val="24"/>
                <w:highlight w:val="none"/>
                <w:lang w:val="en-US" w:eastAsia="zh-CN"/>
              </w:rPr>
              <w:t>工业连接器生产工艺流程及产污环节详见图2.3-1。</w:t>
            </w:r>
          </w:p>
          <w:p w14:paraId="63F089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0"/>
              <w:jc w:val="center"/>
              <w:textAlignment w:val="auto"/>
              <w:outlineLvl w:val="9"/>
              <w:rPr>
                <w:rFonts w:hint="default" w:cs="Times New Roman"/>
                <w:b/>
                <w:bCs/>
                <w:i/>
                <w:iCs/>
                <w:color w:val="auto"/>
                <w:sz w:val="44"/>
                <w:szCs w:val="44"/>
                <w:highlight w:val="none"/>
                <w:lang w:val="en-US" w:eastAsia="zh-CN"/>
              </w:rPr>
            </w:pPr>
            <w:r>
              <w:rPr>
                <w:rFonts w:hint="eastAsia" w:cs="Times New Roman"/>
                <w:b/>
                <w:bCs/>
                <w:i/>
                <w:iCs/>
                <w:color w:val="auto"/>
                <w:sz w:val="44"/>
                <w:szCs w:val="44"/>
                <w:highlight w:val="none"/>
                <w:lang w:val="en-US" w:eastAsia="zh-CN"/>
              </w:rPr>
              <w:t>涉密删除</w:t>
            </w:r>
          </w:p>
          <w:p w14:paraId="7131AC1B">
            <w:pPr>
              <w:pStyle w:val="40"/>
              <w:keepNext w:val="0"/>
              <w:keepLines w:val="0"/>
              <w:pageBreakBefore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b/>
                <w:bCs w:val="0"/>
                <w:color w:val="auto"/>
                <w:sz w:val="24"/>
                <w:szCs w:val="24"/>
                <w:highlight w:val="none"/>
                <w:lang w:val="en-US" w:eastAsia="zh-CN"/>
              </w:rPr>
            </w:pPr>
            <w:bookmarkStart w:id="36" w:name="_Toc5034"/>
            <w:r>
              <w:rPr>
                <w:rFonts w:hint="eastAsia" w:ascii="Times New Roman" w:hAnsi="Times New Roman" w:eastAsia="宋体" w:cs="Times New Roman"/>
                <w:b/>
                <w:bCs w:val="0"/>
                <w:color w:val="auto"/>
                <w:sz w:val="24"/>
                <w:szCs w:val="24"/>
                <w:highlight w:val="none"/>
                <w:lang w:val="en-US" w:eastAsia="zh-CN"/>
              </w:rPr>
              <w:t xml:space="preserve">图2.3-1 </w:t>
            </w:r>
            <w:r>
              <w:rPr>
                <w:rFonts w:hint="eastAsia" w:cs="Times New Roman"/>
                <w:color w:val="auto"/>
                <w:sz w:val="24"/>
                <w:szCs w:val="24"/>
                <w:highlight w:val="none"/>
                <w:lang w:val="en-US" w:eastAsia="zh-CN"/>
              </w:rPr>
              <w:t>工业连接器</w:t>
            </w:r>
            <w:r>
              <w:rPr>
                <w:rFonts w:hint="eastAsia" w:ascii="Times New Roman" w:hAnsi="Times New Roman" w:eastAsia="宋体" w:cs="Times New Roman"/>
                <w:b/>
                <w:bCs w:val="0"/>
                <w:color w:val="auto"/>
                <w:sz w:val="24"/>
                <w:szCs w:val="24"/>
                <w:highlight w:val="none"/>
                <w:lang w:val="en-US" w:eastAsia="zh-CN"/>
              </w:rPr>
              <w:t>生产工艺流程图</w:t>
            </w:r>
            <w:bookmarkEnd w:id="36"/>
          </w:p>
          <w:p w14:paraId="4B041CC0">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工业连接器工艺说明：</w:t>
            </w:r>
          </w:p>
          <w:p w14:paraId="2B71D278">
            <w:pPr>
              <w:pStyle w:val="2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leftChars="200" w:right="0" w:rightChars="0"/>
              <w:jc w:val="center"/>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eastAsia" w:cs="Times New Roman"/>
                <w:b/>
                <w:bCs/>
                <w:i/>
                <w:iCs/>
                <w:color w:val="auto"/>
                <w:sz w:val="44"/>
                <w:szCs w:val="44"/>
                <w:highlight w:val="none"/>
                <w:lang w:val="en-US" w:eastAsia="zh-CN"/>
              </w:rPr>
              <w:t>涉密删除</w:t>
            </w:r>
          </w:p>
          <w:p w14:paraId="7BAC1049">
            <w:pPr>
              <w:pStyle w:val="22"/>
              <w:keepNext w:val="0"/>
              <w:keepLines w:val="0"/>
              <w:pageBreakBefore w:val="0"/>
              <w:widowControl/>
              <w:numPr>
                <w:ilvl w:val="0"/>
                <w:numId w:val="7"/>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left="420" w:leftChars="0" w:right="0" w:rightChars="0"/>
              <w:jc w:val="both"/>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工业线缆生产工艺流程及产污环节详见图2.3-2。</w:t>
            </w:r>
          </w:p>
          <w:p w14:paraId="70163861">
            <w:pPr>
              <w:pStyle w:val="2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right="0" w:rightChars="0"/>
              <w:jc w:val="center"/>
              <w:textAlignment w:val="auto"/>
              <w:outlineLvl w:val="9"/>
              <w:rPr>
                <w:rFonts w:hint="default" w:cs="Times New Roman"/>
                <w:color w:val="auto"/>
                <w:sz w:val="24"/>
                <w:szCs w:val="24"/>
                <w:highlight w:val="none"/>
                <w:lang w:val="en-US" w:eastAsia="zh-CN"/>
              </w:rPr>
            </w:pPr>
            <w:r>
              <w:rPr>
                <w:rFonts w:hint="eastAsia" w:cs="Times New Roman"/>
                <w:b/>
                <w:bCs/>
                <w:i/>
                <w:iCs/>
                <w:color w:val="auto"/>
                <w:sz w:val="44"/>
                <w:szCs w:val="44"/>
                <w:highlight w:val="none"/>
                <w:lang w:val="en-US" w:eastAsia="zh-CN"/>
              </w:rPr>
              <w:t>涉密删除</w:t>
            </w:r>
          </w:p>
          <w:p w14:paraId="3EE85FEC">
            <w:pPr>
              <w:pStyle w:val="2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right="0" w:rightChars="0" w:firstLine="482" w:firstLineChars="200"/>
              <w:textAlignment w:val="auto"/>
              <w:outlineLvl w:val="9"/>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工业线缆工艺说明：</w:t>
            </w:r>
          </w:p>
          <w:p w14:paraId="68F18880">
            <w:pPr>
              <w:pStyle w:val="2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before="0" w:beforeAutospacing="0" w:after="0" w:afterAutospacing="0" w:line="360" w:lineRule="auto"/>
              <w:ind w:right="0" w:rightChars="0"/>
              <w:jc w:val="center"/>
              <w:textAlignment w:val="auto"/>
              <w:outlineLvl w:val="9"/>
              <w:rPr>
                <w:rFonts w:hint="default" w:ascii="Times New Roman" w:hAnsi="Times New Roman"/>
                <w:b w:val="0"/>
                <w:bCs w:val="0"/>
                <w:spacing w:val="-4"/>
                <w:sz w:val="24"/>
                <w:lang w:val="en-US" w:eastAsia="zh-CN"/>
              </w:rPr>
            </w:pPr>
            <w:r>
              <w:rPr>
                <w:rFonts w:hint="eastAsia" w:cs="Times New Roman"/>
                <w:b/>
                <w:bCs/>
                <w:i/>
                <w:iCs/>
                <w:color w:val="auto"/>
                <w:sz w:val="44"/>
                <w:szCs w:val="44"/>
                <w:highlight w:val="none"/>
                <w:lang w:val="en-US" w:eastAsia="zh-CN"/>
              </w:rPr>
              <w:t>涉密删除</w:t>
            </w:r>
          </w:p>
          <w:p w14:paraId="533E0E52">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37" w:name="_Toc11700"/>
            <w:r>
              <w:rPr>
                <w:rFonts w:hint="eastAsia" w:ascii="Times New Roman" w:hAnsi="Times New Roman" w:eastAsia="宋体" w:cs="Times New Roman"/>
                <w:b/>
                <w:bCs/>
                <w:color w:val="auto"/>
                <w:sz w:val="24"/>
                <w:szCs w:val="24"/>
                <w:u w:val="none"/>
                <w:lang w:val="en-US" w:eastAsia="zh-CN"/>
              </w:rPr>
              <w:t>2.3.2产污环节分析</w:t>
            </w:r>
            <w:bookmarkEnd w:id="37"/>
          </w:p>
          <w:p w14:paraId="5FE6E8AC">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pacing w:before="0" w:beforeAutospacing="0" w:after="0" w:afterAutospacing="0" w:line="360" w:lineRule="auto"/>
              <w:ind w:left="0" w:right="0" w:firstLine="420"/>
              <w:textAlignment w:val="auto"/>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val="0"/>
                <w:bCs w:val="0"/>
                <w:color w:val="auto"/>
                <w:kern w:val="0"/>
                <w:sz w:val="24"/>
                <w:szCs w:val="24"/>
                <w:highlight w:val="none"/>
                <w:u w:val="none"/>
                <w:lang w:val="en-US" w:eastAsia="zh-CN" w:bidi="ar-SA"/>
              </w:rPr>
              <w:t>项目产污环节分析情况一览表详见表2.3-1</w:t>
            </w:r>
            <w:r>
              <w:rPr>
                <w:rFonts w:hint="eastAsia" w:ascii="Times New Roman" w:hAnsi="Times New Roman" w:cs="Times New Roman"/>
                <w:b w:val="0"/>
                <w:bCs w:val="0"/>
                <w:color w:val="auto"/>
                <w:kern w:val="0"/>
                <w:sz w:val="24"/>
                <w:szCs w:val="24"/>
                <w:highlight w:val="none"/>
                <w:u w:val="none"/>
                <w:lang w:val="en-US" w:eastAsia="zh-CN" w:bidi="ar-SA"/>
              </w:rPr>
              <w:t>。</w:t>
            </w:r>
          </w:p>
          <w:p w14:paraId="63AA3C7A">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表2.3-1 项目产污环节分析一览表</w:t>
            </w:r>
          </w:p>
          <w:tbl>
            <w:tblPr>
              <w:tblStyle w:val="2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461"/>
              <w:gridCol w:w="531"/>
              <w:gridCol w:w="1021"/>
              <w:gridCol w:w="1298"/>
              <w:gridCol w:w="531"/>
              <w:gridCol w:w="4313"/>
            </w:tblGrid>
            <w:tr w14:paraId="18AFD9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0" w:type="auto"/>
                  <w:tcBorders>
                    <w:tl2br w:val="nil"/>
                    <w:tr2bl w:val="nil"/>
                  </w:tcBorders>
                  <w:vAlign w:val="center"/>
                </w:tcPr>
                <w:p w14:paraId="6A6E412B">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序号</w:t>
                  </w:r>
                </w:p>
              </w:tc>
              <w:tc>
                <w:tcPr>
                  <w:tcW w:w="992" w:type="dxa"/>
                  <w:gridSpan w:val="2"/>
                  <w:tcBorders>
                    <w:tl2br w:val="nil"/>
                    <w:tr2bl w:val="nil"/>
                  </w:tcBorders>
                  <w:vAlign w:val="center"/>
                </w:tcPr>
                <w:p w14:paraId="4BA9559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类别</w:t>
                  </w:r>
                </w:p>
              </w:tc>
              <w:tc>
                <w:tcPr>
                  <w:tcW w:w="1021" w:type="dxa"/>
                  <w:tcBorders>
                    <w:tl2br w:val="nil"/>
                    <w:tr2bl w:val="nil"/>
                  </w:tcBorders>
                  <w:vAlign w:val="center"/>
                </w:tcPr>
                <w:p w14:paraId="3A735B0B">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污染源/污染工段</w:t>
                  </w:r>
                </w:p>
              </w:tc>
              <w:tc>
                <w:tcPr>
                  <w:tcW w:w="0" w:type="auto"/>
                  <w:tcBorders>
                    <w:tl2br w:val="nil"/>
                    <w:tr2bl w:val="nil"/>
                  </w:tcBorders>
                  <w:vAlign w:val="center"/>
                </w:tcPr>
                <w:p w14:paraId="7D5041F5">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主要污染物</w:t>
                  </w:r>
                </w:p>
              </w:tc>
              <w:tc>
                <w:tcPr>
                  <w:tcW w:w="0" w:type="auto"/>
                  <w:tcBorders>
                    <w:tl2br w:val="nil"/>
                    <w:tr2bl w:val="nil"/>
                  </w:tcBorders>
                  <w:vAlign w:val="center"/>
                </w:tcPr>
                <w:p w14:paraId="59FF63C3">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排放周期</w:t>
                  </w:r>
                </w:p>
              </w:tc>
              <w:tc>
                <w:tcPr>
                  <w:tcW w:w="0" w:type="auto"/>
                  <w:tcBorders>
                    <w:tl2br w:val="nil"/>
                    <w:tr2bl w:val="nil"/>
                  </w:tcBorders>
                  <w:vAlign w:val="center"/>
                </w:tcPr>
                <w:p w14:paraId="1798D423">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环保措施</w:t>
                  </w:r>
                </w:p>
              </w:tc>
            </w:tr>
            <w:tr w14:paraId="51713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tcBorders>
                    <w:tl2br w:val="nil"/>
                    <w:tr2bl w:val="nil"/>
                  </w:tcBorders>
                  <w:vAlign w:val="center"/>
                </w:tcPr>
                <w:p w14:paraId="18AFDFB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1</w:t>
                  </w:r>
                </w:p>
              </w:tc>
              <w:tc>
                <w:tcPr>
                  <w:tcW w:w="992" w:type="dxa"/>
                  <w:gridSpan w:val="2"/>
                  <w:vMerge w:val="restart"/>
                  <w:tcBorders>
                    <w:tl2br w:val="nil"/>
                    <w:tr2bl w:val="nil"/>
                  </w:tcBorders>
                  <w:vAlign w:val="center"/>
                </w:tcPr>
                <w:p w14:paraId="76BD9816">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废水</w:t>
                  </w:r>
                </w:p>
              </w:tc>
              <w:tc>
                <w:tcPr>
                  <w:tcW w:w="1021" w:type="dxa"/>
                  <w:tcBorders>
                    <w:tl2br w:val="nil"/>
                    <w:tr2bl w:val="nil"/>
                  </w:tcBorders>
                  <w:vAlign w:val="center"/>
                </w:tcPr>
                <w:p w14:paraId="46DF0A2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冷却工序</w:t>
                  </w:r>
                </w:p>
              </w:tc>
              <w:tc>
                <w:tcPr>
                  <w:tcW w:w="0" w:type="auto"/>
                  <w:tcBorders>
                    <w:tl2br w:val="nil"/>
                    <w:tr2bl w:val="nil"/>
                  </w:tcBorders>
                  <w:vAlign w:val="center"/>
                </w:tcPr>
                <w:p w14:paraId="698C3775">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w:t>
                  </w:r>
                </w:p>
              </w:tc>
              <w:tc>
                <w:tcPr>
                  <w:tcW w:w="0" w:type="auto"/>
                  <w:tcBorders>
                    <w:tl2br w:val="nil"/>
                    <w:tr2bl w:val="nil"/>
                  </w:tcBorders>
                  <w:vAlign w:val="center"/>
                </w:tcPr>
                <w:p w14:paraId="456B455B">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w:t>
                  </w:r>
                </w:p>
              </w:tc>
              <w:tc>
                <w:tcPr>
                  <w:tcW w:w="0" w:type="auto"/>
                  <w:tcBorders>
                    <w:tl2br w:val="nil"/>
                    <w:tr2bl w:val="nil"/>
                  </w:tcBorders>
                  <w:vAlign w:val="center"/>
                </w:tcPr>
                <w:p w14:paraId="4CFF052C">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kern w:val="0"/>
                      <w:sz w:val="21"/>
                      <w:szCs w:val="21"/>
                    </w:rPr>
                    <w:t>冷却水循环使用不外排，定期补充新鲜用水</w:t>
                  </w:r>
                  <w:r>
                    <w:rPr>
                      <w:rFonts w:hint="eastAsia" w:ascii="Times New Roman" w:hAnsi="Times New Roman" w:eastAsia="宋体" w:cs="Times New Roman"/>
                      <w:kern w:val="0"/>
                      <w:sz w:val="21"/>
                      <w:szCs w:val="21"/>
                      <w:lang w:eastAsia="zh-CN"/>
                    </w:rPr>
                    <w:t>。</w:t>
                  </w:r>
                </w:p>
              </w:tc>
            </w:tr>
            <w:tr w14:paraId="5AA45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6BED66C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06B60ECC">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vAlign w:val="center"/>
                </w:tcPr>
                <w:p w14:paraId="7DB23029">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除油前清洗废水</w:t>
                  </w:r>
                </w:p>
              </w:tc>
              <w:tc>
                <w:tcPr>
                  <w:tcW w:w="0" w:type="auto"/>
                  <w:tcBorders>
                    <w:tl2br w:val="nil"/>
                    <w:tr2bl w:val="nil"/>
                  </w:tcBorders>
                  <w:vAlign w:val="center"/>
                </w:tcPr>
                <w:p w14:paraId="7E4E760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rPr>
                    <w:t>SS、COD、石油类</w:t>
                  </w:r>
                </w:p>
              </w:tc>
              <w:tc>
                <w:tcPr>
                  <w:tcW w:w="0" w:type="auto"/>
                  <w:tcBorders>
                    <w:tl2br w:val="nil"/>
                    <w:tr2bl w:val="nil"/>
                  </w:tcBorders>
                  <w:vAlign w:val="center"/>
                </w:tcPr>
                <w:p w14:paraId="33BAFB1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vMerge w:val="restart"/>
                  <w:tcBorders>
                    <w:tl2br w:val="nil"/>
                    <w:tr2bl w:val="nil"/>
                  </w:tcBorders>
                  <w:vAlign w:val="center"/>
                </w:tcPr>
                <w:p w14:paraId="19BE25C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项目生产废水经管道排入自建废水处理站处理，回用于清洗工序，不外排。</w:t>
                  </w:r>
                </w:p>
              </w:tc>
            </w:tr>
            <w:tr w14:paraId="1D3B9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3C570A2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0F5B322A">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vAlign w:val="center"/>
                </w:tcPr>
                <w:p w14:paraId="5670866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除油后清洗废水</w:t>
                  </w:r>
                </w:p>
              </w:tc>
              <w:tc>
                <w:tcPr>
                  <w:tcW w:w="0" w:type="auto"/>
                  <w:tcBorders>
                    <w:tl2br w:val="nil"/>
                    <w:tr2bl w:val="nil"/>
                  </w:tcBorders>
                  <w:vAlign w:val="center"/>
                </w:tcPr>
                <w:p w14:paraId="6D3CE6E9">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rPr>
                    <w:t>pH、SS、COD、石油类</w:t>
                  </w:r>
                </w:p>
              </w:tc>
              <w:tc>
                <w:tcPr>
                  <w:tcW w:w="0" w:type="auto"/>
                  <w:tcBorders>
                    <w:tl2br w:val="nil"/>
                    <w:tr2bl w:val="nil"/>
                  </w:tcBorders>
                  <w:vAlign w:val="center"/>
                </w:tcPr>
                <w:p w14:paraId="049D023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vMerge w:val="continue"/>
                  <w:tcBorders>
                    <w:tl2br w:val="nil"/>
                    <w:tr2bl w:val="nil"/>
                  </w:tcBorders>
                  <w:vAlign w:val="center"/>
                </w:tcPr>
                <w:p w14:paraId="4223B186">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rPr>
                  </w:pPr>
                </w:p>
              </w:tc>
            </w:tr>
            <w:tr w14:paraId="3CC8C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0BAA6DA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7C301D3D">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vAlign w:val="center"/>
                </w:tcPr>
                <w:p w14:paraId="544DA666">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钝化后清洗废水</w:t>
                  </w:r>
                </w:p>
              </w:tc>
              <w:tc>
                <w:tcPr>
                  <w:tcW w:w="0" w:type="auto"/>
                  <w:tcBorders>
                    <w:tl2br w:val="nil"/>
                    <w:tr2bl w:val="nil"/>
                  </w:tcBorders>
                  <w:vAlign w:val="center"/>
                </w:tcPr>
                <w:p w14:paraId="55A64D1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rPr>
                    <w:t>pH、SS、COD、石油类</w:t>
                  </w:r>
                </w:p>
              </w:tc>
              <w:tc>
                <w:tcPr>
                  <w:tcW w:w="0" w:type="auto"/>
                  <w:tcBorders>
                    <w:tl2br w:val="nil"/>
                    <w:tr2bl w:val="nil"/>
                  </w:tcBorders>
                  <w:vAlign w:val="center"/>
                </w:tcPr>
                <w:p w14:paraId="5A7FEF19">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vMerge w:val="continue"/>
                  <w:tcBorders>
                    <w:tl2br w:val="nil"/>
                    <w:tr2bl w:val="nil"/>
                  </w:tcBorders>
                  <w:vAlign w:val="center"/>
                </w:tcPr>
                <w:p w14:paraId="225EE7E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kern w:val="0"/>
                      <w:sz w:val="21"/>
                      <w:szCs w:val="21"/>
                    </w:rPr>
                  </w:pPr>
                </w:p>
              </w:tc>
            </w:tr>
            <w:tr w14:paraId="1807A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26F4844C">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5F60D4CA">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vAlign w:val="center"/>
                </w:tcPr>
                <w:p w14:paraId="42CE7C95">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生活用水</w:t>
                  </w:r>
                </w:p>
              </w:tc>
              <w:tc>
                <w:tcPr>
                  <w:tcW w:w="0" w:type="auto"/>
                  <w:tcBorders>
                    <w:tl2br w:val="nil"/>
                    <w:tr2bl w:val="nil"/>
                  </w:tcBorders>
                  <w:vAlign w:val="center"/>
                </w:tcPr>
                <w:p w14:paraId="781416DC">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Cs/>
                      <w:color w:val="000000"/>
                      <w:sz w:val="21"/>
                      <w:szCs w:val="21"/>
                    </w:rPr>
                    <w:t>pH、COD、BOD</w:t>
                  </w:r>
                  <w:r>
                    <w:rPr>
                      <w:rFonts w:hint="default" w:ascii="Times New Roman" w:hAnsi="Times New Roman" w:eastAsia="宋体" w:cs="Times New Roman"/>
                      <w:bCs/>
                      <w:color w:val="000000"/>
                      <w:sz w:val="21"/>
                      <w:szCs w:val="21"/>
                      <w:vertAlign w:val="subscript"/>
                    </w:rPr>
                    <w:t>5</w:t>
                  </w:r>
                  <w:r>
                    <w:rPr>
                      <w:rFonts w:hint="default" w:ascii="Times New Roman" w:hAnsi="Times New Roman" w:eastAsia="宋体" w:cs="Times New Roman"/>
                      <w:bCs/>
                      <w:color w:val="000000"/>
                      <w:sz w:val="21"/>
                      <w:szCs w:val="21"/>
                    </w:rPr>
                    <w:t>、SS、NH</w:t>
                  </w:r>
                  <w:r>
                    <w:rPr>
                      <w:rFonts w:hint="default" w:ascii="Times New Roman" w:hAnsi="Times New Roman" w:eastAsia="宋体" w:cs="Times New Roman"/>
                      <w:bCs/>
                      <w:color w:val="000000"/>
                      <w:sz w:val="21"/>
                      <w:szCs w:val="21"/>
                      <w:vertAlign w:val="subscript"/>
                    </w:rPr>
                    <w:t>3</w:t>
                  </w:r>
                  <w:r>
                    <w:rPr>
                      <w:rFonts w:hint="default" w:ascii="Times New Roman" w:hAnsi="Times New Roman" w:eastAsia="宋体" w:cs="Times New Roman"/>
                      <w:bCs/>
                      <w:color w:val="000000"/>
                      <w:sz w:val="21"/>
                      <w:szCs w:val="21"/>
                    </w:rPr>
                    <w:t>-N</w:t>
                  </w:r>
                </w:p>
              </w:tc>
              <w:tc>
                <w:tcPr>
                  <w:tcW w:w="0" w:type="auto"/>
                  <w:tcBorders>
                    <w:tl2br w:val="nil"/>
                    <w:tr2bl w:val="nil"/>
                  </w:tcBorders>
                  <w:vAlign w:val="center"/>
                </w:tcPr>
                <w:p w14:paraId="34F01D9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tcBorders>
                    <w:tl2br w:val="nil"/>
                    <w:tr2bl w:val="nil"/>
                  </w:tcBorders>
                  <w:vAlign w:val="center"/>
                </w:tcPr>
                <w:p w14:paraId="70A7CF9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Cs/>
                      <w:color w:val="000000"/>
                      <w:sz w:val="21"/>
                      <w:szCs w:val="21"/>
                    </w:rPr>
                    <w:t>经化</w:t>
                  </w:r>
                  <w:r>
                    <w:rPr>
                      <w:rFonts w:hint="default" w:ascii="Times New Roman" w:hAnsi="Times New Roman" w:eastAsia="宋体" w:cs="Times New Roman"/>
                      <w:bCs/>
                      <w:color w:val="auto"/>
                      <w:sz w:val="21"/>
                      <w:szCs w:val="21"/>
                    </w:rPr>
                    <w:t>粪池预处理后接入市政污水管网排入福清市融元污水处理厂集中处</w:t>
                  </w:r>
                  <w:r>
                    <w:rPr>
                      <w:rFonts w:hint="default" w:ascii="Times New Roman" w:hAnsi="Times New Roman" w:eastAsia="宋体" w:cs="Times New Roman"/>
                      <w:bCs/>
                      <w:color w:val="000000"/>
                      <w:sz w:val="21"/>
                      <w:szCs w:val="21"/>
                    </w:rPr>
                    <w:t>理</w:t>
                  </w:r>
                  <w:r>
                    <w:rPr>
                      <w:rFonts w:hint="eastAsia" w:ascii="Times New Roman" w:hAnsi="Times New Roman" w:eastAsia="宋体" w:cs="Times New Roman"/>
                      <w:bCs/>
                      <w:color w:val="000000"/>
                      <w:sz w:val="21"/>
                      <w:szCs w:val="21"/>
                      <w:lang w:eastAsia="zh-CN"/>
                    </w:rPr>
                    <w:t>。</w:t>
                  </w:r>
                </w:p>
              </w:tc>
            </w:tr>
            <w:tr w14:paraId="77F99A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tcBorders>
                    <w:tl2br w:val="nil"/>
                    <w:tr2bl w:val="nil"/>
                  </w:tcBorders>
                  <w:vAlign w:val="center"/>
                </w:tcPr>
                <w:p w14:paraId="78C5CAB1">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2</w:t>
                  </w:r>
                </w:p>
              </w:tc>
              <w:tc>
                <w:tcPr>
                  <w:tcW w:w="992" w:type="dxa"/>
                  <w:gridSpan w:val="2"/>
                  <w:vMerge w:val="restart"/>
                  <w:tcBorders>
                    <w:tl2br w:val="nil"/>
                    <w:tr2bl w:val="nil"/>
                  </w:tcBorders>
                  <w:vAlign w:val="center"/>
                </w:tcPr>
                <w:p w14:paraId="7AB6109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废气</w:t>
                  </w:r>
                </w:p>
              </w:tc>
              <w:tc>
                <w:tcPr>
                  <w:tcW w:w="1021" w:type="dxa"/>
                  <w:tcBorders>
                    <w:tl2br w:val="nil"/>
                    <w:tr2bl w:val="nil"/>
                  </w:tcBorders>
                  <w:shd w:val="clear" w:color="auto" w:fill="auto"/>
                  <w:vAlign w:val="center"/>
                </w:tcPr>
                <w:p w14:paraId="1B1C3FE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注塑</w:t>
                  </w: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、包胶、烘烤、除油</w:t>
                  </w: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废气</w:t>
                  </w:r>
                </w:p>
              </w:tc>
              <w:tc>
                <w:tcPr>
                  <w:tcW w:w="0" w:type="auto"/>
                  <w:tcBorders>
                    <w:tl2br w:val="nil"/>
                    <w:tr2bl w:val="nil"/>
                  </w:tcBorders>
                  <w:shd w:val="clear" w:color="auto" w:fill="auto"/>
                  <w:vAlign w:val="center"/>
                </w:tcPr>
                <w:p w14:paraId="31C0D91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非甲烷总烃、臭气浓度</w:t>
                  </w:r>
                </w:p>
              </w:tc>
              <w:tc>
                <w:tcPr>
                  <w:tcW w:w="0" w:type="auto"/>
                  <w:tcBorders>
                    <w:tl2br w:val="nil"/>
                    <w:tr2bl w:val="nil"/>
                  </w:tcBorders>
                  <w:shd w:val="clear" w:color="auto" w:fill="auto"/>
                  <w:vAlign w:val="center"/>
                </w:tcPr>
                <w:p w14:paraId="33B9A83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连续</w:t>
                  </w:r>
                </w:p>
              </w:tc>
              <w:tc>
                <w:tcPr>
                  <w:tcW w:w="0" w:type="auto"/>
                  <w:tcBorders>
                    <w:tl2br w:val="nil"/>
                    <w:tr2bl w:val="nil"/>
                  </w:tcBorders>
                  <w:shd w:val="clear" w:color="auto" w:fill="auto"/>
                  <w:vAlign w:val="center"/>
                </w:tcPr>
                <w:p w14:paraId="6500FA2D">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注塑</w:t>
                  </w: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、包胶、烘烤、除油</w:t>
                  </w:r>
                  <w:r>
                    <w:rPr>
                      <w:rFonts w:hint="default" w:ascii="Times New Roman" w:hAnsi="Times New Roman" w:eastAsia="宋体" w:cs="Times New Roman"/>
                      <w:color w:val="auto"/>
                      <w:sz w:val="21"/>
                      <w:szCs w:val="21"/>
                      <w:highlight w:val="none"/>
                      <w:vertAlign w:val="baseline"/>
                      <w:lang w:val="en-US" w:eastAsia="zh-CN"/>
                    </w:rPr>
                    <w:t>废气通过集气罩收集后由一套</w:t>
                  </w:r>
                  <w:r>
                    <w:rPr>
                      <w:rFonts w:hint="eastAsia" w:ascii="Times New Roman" w:hAnsi="Times New Roman" w:eastAsia="宋体" w:cs="Times New Roman"/>
                      <w:color w:val="auto"/>
                      <w:sz w:val="21"/>
                      <w:szCs w:val="21"/>
                      <w:highlight w:val="none"/>
                      <w:vertAlign w:val="baseline"/>
                      <w:lang w:val="en-US" w:eastAsia="zh-CN"/>
                    </w:rPr>
                    <w:t>“二级</w:t>
                  </w:r>
                  <w:r>
                    <w:rPr>
                      <w:rFonts w:hint="default" w:ascii="Times New Roman" w:hAnsi="Times New Roman" w:eastAsia="宋体" w:cs="Times New Roman"/>
                      <w:color w:val="auto"/>
                      <w:sz w:val="21"/>
                      <w:szCs w:val="21"/>
                      <w:highlight w:val="none"/>
                      <w:vertAlign w:val="baseline"/>
                      <w:lang w:val="en-US" w:eastAsia="zh-CN"/>
                    </w:rPr>
                    <w:t>活性炭吸附装置</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（TA001）处理后，通过1根15m高排气筒</w:t>
                  </w:r>
                  <w:r>
                    <w:rPr>
                      <w:rFonts w:hint="eastAsia" w:ascii="Times New Roman" w:hAnsi="Times New Roman" w:eastAsia="宋体" w:cs="Times New Roman"/>
                      <w:color w:val="auto"/>
                      <w:sz w:val="21"/>
                      <w:szCs w:val="21"/>
                      <w:highlight w:val="none"/>
                      <w:vertAlign w:val="baseline"/>
                      <w:lang w:val="en-US" w:eastAsia="zh-CN"/>
                    </w:rPr>
                    <w:t>（D</w:t>
                  </w:r>
                  <w:r>
                    <w:rPr>
                      <w:rFonts w:hint="default" w:ascii="Times New Roman" w:hAnsi="Times New Roman" w:eastAsia="宋体" w:cs="Times New Roman"/>
                      <w:color w:val="auto"/>
                      <w:sz w:val="21"/>
                      <w:szCs w:val="21"/>
                      <w:highlight w:val="none"/>
                      <w:vertAlign w:val="baseline"/>
                      <w:lang w:val="en-US" w:eastAsia="zh-CN"/>
                    </w:rPr>
                    <w:t>A001</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排放</w:t>
                  </w:r>
                  <w:r>
                    <w:rPr>
                      <w:rFonts w:hint="eastAsia" w:ascii="Times New Roman" w:hAnsi="Times New Roman" w:eastAsia="宋体" w:cs="Times New Roman"/>
                      <w:color w:val="auto"/>
                      <w:sz w:val="21"/>
                      <w:szCs w:val="21"/>
                      <w:highlight w:val="none"/>
                      <w:vertAlign w:val="baseline"/>
                      <w:lang w:val="en-US" w:eastAsia="zh-CN"/>
                    </w:rPr>
                    <w:t>。</w:t>
                  </w:r>
                </w:p>
              </w:tc>
            </w:tr>
            <w:tr w14:paraId="73A8C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1F901E4B">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2B2C975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shd w:val="clear" w:color="auto" w:fill="auto"/>
                  <w:vAlign w:val="center"/>
                </w:tcPr>
                <w:p w14:paraId="51D2E9B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喷粉废气</w:t>
                  </w:r>
                </w:p>
              </w:tc>
              <w:tc>
                <w:tcPr>
                  <w:tcW w:w="0" w:type="auto"/>
                  <w:tcBorders>
                    <w:tl2br w:val="nil"/>
                    <w:tr2bl w:val="nil"/>
                  </w:tcBorders>
                  <w:shd w:val="clear" w:color="auto" w:fill="auto"/>
                  <w:vAlign w:val="center"/>
                </w:tcPr>
                <w:p w14:paraId="1921BCB1">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颗粒物</w:t>
                  </w:r>
                </w:p>
              </w:tc>
              <w:tc>
                <w:tcPr>
                  <w:tcW w:w="0" w:type="auto"/>
                  <w:tcBorders>
                    <w:tl2br w:val="nil"/>
                    <w:tr2bl w:val="nil"/>
                  </w:tcBorders>
                  <w:vAlign w:val="center"/>
                </w:tcPr>
                <w:p w14:paraId="041D0B9A">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连续</w:t>
                  </w:r>
                </w:p>
              </w:tc>
              <w:tc>
                <w:tcPr>
                  <w:tcW w:w="0" w:type="auto"/>
                  <w:tcBorders>
                    <w:tl2br w:val="nil"/>
                    <w:tr2bl w:val="nil"/>
                  </w:tcBorders>
                  <w:vAlign w:val="center"/>
                </w:tcPr>
                <w:p w14:paraId="33ED57A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喷粉废气通过负压收集+滤芯回收系统后接入</w:t>
                  </w:r>
                  <w:r>
                    <w:rPr>
                      <w:rFonts w:hint="eastAsia" w:ascii="Times New Roman" w:hAnsi="Times New Roman" w:eastAsia="宋体" w:cs="Times New Roman"/>
                      <w:color w:val="auto"/>
                      <w:sz w:val="21"/>
                      <w:szCs w:val="21"/>
                      <w:highlight w:val="none"/>
                      <w:vertAlign w:val="baseline"/>
                      <w:lang w:val="en-US" w:eastAsia="zh-CN"/>
                    </w:rPr>
                    <w:t>二级</w:t>
                  </w:r>
                  <w:r>
                    <w:rPr>
                      <w:rFonts w:hint="default" w:ascii="Times New Roman" w:hAnsi="Times New Roman" w:eastAsia="宋体" w:cs="Times New Roman"/>
                      <w:color w:val="auto"/>
                      <w:sz w:val="21"/>
                      <w:szCs w:val="21"/>
                      <w:highlight w:val="none"/>
                      <w:vertAlign w:val="baseline"/>
                      <w:lang w:val="en-US" w:eastAsia="zh-CN"/>
                    </w:rPr>
                    <w:t>活性炭吸附装置（TA001）</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通过1根15m高排气筒</w:t>
                  </w:r>
                  <w:r>
                    <w:rPr>
                      <w:rFonts w:hint="eastAsia" w:ascii="Times New Roman" w:hAnsi="Times New Roman" w:eastAsia="宋体" w:cs="Times New Roman"/>
                      <w:color w:val="auto"/>
                      <w:sz w:val="21"/>
                      <w:szCs w:val="21"/>
                      <w:highlight w:val="none"/>
                      <w:vertAlign w:val="baseline"/>
                      <w:lang w:val="en-US" w:eastAsia="zh-CN"/>
                    </w:rPr>
                    <w:t>（D</w:t>
                  </w:r>
                  <w:r>
                    <w:rPr>
                      <w:rFonts w:hint="default" w:ascii="Times New Roman" w:hAnsi="Times New Roman" w:eastAsia="宋体" w:cs="Times New Roman"/>
                      <w:color w:val="auto"/>
                      <w:sz w:val="21"/>
                      <w:szCs w:val="21"/>
                      <w:highlight w:val="none"/>
                      <w:vertAlign w:val="baseline"/>
                      <w:lang w:val="en-US" w:eastAsia="zh-CN"/>
                    </w:rPr>
                    <w:t>A001</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排放</w:t>
                  </w:r>
                  <w:r>
                    <w:rPr>
                      <w:rFonts w:hint="eastAsia" w:ascii="Times New Roman" w:hAnsi="Times New Roman" w:eastAsia="宋体" w:cs="Times New Roman"/>
                      <w:color w:val="auto"/>
                      <w:sz w:val="21"/>
                      <w:szCs w:val="21"/>
                      <w:highlight w:val="none"/>
                      <w:vertAlign w:val="baseline"/>
                      <w:lang w:val="en-US" w:eastAsia="zh-CN"/>
                    </w:rPr>
                    <w:t>。</w:t>
                  </w:r>
                </w:p>
              </w:tc>
            </w:tr>
            <w:tr w14:paraId="12200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4B5078D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992" w:type="dxa"/>
                  <w:gridSpan w:val="2"/>
                  <w:vMerge w:val="continue"/>
                  <w:tcBorders>
                    <w:tl2br w:val="nil"/>
                    <w:tr2bl w:val="nil"/>
                  </w:tcBorders>
                  <w:vAlign w:val="center"/>
                </w:tcPr>
                <w:p w14:paraId="3CBAE780">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1021" w:type="dxa"/>
                  <w:tcBorders>
                    <w:tl2br w:val="nil"/>
                    <w:tr2bl w:val="nil"/>
                  </w:tcBorders>
                  <w:shd w:val="clear" w:color="auto" w:fill="auto"/>
                  <w:vAlign w:val="center"/>
                </w:tcPr>
                <w:p w14:paraId="0C80A67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粉</w:t>
                  </w: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碎废气</w:t>
                  </w:r>
                </w:p>
              </w:tc>
              <w:tc>
                <w:tcPr>
                  <w:tcW w:w="0" w:type="auto"/>
                  <w:tcBorders>
                    <w:tl2br w:val="nil"/>
                    <w:tr2bl w:val="nil"/>
                  </w:tcBorders>
                  <w:shd w:val="clear" w:color="auto" w:fill="auto"/>
                  <w:vAlign w:val="center"/>
                </w:tcPr>
                <w:p w14:paraId="0E1D349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颗粒物</w:t>
                  </w:r>
                </w:p>
              </w:tc>
              <w:tc>
                <w:tcPr>
                  <w:tcW w:w="0" w:type="auto"/>
                  <w:tcBorders>
                    <w:tl2br w:val="nil"/>
                    <w:tr2bl w:val="nil"/>
                  </w:tcBorders>
                  <w:vAlign w:val="center"/>
                </w:tcPr>
                <w:p w14:paraId="5D770502">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间歇</w:t>
                  </w:r>
                </w:p>
              </w:tc>
              <w:tc>
                <w:tcPr>
                  <w:tcW w:w="0" w:type="auto"/>
                  <w:tcBorders>
                    <w:tl2br w:val="nil"/>
                    <w:tr2bl w:val="nil"/>
                  </w:tcBorders>
                  <w:vAlign w:val="center"/>
                </w:tcPr>
                <w:p w14:paraId="2F61C854">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粉</w:t>
                  </w:r>
                  <w:r>
                    <w:rPr>
                      <w:rFonts w:hint="default" w:ascii="Times New Roman" w:hAnsi="Times New Roman" w:eastAsia="宋体" w:cs="Times New Roman"/>
                      <w:color w:val="auto"/>
                      <w:sz w:val="21"/>
                      <w:szCs w:val="21"/>
                      <w:highlight w:val="none"/>
                      <w:vertAlign w:val="baseline"/>
                      <w:lang w:val="en-US" w:eastAsia="zh-CN"/>
                    </w:rPr>
                    <w:t>碎颗粒物通过</w:t>
                  </w:r>
                  <w:r>
                    <w:rPr>
                      <w:rFonts w:hint="eastAsia" w:ascii="Times New Roman" w:hAnsi="Times New Roman" w:eastAsia="宋体" w:cs="Times New Roman"/>
                      <w:color w:val="auto"/>
                      <w:sz w:val="21"/>
                      <w:szCs w:val="21"/>
                      <w:highlight w:val="none"/>
                      <w:vertAlign w:val="baseline"/>
                      <w:lang w:val="en-US" w:eastAsia="zh-CN"/>
                    </w:rPr>
                    <w:t>移动除尘器处理后无组织排放。</w:t>
                  </w:r>
                </w:p>
              </w:tc>
            </w:tr>
            <w:tr w14:paraId="4AFB8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0" w:type="auto"/>
                  <w:vMerge w:val="restart"/>
                  <w:tcBorders>
                    <w:tl2br w:val="nil"/>
                    <w:tr2bl w:val="nil"/>
                  </w:tcBorders>
                  <w:vAlign w:val="center"/>
                </w:tcPr>
                <w:p w14:paraId="26F41A21">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3</w:t>
                  </w:r>
                </w:p>
              </w:tc>
              <w:tc>
                <w:tcPr>
                  <w:tcW w:w="0" w:type="auto"/>
                  <w:vMerge w:val="restart"/>
                  <w:tcBorders>
                    <w:tl2br w:val="nil"/>
                    <w:tr2bl w:val="nil"/>
                  </w:tcBorders>
                  <w:vAlign w:val="center"/>
                </w:tcPr>
                <w:p w14:paraId="05561EA6">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固废</w:t>
                  </w:r>
                </w:p>
              </w:tc>
              <w:tc>
                <w:tcPr>
                  <w:tcW w:w="0" w:type="auto"/>
                  <w:gridSpan w:val="2"/>
                  <w:tcBorders>
                    <w:tl2br w:val="nil"/>
                    <w:tr2bl w:val="nil"/>
                  </w:tcBorders>
                  <w:vAlign w:val="center"/>
                </w:tcPr>
                <w:p w14:paraId="256C022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生活垃圾</w:t>
                  </w:r>
                </w:p>
              </w:tc>
              <w:tc>
                <w:tcPr>
                  <w:tcW w:w="0" w:type="auto"/>
                  <w:tcBorders>
                    <w:tl2br w:val="nil"/>
                    <w:tr2bl w:val="nil"/>
                  </w:tcBorders>
                  <w:shd w:val="clear" w:color="auto" w:fill="auto"/>
                  <w:vAlign w:val="center"/>
                </w:tcPr>
                <w:p w14:paraId="234314F7">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sz w:val="21"/>
                      <w:szCs w:val="21"/>
                    </w:rPr>
                    <w:t>纸屑、塑料袋等</w:t>
                  </w:r>
                </w:p>
              </w:tc>
              <w:tc>
                <w:tcPr>
                  <w:tcW w:w="0" w:type="auto"/>
                  <w:tcBorders>
                    <w:tl2br w:val="nil"/>
                    <w:tr2bl w:val="nil"/>
                  </w:tcBorders>
                  <w:shd w:val="clear" w:color="auto" w:fill="auto"/>
                  <w:vAlign w:val="center"/>
                </w:tcPr>
                <w:p w14:paraId="2E7F017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tcBorders>
                    <w:tl2br w:val="nil"/>
                    <w:tr2bl w:val="nil"/>
                  </w:tcBorders>
                  <w:shd w:val="clear" w:color="auto" w:fill="auto"/>
                  <w:vAlign w:val="center"/>
                </w:tcPr>
                <w:p w14:paraId="200181B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lang w:val="en-GB" w:eastAsia="zh-CN"/>
                    </w:rPr>
                    <w:t>厂区内设置生活垃圾桶，分类收集后委托环卫部门每日清运处置</w:t>
                  </w:r>
                  <w:r>
                    <w:rPr>
                      <w:rFonts w:hint="eastAsia" w:ascii="Times New Roman" w:hAnsi="Times New Roman" w:eastAsia="宋体" w:cs="Times New Roman"/>
                      <w:color w:val="auto"/>
                      <w:sz w:val="21"/>
                      <w:szCs w:val="21"/>
                      <w:lang w:val="en-GB" w:eastAsia="zh-CN"/>
                    </w:rPr>
                    <w:t>。</w:t>
                  </w:r>
                </w:p>
              </w:tc>
            </w:tr>
            <w:tr w14:paraId="0E64D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0" w:type="auto"/>
                  <w:vMerge w:val="continue"/>
                  <w:vAlign w:val="center"/>
                </w:tcPr>
                <w:p w14:paraId="790B7590">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0" w:type="auto"/>
                  <w:vMerge w:val="continue"/>
                  <w:vAlign w:val="center"/>
                </w:tcPr>
                <w:p w14:paraId="030B403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531" w:type="dxa"/>
                  <w:vMerge w:val="restart"/>
                  <w:vAlign w:val="center"/>
                </w:tcPr>
                <w:p w14:paraId="47FBA4E7">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u w:val="none"/>
                      <w:vertAlign w:val="baseline"/>
                      <w:lang w:val="en-US" w:eastAsia="zh-CN" w:bidi="ar-SA"/>
                    </w:rPr>
                    <w:t>一般固废</w:t>
                  </w:r>
                </w:p>
              </w:tc>
              <w:tc>
                <w:tcPr>
                  <w:tcW w:w="1021" w:type="dxa"/>
                  <w:shd w:val="clear" w:color="auto" w:fill="auto"/>
                  <w:vAlign w:val="center"/>
                </w:tcPr>
                <w:p w14:paraId="6006187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产品检验</w:t>
                  </w:r>
                </w:p>
              </w:tc>
              <w:tc>
                <w:tcPr>
                  <w:tcW w:w="0" w:type="auto"/>
                  <w:shd w:val="clear" w:color="auto" w:fill="auto"/>
                  <w:vAlign w:val="center"/>
                </w:tcPr>
                <w:p w14:paraId="50718CF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不合格产品及边角料</w:t>
                  </w:r>
                  <w:r>
                    <w:rPr>
                      <w:rFonts w:hint="eastAsia" w:ascii="Times New Roman" w:hAnsi="Times New Roman" w:eastAsia="宋体" w:cs="Times New Roman"/>
                      <w:color w:val="auto"/>
                      <w:kern w:val="2"/>
                      <w:sz w:val="21"/>
                      <w:szCs w:val="21"/>
                      <w:highlight w:val="none"/>
                      <w:vertAlign w:val="baseline"/>
                      <w:lang w:val="en-US" w:eastAsia="zh-CN" w:bidi="ar-SA"/>
                    </w:rPr>
                    <w:t>（料头）</w:t>
                  </w:r>
                </w:p>
              </w:tc>
              <w:tc>
                <w:tcPr>
                  <w:tcW w:w="0" w:type="auto"/>
                  <w:shd w:val="clear" w:color="auto" w:fill="auto"/>
                  <w:vAlign w:val="center"/>
                </w:tcPr>
                <w:p w14:paraId="2D18BA06">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shd w:val="clear" w:color="auto" w:fill="auto"/>
                  <w:vAlign w:val="center"/>
                </w:tcPr>
                <w:p w14:paraId="128367D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注塑过程所产生的不合格产品及边角料</w:t>
                  </w:r>
                  <w:r>
                    <w:rPr>
                      <w:rFonts w:hint="eastAsia" w:ascii="Times New Roman" w:hAnsi="Times New Roman" w:eastAsia="宋体" w:cs="Times New Roman"/>
                      <w:color w:val="auto"/>
                      <w:kern w:val="2"/>
                      <w:sz w:val="21"/>
                      <w:szCs w:val="21"/>
                      <w:highlight w:val="none"/>
                      <w:vertAlign w:val="baseline"/>
                      <w:lang w:val="en-US" w:eastAsia="zh-CN" w:bidi="ar-SA"/>
                    </w:rPr>
                    <w:t>经粉碎处理后外售其他公司。</w:t>
                  </w:r>
                </w:p>
              </w:tc>
            </w:tr>
            <w:tr w14:paraId="399A8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0" w:type="auto"/>
                  <w:vMerge w:val="continue"/>
                  <w:vAlign w:val="center"/>
                </w:tcPr>
                <w:p w14:paraId="526BC22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1A8E65F6">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6543038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shd w:val="clear" w:color="auto" w:fill="auto"/>
                  <w:vAlign w:val="center"/>
                </w:tcPr>
                <w:p w14:paraId="200C414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生产工序</w:t>
                  </w:r>
                </w:p>
              </w:tc>
              <w:tc>
                <w:tcPr>
                  <w:tcW w:w="0" w:type="auto"/>
                  <w:shd w:val="clear" w:color="auto" w:fill="auto"/>
                  <w:vAlign w:val="center"/>
                </w:tcPr>
                <w:p w14:paraId="441F981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废包装材料</w:t>
                  </w:r>
                </w:p>
              </w:tc>
              <w:tc>
                <w:tcPr>
                  <w:tcW w:w="0" w:type="auto"/>
                  <w:shd w:val="clear" w:color="auto" w:fill="auto"/>
                  <w:vAlign w:val="center"/>
                </w:tcPr>
                <w:p w14:paraId="58FA870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shd w:val="clear" w:color="auto" w:fill="auto"/>
                  <w:vAlign w:val="center"/>
                </w:tcPr>
                <w:p w14:paraId="5E4D039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lang w:val="en-US" w:eastAsia="zh-CN"/>
                    </w:rPr>
                    <w:t>设一般工业固废暂存间，妥善分类收集后出售给回收企业综合利用</w:t>
                  </w:r>
                  <w:r>
                    <w:rPr>
                      <w:rFonts w:hint="eastAsia" w:ascii="Times New Roman" w:hAnsi="Times New Roman" w:eastAsia="宋体" w:cs="Times New Roman"/>
                      <w:color w:val="auto"/>
                      <w:sz w:val="21"/>
                      <w:szCs w:val="21"/>
                      <w:lang w:val="en-US" w:eastAsia="zh-CN"/>
                    </w:rPr>
                    <w:t>。</w:t>
                  </w:r>
                </w:p>
              </w:tc>
            </w:tr>
            <w:tr w14:paraId="7EB46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0" w:type="auto"/>
                  <w:vMerge w:val="continue"/>
                  <w:vAlign w:val="center"/>
                </w:tcPr>
                <w:p w14:paraId="5327AF53">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21F2AE6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344E5B2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shd w:val="clear" w:color="auto" w:fill="auto"/>
                  <w:vAlign w:val="center"/>
                </w:tcPr>
                <w:p w14:paraId="78598E7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废气处理</w:t>
                  </w:r>
                </w:p>
              </w:tc>
              <w:tc>
                <w:tcPr>
                  <w:tcW w:w="0" w:type="auto"/>
                  <w:shd w:val="clear" w:color="auto" w:fill="auto"/>
                  <w:vAlign w:val="center"/>
                </w:tcPr>
                <w:p w14:paraId="5264796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移动</w:t>
                  </w:r>
                  <w:r>
                    <w:rPr>
                      <w:rFonts w:hint="default" w:ascii="Times New Roman" w:hAnsi="Times New Roman" w:eastAsia="宋体" w:cs="Times New Roman"/>
                      <w:color w:val="auto"/>
                      <w:kern w:val="2"/>
                      <w:sz w:val="21"/>
                      <w:szCs w:val="21"/>
                      <w:highlight w:val="none"/>
                      <w:vertAlign w:val="baseline"/>
                      <w:lang w:val="en-US" w:eastAsia="zh-CN" w:bidi="ar-SA"/>
                    </w:rPr>
                    <w:t>除尘器收集的粉尘</w:t>
                  </w:r>
                </w:p>
              </w:tc>
              <w:tc>
                <w:tcPr>
                  <w:tcW w:w="0" w:type="auto"/>
                  <w:shd w:val="clear" w:color="auto" w:fill="auto"/>
                  <w:vAlign w:val="center"/>
                </w:tcPr>
                <w:p w14:paraId="236D844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连续</w:t>
                  </w:r>
                </w:p>
              </w:tc>
              <w:tc>
                <w:tcPr>
                  <w:tcW w:w="0" w:type="auto"/>
                  <w:shd w:val="clear" w:color="auto" w:fill="auto"/>
                  <w:vAlign w:val="center"/>
                </w:tcPr>
                <w:p w14:paraId="356D7AE3">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收集粉尘主要为废塑料颗粒委托环卫部门定期处置</w:t>
                  </w:r>
                  <w:r>
                    <w:rPr>
                      <w:rFonts w:hint="eastAsia" w:ascii="Times New Roman" w:hAnsi="Times New Roman" w:eastAsia="宋体" w:cs="Times New Roman"/>
                      <w:color w:val="auto"/>
                      <w:sz w:val="21"/>
                      <w:szCs w:val="21"/>
                      <w:highlight w:val="none"/>
                      <w:lang w:val="en-US" w:eastAsia="zh-CN"/>
                    </w:rPr>
                    <w:t>。</w:t>
                  </w:r>
                </w:p>
              </w:tc>
            </w:tr>
            <w:tr w14:paraId="730FE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Merge w:val="continue"/>
                  <w:vAlign w:val="center"/>
                </w:tcPr>
                <w:p w14:paraId="1E2D4E33">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0" w:type="auto"/>
                  <w:vMerge w:val="continue"/>
                  <w:vAlign w:val="center"/>
                </w:tcPr>
                <w:p w14:paraId="69254A16">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p>
              </w:tc>
              <w:tc>
                <w:tcPr>
                  <w:tcW w:w="531" w:type="dxa"/>
                  <w:vMerge w:val="restart"/>
                  <w:vAlign w:val="center"/>
                </w:tcPr>
                <w:p w14:paraId="70A72EC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危险废物</w:t>
                  </w:r>
                </w:p>
              </w:tc>
              <w:tc>
                <w:tcPr>
                  <w:tcW w:w="1021" w:type="dxa"/>
                  <w:shd w:val="clear" w:color="auto" w:fill="auto"/>
                  <w:vAlign w:val="center"/>
                </w:tcPr>
                <w:p w14:paraId="254E04F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废气处理</w:t>
                  </w:r>
                </w:p>
              </w:tc>
              <w:tc>
                <w:tcPr>
                  <w:tcW w:w="0" w:type="auto"/>
                  <w:shd w:val="clear" w:color="auto" w:fill="auto"/>
                  <w:vAlign w:val="center"/>
                </w:tcPr>
                <w:p w14:paraId="2EFD17C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废活性炭</w:t>
                  </w:r>
                </w:p>
              </w:tc>
              <w:tc>
                <w:tcPr>
                  <w:tcW w:w="0" w:type="auto"/>
                  <w:shd w:val="clear" w:color="auto" w:fill="auto"/>
                  <w:vAlign w:val="center"/>
                </w:tcPr>
                <w:p w14:paraId="165099C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000000"/>
                      <w:sz w:val="21"/>
                      <w:szCs w:val="21"/>
                      <w:lang w:val="en-US" w:eastAsia="zh-CN"/>
                    </w:rPr>
                    <w:t>间歇</w:t>
                  </w:r>
                </w:p>
              </w:tc>
              <w:tc>
                <w:tcPr>
                  <w:tcW w:w="0" w:type="auto"/>
                  <w:vMerge w:val="restart"/>
                  <w:shd w:val="clear" w:color="auto" w:fill="auto"/>
                  <w:vAlign w:val="center"/>
                </w:tcPr>
                <w:p w14:paraId="2360AC6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按照规范要求设置一间危险废物贮存库，面积约5m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，存放废活性炭</w:t>
                  </w:r>
                  <w:r>
                    <w:rPr>
                      <w:rFonts w:hint="eastAsia" w:ascii="Times New Roman" w:hAnsi="Times New Roman" w:eastAsia="宋体" w:cs="Times New Roman"/>
                      <w:color w:val="auto"/>
                      <w:sz w:val="21"/>
                      <w:szCs w:val="21"/>
                      <w:highlight w:val="none"/>
                      <w:vertAlign w:val="baseline"/>
                      <w:lang w:val="en-US" w:eastAsia="zh-CN"/>
                    </w:rPr>
                    <w:t>、废机油</w:t>
                  </w:r>
                  <w:r>
                    <w:rPr>
                      <w:rFonts w:hint="default" w:ascii="Times New Roman" w:hAnsi="Times New Roman" w:eastAsia="宋体" w:cs="Times New Roman"/>
                      <w:color w:val="auto"/>
                      <w:sz w:val="21"/>
                      <w:szCs w:val="21"/>
                      <w:highlight w:val="none"/>
                      <w:vertAlign w:val="baseline"/>
                      <w:lang w:val="en-US" w:eastAsia="zh-CN"/>
                    </w:rPr>
                    <w:t>等危险废物。贮存间内张贴明显</w:t>
                  </w:r>
                  <w:r>
                    <w:rPr>
                      <w:rFonts w:hint="eastAsia" w:ascii="Times New Roman" w:hAnsi="Times New Roman" w:eastAsia="宋体" w:cs="Times New Roman"/>
                      <w:color w:val="auto"/>
                      <w:sz w:val="21"/>
                      <w:szCs w:val="21"/>
                      <w:highlight w:val="none"/>
                      <w:vertAlign w:val="baseline"/>
                      <w:lang w:val="en-US" w:eastAsia="zh-CN"/>
                    </w:rPr>
                    <w:t>警示标志</w:t>
                  </w:r>
                  <w:r>
                    <w:rPr>
                      <w:rFonts w:hint="default" w:ascii="Times New Roman" w:hAnsi="Times New Roman" w:eastAsia="宋体" w:cs="Times New Roman"/>
                      <w:color w:val="auto"/>
                      <w:sz w:val="21"/>
                      <w:szCs w:val="21"/>
                      <w:highlight w:val="none"/>
                      <w:vertAlign w:val="baseline"/>
                      <w:lang w:val="en-US" w:eastAsia="zh-CN"/>
                    </w:rPr>
                    <w:t>并设置围堰及导流沟，地面刷环氧树脂漆。并与有资质的单位签署危废委托协调</w:t>
                  </w:r>
                  <w:r>
                    <w:rPr>
                      <w:rFonts w:hint="eastAsia" w:ascii="Times New Roman" w:hAnsi="Times New Roman" w:eastAsia="宋体" w:cs="Times New Roman"/>
                      <w:color w:val="auto"/>
                      <w:sz w:val="21"/>
                      <w:szCs w:val="21"/>
                      <w:highlight w:val="none"/>
                      <w:vertAlign w:val="baseline"/>
                      <w:lang w:val="en-US" w:eastAsia="zh-CN"/>
                    </w:rPr>
                    <w:t>。</w:t>
                  </w:r>
                </w:p>
              </w:tc>
            </w:tr>
            <w:tr w14:paraId="653C4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3CD3E75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263F325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2904761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lang w:val="en-US" w:eastAsia="zh-CN"/>
                    </w:rPr>
                  </w:pPr>
                </w:p>
              </w:tc>
              <w:tc>
                <w:tcPr>
                  <w:tcW w:w="1021" w:type="dxa"/>
                  <w:shd w:val="clear" w:color="auto" w:fill="auto"/>
                  <w:vAlign w:val="center"/>
                </w:tcPr>
                <w:p w14:paraId="5764EC5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设备维护</w:t>
                  </w:r>
                </w:p>
              </w:tc>
              <w:tc>
                <w:tcPr>
                  <w:tcW w:w="0" w:type="auto"/>
                  <w:shd w:val="clear" w:color="auto" w:fill="auto"/>
                  <w:vAlign w:val="center"/>
                </w:tcPr>
                <w:p w14:paraId="00357687">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w:t>
                  </w:r>
                  <w:r>
                    <w:rPr>
                      <w:rFonts w:hint="eastAsia" w:ascii="Times New Roman" w:hAnsi="Times New Roman" w:eastAsia="宋体" w:cs="Times New Roman"/>
                      <w:color w:val="auto"/>
                      <w:kern w:val="2"/>
                      <w:sz w:val="21"/>
                      <w:szCs w:val="21"/>
                      <w:highlight w:val="none"/>
                      <w:vertAlign w:val="baseline"/>
                      <w:lang w:val="en-US" w:eastAsia="zh-CN" w:bidi="ar-SA"/>
                    </w:rPr>
                    <w:t>机</w:t>
                  </w:r>
                  <w:r>
                    <w:rPr>
                      <w:rFonts w:hint="default" w:ascii="Times New Roman" w:hAnsi="Times New Roman" w:eastAsia="宋体" w:cs="Times New Roman"/>
                      <w:color w:val="auto"/>
                      <w:kern w:val="2"/>
                      <w:sz w:val="21"/>
                      <w:szCs w:val="21"/>
                      <w:highlight w:val="none"/>
                      <w:vertAlign w:val="baseline"/>
                      <w:lang w:val="en-US" w:eastAsia="zh-CN" w:bidi="ar-SA"/>
                    </w:rPr>
                    <w:t>油</w:t>
                  </w:r>
                </w:p>
              </w:tc>
              <w:tc>
                <w:tcPr>
                  <w:tcW w:w="0" w:type="auto"/>
                  <w:shd w:val="clear" w:color="auto" w:fill="auto"/>
                  <w:vAlign w:val="center"/>
                </w:tcPr>
                <w:p w14:paraId="586EC91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3D14C657">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14C7E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3915D7C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7E0AED6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2480CCA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vMerge w:val="restart"/>
                  <w:shd w:val="clear" w:color="auto" w:fill="auto"/>
                  <w:vAlign w:val="center"/>
                </w:tcPr>
                <w:p w14:paraId="7BDC04B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sz w:val="21"/>
                      <w:szCs w:val="21"/>
                      <w:lang w:val="en-US" w:eastAsia="zh-CN"/>
                    </w:rPr>
                    <w:t>生产工序</w:t>
                  </w:r>
                </w:p>
              </w:tc>
              <w:tc>
                <w:tcPr>
                  <w:tcW w:w="0" w:type="auto"/>
                  <w:shd w:val="clear" w:color="auto" w:fill="auto"/>
                  <w:vAlign w:val="center"/>
                </w:tcPr>
                <w:p w14:paraId="24EDF4D3">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除油废液</w:t>
                  </w:r>
                </w:p>
              </w:tc>
              <w:tc>
                <w:tcPr>
                  <w:tcW w:w="0" w:type="auto"/>
                  <w:shd w:val="clear" w:color="auto" w:fill="auto"/>
                  <w:vAlign w:val="center"/>
                </w:tcPr>
                <w:p w14:paraId="0F5A1C5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02268A8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21214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27F0896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36D23E9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595BD2E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vMerge w:val="continue"/>
                  <w:shd w:val="clear" w:color="auto" w:fill="auto"/>
                  <w:vAlign w:val="center"/>
                </w:tcPr>
                <w:p w14:paraId="4FBA47E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0" w:type="auto"/>
                  <w:shd w:val="clear" w:color="auto" w:fill="auto"/>
                  <w:vAlign w:val="center"/>
                </w:tcPr>
                <w:p w14:paraId="0398B40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钝化废液</w:t>
                  </w:r>
                </w:p>
              </w:tc>
              <w:tc>
                <w:tcPr>
                  <w:tcW w:w="0" w:type="auto"/>
                  <w:shd w:val="clear" w:color="auto" w:fill="auto"/>
                  <w:vAlign w:val="center"/>
                </w:tcPr>
                <w:p w14:paraId="052B8A0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228B030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671F74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5BD97CC6">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75CBDA2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5120C43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vMerge w:val="restart"/>
                  <w:shd w:val="clear" w:color="auto" w:fill="auto"/>
                  <w:vAlign w:val="center"/>
                </w:tcPr>
                <w:p w14:paraId="3FCFBB7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w:t>
                  </w:r>
                  <w:r>
                    <w:rPr>
                      <w:rFonts w:hint="eastAsia" w:ascii="Times New Roman" w:hAnsi="Times New Roman" w:eastAsia="宋体" w:cs="Times New Roman"/>
                      <w:color w:val="auto"/>
                      <w:kern w:val="2"/>
                      <w:sz w:val="21"/>
                      <w:szCs w:val="21"/>
                      <w:highlight w:val="none"/>
                      <w:vertAlign w:val="baseline"/>
                      <w:lang w:val="en-US" w:eastAsia="zh-CN" w:bidi="ar-SA"/>
                    </w:rPr>
                    <w:t>水</w:t>
                  </w:r>
                  <w:r>
                    <w:rPr>
                      <w:rFonts w:hint="default" w:ascii="Times New Roman" w:hAnsi="Times New Roman" w:eastAsia="宋体" w:cs="Times New Roman"/>
                      <w:color w:val="auto"/>
                      <w:kern w:val="2"/>
                      <w:sz w:val="21"/>
                      <w:szCs w:val="21"/>
                      <w:highlight w:val="none"/>
                      <w:vertAlign w:val="baseline"/>
                      <w:lang w:val="en-US" w:eastAsia="zh-CN" w:bidi="ar-SA"/>
                    </w:rPr>
                    <w:t>处理</w:t>
                  </w:r>
                </w:p>
              </w:tc>
              <w:tc>
                <w:tcPr>
                  <w:tcW w:w="0" w:type="auto"/>
                  <w:shd w:val="clear" w:color="auto" w:fill="auto"/>
                  <w:vAlign w:val="center"/>
                </w:tcPr>
                <w:p w14:paraId="19DA371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废水处理污泥</w:t>
                  </w:r>
                </w:p>
              </w:tc>
              <w:tc>
                <w:tcPr>
                  <w:tcW w:w="0" w:type="auto"/>
                  <w:shd w:val="clear" w:color="auto" w:fill="auto"/>
                  <w:vAlign w:val="center"/>
                </w:tcPr>
                <w:p w14:paraId="4FA9F643">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1254CE5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23975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2A8CA2AB">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5D219A5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0D8D861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vMerge w:val="continue"/>
                  <w:shd w:val="clear" w:color="auto" w:fill="auto"/>
                  <w:vAlign w:val="center"/>
                </w:tcPr>
                <w:p w14:paraId="13FC6D6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0" w:type="auto"/>
                  <w:shd w:val="clear" w:color="auto" w:fill="auto"/>
                  <w:vAlign w:val="center"/>
                </w:tcPr>
                <w:p w14:paraId="6F7E153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槽渣</w:t>
                  </w:r>
                </w:p>
              </w:tc>
              <w:tc>
                <w:tcPr>
                  <w:tcW w:w="0" w:type="auto"/>
                  <w:shd w:val="clear" w:color="auto" w:fill="auto"/>
                  <w:vAlign w:val="center"/>
                </w:tcPr>
                <w:p w14:paraId="436145F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7C661C2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36C78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0" w:type="auto"/>
                  <w:vMerge w:val="continue"/>
                  <w:vAlign w:val="center"/>
                </w:tcPr>
                <w:p w14:paraId="3829EB6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0" w:type="auto"/>
                  <w:vMerge w:val="continue"/>
                  <w:vAlign w:val="center"/>
                </w:tcPr>
                <w:p w14:paraId="34240FF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531" w:type="dxa"/>
                  <w:vMerge w:val="continue"/>
                  <w:vAlign w:val="center"/>
                </w:tcPr>
                <w:p w14:paraId="55A927A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sz w:val="21"/>
                      <w:szCs w:val="21"/>
                    </w:rPr>
                  </w:pPr>
                </w:p>
              </w:tc>
              <w:tc>
                <w:tcPr>
                  <w:tcW w:w="1021" w:type="dxa"/>
                  <w:shd w:val="clear" w:color="auto" w:fill="auto"/>
                  <w:vAlign w:val="center"/>
                </w:tcPr>
                <w:p w14:paraId="422E251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废</w:t>
                  </w:r>
                  <w:r>
                    <w:rPr>
                      <w:rFonts w:hint="eastAsia" w:ascii="Times New Roman" w:hAnsi="Times New Roman" w:eastAsia="宋体" w:cs="Times New Roman"/>
                      <w:color w:val="auto"/>
                      <w:kern w:val="2"/>
                      <w:sz w:val="21"/>
                      <w:szCs w:val="21"/>
                      <w:highlight w:val="none"/>
                      <w:vertAlign w:val="baseline"/>
                      <w:lang w:val="en-US" w:eastAsia="zh-CN" w:bidi="ar-SA"/>
                    </w:rPr>
                    <w:t>气</w:t>
                  </w:r>
                  <w:r>
                    <w:rPr>
                      <w:rFonts w:hint="default" w:ascii="Times New Roman" w:hAnsi="Times New Roman" w:eastAsia="宋体" w:cs="Times New Roman"/>
                      <w:color w:val="auto"/>
                      <w:kern w:val="2"/>
                      <w:sz w:val="21"/>
                      <w:szCs w:val="21"/>
                      <w:highlight w:val="none"/>
                      <w:vertAlign w:val="baseline"/>
                      <w:lang w:val="en-US" w:eastAsia="zh-CN" w:bidi="ar-SA"/>
                    </w:rPr>
                    <w:t>处理</w:t>
                  </w:r>
                </w:p>
              </w:tc>
              <w:tc>
                <w:tcPr>
                  <w:tcW w:w="0" w:type="auto"/>
                  <w:shd w:val="clear" w:color="auto" w:fill="auto"/>
                  <w:vAlign w:val="center"/>
                </w:tcPr>
                <w:p w14:paraId="4C056C5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滤筒滤芯</w:t>
                  </w:r>
                </w:p>
              </w:tc>
              <w:tc>
                <w:tcPr>
                  <w:tcW w:w="0" w:type="auto"/>
                  <w:shd w:val="clear" w:color="auto" w:fill="auto"/>
                  <w:vAlign w:val="center"/>
                </w:tcPr>
                <w:p w14:paraId="6BF843A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lang w:val="en-US" w:eastAsia="zh-CN"/>
                    </w:rPr>
                    <w:t>间歇</w:t>
                  </w:r>
                </w:p>
              </w:tc>
              <w:tc>
                <w:tcPr>
                  <w:tcW w:w="0" w:type="auto"/>
                  <w:vMerge w:val="continue"/>
                  <w:shd w:val="clear" w:color="auto" w:fill="auto"/>
                  <w:vAlign w:val="center"/>
                </w:tcPr>
                <w:p w14:paraId="4FEBD2B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r>
            <w:tr w14:paraId="1B305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0" w:type="auto"/>
                  <w:vAlign w:val="center"/>
                </w:tcPr>
                <w:p w14:paraId="2E735281">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4</w:t>
                  </w:r>
                </w:p>
              </w:tc>
              <w:tc>
                <w:tcPr>
                  <w:tcW w:w="992" w:type="dxa"/>
                  <w:gridSpan w:val="2"/>
                  <w:vAlign w:val="center"/>
                </w:tcPr>
                <w:p w14:paraId="3F449327">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b w:val="0"/>
                      <w:bCs w:val="0"/>
                      <w:color w:val="auto"/>
                      <w:kern w:val="0"/>
                      <w:sz w:val="21"/>
                      <w:szCs w:val="21"/>
                      <w:highlight w:val="none"/>
                      <w:u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u w:val="none"/>
                      <w:vertAlign w:val="baseline"/>
                      <w:lang w:val="en-US" w:eastAsia="zh-CN" w:bidi="ar-SA"/>
                    </w:rPr>
                    <w:t>噪声</w:t>
                  </w:r>
                </w:p>
              </w:tc>
              <w:tc>
                <w:tcPr>
                  <w:tcW w:w="1021" w:type="dxa"/>
                  <w:shd w:val="clear" w:color="auto" w:fill="auto"/>
                  <w:vAlign w:val="center"/>
                </w:tcPr>
                <w:p w14:paraId="6033EC0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生产设备</w:t>
                  </w:r>
                </w:p>
              </w:tc>
              <w:tc>
                <w:tcPr>
                  <w:tcW w:w="0" w:type="auto"/>
                  <w:shd w:val="clear" w:color="auto" w:fill="auto"/>
                  <w:vAlign w:val="center"/>
                </w:tcPr>
                <w:p w14:paraId="2FADB53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Leq</w:t>
                  </w:r>
                </w:p>
              </w:tc>
              <w:tc>
                <w:tcPr>
                  <w:tcW w:w="0" w:type="auto"/>
                  <w:shd w:val="clear" w:color="auto" w:fill="auto"/>
                  <w:vAlign w:val="center"/>
                </w:tcPr>
                <w:p w14:paraId="6949FF0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连续</w:t>
                  </w:r>
                </w:p>
              </w:tc>
              <w:tc>
                <w:tcPr>
                  <w:tcW w:w="0" w:type="auto"/>
                  <w:shd w:val="clear" w:color="auto" w:fill="auto"/>
                  <w:vAlign w:val="center"/>
                </w:tcPr>
                <w:p w14:paraId="7C8FDDA7">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u w:val="none"/>
                      <w:lang w:val="en-US" w:eastAsia="zh-CN"/>
                    </w:rPr>
                    <w:t>厂房隔声、设备基础减振等综合降噪措施</w:t>
                  </w:r>
                </w:p>
              </w:tc>
            </w:tr>
          </w:tbl>
          <w:p w14:paraId="71AD56AB">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pacing w:before="0" w:beforeAutospacing="0" w:after="0" w:afterAutospacing="0" w:line="360" w:lineRule="auto"/>
              <w:ind w:right="0"/>
              <w:textAlignment w:val="auto"/>
              <w:rPr>
                <w:rFonts w:hint="default" w:ascii="Times New Roman" w:hAnsi="Times New Roman" w:eastAsia="宋体" w:cs="Times New Roman"/>
                <w:b w:val="0"/>
                <w:bCs w:val="0"/>
                <w:color w:val="auto"/>
                <w:kern w:val="0"/>
                <w:sz w:val="24"/>
                <w:szCs w:val="24"/>
                <w:highlight w:val="none"/>
                <w:u w:val="none"/>
                <w:lang w:val="en-US" w:eastAsia="zh-CN" w:bidi="ar-SA"/>
              </w:rPr>
            </w:pPr>
          </w:p>
        </w:tc>
      </w:tr>
      <w:tr w14:paraId="19E39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1" w:hRule="atLeast"/>
        </w:trPr>
        <w:tc>
          <w:tcPr>
            <w:tcW w:w="244" w:type="pct"/>
            <w:vAlign w:val="center"/>
          </w:tcPr>
          <w:p w14:paraId="6F27D1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4"/>
                <w:szCs w:val="24"/>
                <w:vertAlign w:val="baseline"/>
                <w:lang w:eastAsia="zh-CN"/>
              </w:rPr>
            </w:pPr>
            <w:r>
              <w:rPr>
                <w:rFonts w:ascii="Times New Roman" w:hAnsi="Times New Roman"/>
                <w:bCs/>
                <w:kern w:val="2"/>
                <w:sz w:val="24"/>
                <w:szCs w:val="24"/>
              </w:rPr>
              <w:t>与项目有关的原有环境污染问题</w:t>
            </w:r>
          </w:p>
        </w:tc>
        <w:tc>
          <w:tcPr>
            <w:tcW w:w="4755" w:type="pct"/>
            <w:vAlign w:val="center"/>
          </w:tcPr>
          <w:p w14:paraId="446127A9">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pacing w:before="0" w:beforeAutospacing="0" w:after="0" w:afterAutospacing="0" w:line="360" w:lineRule="auto"/>
              <w:ind w:left="0" w:right="0" w:firstLine="420"/>
              <w:textAlignment w:val="auto"/>
              <w:rPr>
                <w:rFonts w:hint="default" w:ascii="Times New Roman" w:hAnsi="Times New Roman" w:cs="Times New Roman"/>
                <w:b w:val="0"/>
                <w:bCs w:val="0"/>
                <w:sz w:val="24"/>
                <w:szCs w:val="24"/>
                <w:vertAlign w:val="baseline"/>
                <w:lang w:eastAsia="zh-CN"/>
              </w:rPr>
            </w:pPr>
            <w:r>
              <w:rPr>
                <w:rFonts w:hint="eastAsia" w:ascii="Times New Roman" w:hAnsi="Times New Roman" w:eastAsia="宋体" w:cs="Times New Roman"/>
                <w:b w:val="0"/>
                <w:bCs w:val="0"/>
                <w:color w:val="auto"/>
                <w:kern w:val="0"/>
                <w:sz w:val="24"/>
                <w:szCs w:val="24"/>
                <w:highlight w:val="none"/>
                <w:u w:val="none"/>
                <w:lang w:val="en-US" w:eastAsia="zh-CN" w:bidi="ar-SA"/>
              </w:rPr>
              <w:t>新建项目，购置已建厂房进行生产，不涉及项目有关的原有环境污染问题</w:t>
            </w:r>
          </w:p>
        </w:tc>
      </w:tr>
    </w:tbl>
    <w:p w14:paraId="41EC79EB">
      <w:pPr>
        <w:rPr>
          <w:rFonts w:hint="default" w:ascii="Times New Roman" w:hAnsi="Times New Roman" w:eastAsia="黑体" w:cs="Times New Roman"/>
          <w:snapToGrid w:val="0"/>
          <w:color w:val="auto"/>
          <w:sz w:val="30"/>
          <w:szCs w:val="30"/>
          <w:u w:val="none"/>
        </w:rPr>
      </w:pPr>
      <w:bookmarkStart w:id="38" w:name="_Toc7756"/>
      <w:r>
        <w:rPr>
          <w:rFonts w:hint="default" w:ascii="Times New Roman" w:hAnsi="Times New Roman" w:eastAsia="黑体" w:cs="Times New Roman"/>
          <w:snapToGrid w:val="0"/>
          <w:color w:val="auto"/>
          <w:sz w:val="30"/>
          <w:szCs w:val="30"/>
          <w:u w:val="none"/>
        </w:rPr>
        <w:br w:type="page"/>
      </w:r>
    </w:p>
    <w:p w14:paraId="7087889C">
      <w:pPr>
        <w:pStyle w:val="2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u w:val="none"/>
          <w:lang w:val="en-US" w:eastAsia="zh-CN"/>
        </w:rPr>
      </w:pPr>
      <w:bookmarkStart w:id="39" w:name="_Toc440"/>
      <w:r>
        <w:rPr>
          <w:rFonts w:hint="default" w:ascii="Times New Roman" w:hAnsi="Times New Roman" w:eastAsia="黑体" w:cs="Times New Roman"/>
          <w:snapToGrid w:val="0"/>
          <w:color w:val="auto"/>
          <w:sz w:val="30"/>
          <w:szCs w:val="30"/>
          <w:u w:val="none"/>
          <w:lang w:val="en-US" w:eastAsia="zh-CN"/>
        </w:rPr>
        <w:t>三、区域环境质量现状、环境保护目标及评价标准</w:t>
      </w:r>
      <w:bookmarkEnd w:id="38"/>
      <w:bookmarkEnd w:id="39"/>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8836"/>
      </w:tblGrid>
      <w:tr w14:paraId="5DD29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7" w:hRule="atLeast"/>
        </w:trPr>
        <w:tc>
          <w:tcPr>
            <w:tcW w:w="456" w:type="dxa"/>
            <w:vAlign w:val="center"/>
          </w:tcPr>
          <w:p w14:paraId="48F4A812">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kern w:val="2"/>
                <w:sz w:val="24"/>
                <w:szCs w:val="24"/>
              </w:rPr>
            </w:pPr>
            <w:r>
              <w:rPr>
                <w:rFonts w:ascii="Times New Roman" w:hAnsi="Times New Roman" w:eastAsia="宋体" w:cs="Times New Roman"/>
                <w:bCs/>
                <w:kern w:val="2"/>
                <w:sz w:val="24"/>
                <w:szCs w:val="24"/>
              </w:rPr>
              <w:t>区域</w:t>
            </w:r>
          </w:p>
          <w:p w14:paraId="0CAC3107">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kern w:val="2"/>
                <w:sz w:val="24"/>
                <w:szCs w:val="24"/>
              </w:rPr>
            </w:pPr>
            <w:r>
              <w:rPr>
                <w:rFonts w:ascii="Times New Roman" w:hAnsi="Times New Roman" w:eastAsia="宋体" w:cs="Times New Roman"/>
                <w:bCs/>
                <w:kern w:val="2"/>
                <w:sz w:val="24"/>
                <w:szCs w:val="24"/>
              </w:rPr>
              <w:t>环境</w:t>
            </w:r>
          </w:p>
          <w:p w14:paraId="063A3277">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kern w:val="2"/>
                <w:sz w:val="24"/>
                <w:szCs w:val="24"/>
              </w:rPr>
            </w:pPr>
            <w:r>
              <w:rPr>
                <w:rFonts w:ascii="Times New Roman" w:hAnsi="Times New Roman" w:eastAsia="宋体" w:cs="Times New Roman"/>
                <w:bCs/>
                <w:kern w:val="2"/>
                <w:sz w:val="24"/>
                <w:szCs w:val="24"/>
              </w:rPr>
              <w:t>质量</w:t>
            </w:r>
          </w:p>
          <w:p w14:paraId="5C0F66BD">
            <w:pPr>
              <w:keepNext w:val="0"/>
              <w:keepLines w:val="0"/>
              <w:pageBreakBefore w:val="0"/>
              <w:widowControl w:val="0"/>
              <w:kinsoku/>
              <w:wordWrap/>
              <w:overflowPunct/>
              <w:topLinePunct w:val="0"/>
              <w:autoSpaceDE/>
              <w:autoSpaceDN/>
              <w:bidi w:val="0"/>
              <w:adjustRightInd/>
              <w:snapToGrid/>
              <w:jc w:val="center"/>
              <w:textAlignment w:val="auto"/>
              <w:rPr>
                <w:rFonts w:hint="eastAsia"/>
                <w:vertAlign w:val="baseline"/>
                <w:lang w:eastAsia="zh-CN"/>
              </w:rPr>
            </w:pPr>
            <w:r>
              <w:rPr>
                <w:rFonts w:ascii="Times New Roman" w:hAnsi="Times New Roman" w:eastAsia="宋体" w:cs="Times New Roman"/>
                <w:bCs/>
                <w:kern w:val="2"/>
                <w:sz w:val="24"/>
                <w:szCs w:val="24"/>
              </w:rPr>
              <w:t>现状</w:t>
            </w:r>
          </w:p>
        </w:tc>
        <w:tc>
          <w:tcPr>
            <w:tcW w:w="8749" w:type="dxa"/>
          </w:tcPr>
          <w:p w14:paraId="1CE73503">
            <w:pPr>
              <w:keepNext/>
              <w:keepLines/>
              <w:widowControl w:val="0"/>
              <w:numPr>
                <w:ilvl w:val="0"/>
                <w:numId w:val="0"/>
              </w:numPr>
              <w:tabs>
                <w:tab w:val="left" w:pos="420"/>
              </w:tabs>
              <w:bidi w:val="0"/>
              <w:spacing w:before="120" w:after="120" w:line="360" w:lineRule="auto"/>
              <w:ind w:leftChars="0"/>
              <w:jc w:val="both"/>
              <w:outlineLvl w:val="1"/>
              <w:rPr>
                <w:rFonts w:ascii="Times New Roman" w:hAnsi="Times New Roman" w:eastAsia="宋体" w:cs="Times New Roman"/>
                <w:b/>
                <w:bCs/>
                <w:color w:val="auto"/>
                <w:kern w:val="2"/>
                <w:sz w:val="28"/>
                <w:szCs w:val="32"/>
                <w:highlight w:val="none"/>
                <w:lang w:val="en-US" w:eastAsia="zh-CN" w:bidi="ar-SA"/>
              </w:rPr>
            </w:pPr>
            <w:bookmarkStart w:id="40" w:name="_Toc12042"/>
            <w:bookmarkStart w:id="41" w:name="_Toc26710"/>
            <w:r>
              <w:rPr>
                <w:rFonts w:hint="eastAsia" w:ascii="Times New Roman" w:hAnsi="Times New Roman" w:eastAsia="宋体" w:cs="Times New Roman"/>
                <w:b/>
                <w:bCs/>
                <w:color w:val="auto"/>
                <w:kern w:val="2"/>
                <w:sz w:val="28"/>
                <w:szCs w:val="32"/>
                <w:highlight w:val="none"/>
                <w:lang w:val="en-US" w:eastAsia="zh-CN" w:bidi="ar-SA"/>
              </w:rPr>
              <w:t>3.1区域环境质量现状</w:t>
            </w:r>
            <w:bookmarkEnd w:id="40"/>
          </w:p>
          <w:p w14:paraId="6DC6F1AD">
            <w:pPr>
              <w:keepNext/>
              <w:keepLines/>
              <w:widowControl w:val="0"/>
              <w:numPr>
                <w:ilvl w:val="2"/>
                <w:numId w:val="0"/>
              </w:numPr>
              <w:tabs>
                <w:tab w:val="left" w:pos="0"/>
                <w:tab w:val="left" w:pos="420"/>
              </w:tabs>
              <w:bidi w:val="0"/>
              <w:spacing w:before="120" w:after="120" w:line="360" w:lineRule="auto"/>
              <w:ind w:left="720" w:leftChars="0" w:hanging="720" w:firstLineChars="0"/>
              <w:jc w:val="both"/>
              <w:outlineLvl w:val="2"/>
              <w:rPr>
                <w:rFonts w:hint="eastAsia" w:ascii="Times New Roman" w:hAnsi="Times New Roman" w:eastAsia="宋体" w:cs="Times New Roman"/>
                <w:b/>
                <w:bCs/>
                <w:color w:val="auto"/>
                <w:kern w:val="2"/>
                <w:sz w:val="24"/>
                <w:szCs w:val="32"/>
                <w:highlight w:val="none"/>
                <w:lang w:val="en-US" w:eastAsia="zh-CN" w:bidi="ar-SA"/>
              </w:rPr>
            </w:pPr>
            <w:r>
              <w:rPr>
                <w:rFonts w:hint="eastAsia" w:ascii="Times New Roman" w:hAnsi="Times New Roman" w:eastAsia="宋体" w:cs="Times New Roman"/>
                <w:b/>
                <w:bCs/>
                <w:color w:val="auto"/>
                <w:kern w:val="2"/>
                <w:sz w:val="24"/>
                <w:szCs w:val="28"/>
                <w:lang w:val="en-US" w:eastAsia="zh-CN" w:bidi="ar-SA"/>
              </w:rPr>
              <w:t>3</w:t>
            </w:r>
            <w:r>
              <w:rPr>
                <w:rFonts w:hint="default" w:ascii="Times New Roman" w:hAnsi="Times New Roman" w:eastAsia="宋体" w:cs="Times New Roman"/>
                <w:b/>
                <w:bCs/>
                <w:color w:val="auto"/>
                <w:kern w:val="2"/>
                <w:sz w:val="24"/>
                <w:szCs w:val="28"/>
                <w:lang w:val="en-US" w:eastAsia="zh-CN" w:bidi="ar-SA"/>
              </w:rPr>
              <w:t>.1.1</w:t>
            </w:r>
            <w:r>
              <w:rPr>
                <w:rFonts w:hint="eastAsia" w:ascii="Times New Roman" w:hAnsi="Times New Roman" w:eastAsia="宋体" w:cs="Times New Roman"/>
                <w:b/>
                <w:bCs/>
                <w:color w:val="auto"/>
                <w:kern w:val="2"/>
                <w:sz w:val="24"/>
                <w:szCs w:val="32"/>
                <w:highlight w:val="none"/>
                <w:lang w:val="en-US" w:eastAsia="zh-CN" w:bidi="ar-SA"/>
              </w:rPr>
              <w:t>地表水环境质量现状</w:t>
            </w:r>
          </w:p>
          <w:p w14:paraId="6661A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1</w:t>
            </w:r>
            <w:r>
              <w:rPr>
                <w:rFonts w:hint="eastAsia" w:ascii="Times New Roman" w:hAnsi="Times New Roman" w:eastAsia="宋体" w:cs="Times New Roman"/>
                <w:color w:val="auto"/>
                <w:kern w:val="2"/>
                <w:sz w:val="24"/>
                <w:szCs w:val="20"/>
                <w:highlight w:val="none"/>
                <w:lang w:val="en-US" w:eastAsia="zh-CN" w:bidi="ar-SA"/>
              </w:rPr>
              <w:t>）地表水功能区划</w:t>
            </w:r>
          </w:p>
          <w:p w14:paraId="750C7C98">
            <w:pPr>
              <w:pStyle w:val="33"/>
              <w:spacing w:before="1" w:line="432" w:lineRule="auto"/>
              <w:ind w:left="89" w:right="83" w:firstLine="479"/>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sz w:val="24"/>
                <w:szCs w:val="24"/>
                <w:highlight w:val="none"/>
              </w:rPr>
              <w:t>本项目</w:t>
            </w:r>
            <w:r>
              <w:rPr>
                <w:rFonts w:hint="eastAsia" w:cs="Times New Roman"/>
                <w:color w:val="auto"/>
                <w:sz w:val="24"/>
                <w:szCs w:val="24"/>
                <w:highlight w:val="none"/>
                <w:lang w:eastAsia="zh-CN"/>
              </w:rPr>
              <w:t>生产过程中间接冷却水，</w:t>
            </w:r>
            <w:r>
              <w:rPr>
                <w:rFonts w:hint="eastAsia" w:cs="Times New Roman"/>
                <w:color w:val="auto"/>
                <w:sz w:val="24"/>
                <w:szCs w:val="24"/>
                <w:highlight w:val="none"/>
                <w:lang w:val="en-US" w:eastAsia="zh-CN"/>
              </w:rPr>
              <w:t>循环使用</w:t>
            </w:r>
            <w:r>
              <w:rPr>
                <w:rFonts w:hint="eastAsia" w:cs="Times New Roman"/>
                <w:color w:val="auto"/>
                <w:sz w:val="24"/>
                <w:szCs w:val="24"/>
                <w:highlight w:val="none"/>
                <w:lang w:eastAsia="zh-CN"/>
              </w:rPr>
              <w:t>不外排</w:t>
            </w:r>
            <w:r>
              <w:rPr>
                <w:rFonts w:hint="eastAsia"/>
                <w:lang w:val="en-US" w:eastAsia="zh-CN"/>
              </w:rPr>
              <w:t>，</w:t>
            </w:r>
            <w:r>
              <w:rPr>
                <w:spacing w:val="-3"/>
              </w:rPr>
              <w:t>项目生产废水</w:t>
            </w:r>
            <w:r>
              <w:rPr>
                <w:rFonts w:hint="eastAsia"/>
                <w:spacing w:val="-3"/>
                <w:lang w:eastAsia="zh-CN"/>
              </w:rPr>
              <w:t>（</w:t>
            </w:r>
            <w:r>
              <w:rPr>
                <w:rFonts w:hint="eastAsia"/>
                <w:spacing w:val="-3"/>
                <w:lang w:val="en-US" w:eastAsia="zh-CN"/>
              </w:rPr>
              <w:t>除油前清洗水、除油后清洗水、钝化后清洗水）</w:t>
            </w:r>
            <w:r>
              <w:rPr>
                <w:spacing w:val="-3"/>
              </w:rPr>
              <w:t>经管道排入自建废水处理站处理，回用于</w:t>
            </w:r>
            <w:r>
              <w:rPr>
                <w:spacing w:val="-4"/>
              </w:rPr>
              <w:t>清洗工序，不</w:t>
            </w:r>
            <w:r>
              <w:rPr>
                <w:spacing w:val="-5"/>
              </w:rPr>
              <w:t>外排</w:t>
            </w:r>
            <w:r>
              <w:rPr>
                <w:rFonts w:hint="eastAsia"/>
                <w:spacing w:val="-5"/>
                <w:lang w:eastAsia="zh-CN"/>
              </w:rPr>
              <w:t>；</w:t>
            </w:r>
            <w:r>
              <w:rPr>
                <w:rFonts w:hint="default" w:ascii="Times New Roman" w:hAnsi="Times New Roman" w:eastAsia="宋体" w:cs="Times New Roman"/>
                <w:color w:val="auto"/>
                <w:sz w:val="24"/>
                <w:szCs w:val="24"/>
                <w:highlight w:val="none"/>
                <w:lang w:eastAsia="zh-CN"/>
              </w:rPr>
              <w:t>生活</w:t>
            </w:r>
            <w:r>
              <w:rPr>
                <w:rFonts w:hint="eastAsia" w:cs="Times New Roman"/>
                <w:color w:val="auto"/>
                <w:sz w:val="24"/>
                <w:szCs w:val="24"/>
                <w:highlight w:val="none"/>
                <w:lang w:eastAsia="zh-CN"/>
              </w:rPr>
              <w:t>污水经化粪池</w:t>
            </w:r>
            <w:r>
              <w:rPr>
                <w:rFonts w:hint="default" w:ascii="Times New Roman" w:hAnsi="Times New Roman" w:eastAsia="宋体" w:cs="Times New Roman"/>
                <w:color w:val="auto"/>
                <w:sz w:val="24"/>
                <w:szCs w:val="24"/>
                <w:highlight w:val="none"/>
                <w:lang w:eastAsia="zh-CN"/>
              </w:rPr>
              <w:t>处理后排入市政污水管网，送往</w:t>
            </w:r>
            <w:r>
              <w:rPr>
                <w:rFonts w:hint="default" w:ascii="Times New Roman" w:hAnsi="Times New Roman" w:eastAsia="宋体" w:cs="Times New Roman"/>
                <w:color w:val="auto"/>
                <w:sz w:val="24"/>
                <w:szCs w:val="22"/>
                <w:highlight w:val="none"/>
                <w:lang w:eastAsia="zh-CN"/>
              </w:rPr>
              <w:t>福清市融元污水处理厂</w:t>
            </w:r>
            <w:r>
              <w:rPr>
                <w:rFonts w:hint="default" w:ascii="Times New Roman" w:hAnsi="Times New Roman" w:eastAsia="宋体" w:cs="Times New Roman"/>
                <w:color w:val="auto"/>
                <w:sz w:val="24"/>
                <w:szCs w:val="22"/>
                <w:highlight w:val="none"/>
              </w:rPr>
              <w:t>进行处理</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highlight w:val="none"/>
              </w:rPr>
              <w:t>尾水排入龙江，所处龙江</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南门桥水闸至龙江入海口</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断面；根据福州市水功能区划批复（榕政综</w:t>
            </w:r>
            <w:r>
              <w:rPr>
                <w:rFonts w:hint="default" w:ascii="Times New Roman" w:hAnsi="Times New Roman" w:cs="Times New Roman"/>
                <w:color w:val="auto"/>
                <w:sz w:val="24"/>
                <w:highlight w:val="none"/>
                <w:lang w:eastAsia="zh-CN"/>
              </w:rPr>
              <w:t>〔2019〕316号</w:t>
            </w:r>
            <w:r>
              <w:rPr>
                <w:rFonts w:hint="default" w:ascii="Times New Roman" w:hAnsi="Times New Roman" w:cs="Times New Roman"/>
                <w:color w:val="auto"/>
                <w:sz w:val="24"/>
                <w:highlight w:val="none"/>
              </w:rPr>
              <w:t>）批准的《福州市水功能区划》，该断面水体主要功能为农业、工业、景观用水，环境功能类别为Ⅴ类，水质执行《地表水环境质量标准》</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GB3838-2002</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中Ⅴ类水质标准</w:t>
            </w:r>
            <w:r>
              <w:rPr>
                <w:rFonts w:hint="default" w:ascii="Times New Roman" w:hAnsi="Times New Roman" w:cs="Times New Roman"/>
                <w:color w:val="auto"/>
                <w:sz w:val="24"/>
                <w:highlight w:val="none"/>
                <w:lang w:eastAsia="zh-CN"/>
              </w:rPr>
              <w:t>，</w:t>
            </w:r>
            <w:r>
              <w:rPr>
                <w:rFonts w:hint="eastAsia" w:ascii="Times New Roman" w:hAnsi="Times New Roman" w:eastAsia="宋体" w:cs="Times New Roman"/>
                <w:color w:val="auto"/>
                <w:kern w:val="2"/>
                <w:sz w:val="24"/>
                <w:szCs w:val="20"/>
                <w:highlight w:val="none"/>
                <w:lang w:val="en-US" w:eastAsia="zh-CN" w:bidi="ar-SA"/>
              </w:rPr>
              <w:t>具体详见表3.1-1。</w:t>
            </w:r>
          </w:p>
          <w:p w14:paraId="78C5DA56">
            <w:pPr>
              <w:keepNext/>
              <w:keepLines/>
              <w:pageBreakBefore w:val="0"/>
              <w:widowControl w:val="0"/>
              <w:numPr>
                <w:ilvl w:val="7"/>
                <w:numId w:val="0"/>
              </w:numPr>
              <w:tabs>
                <w:tab w:val="left" w:pos="0"/>
                <w:tab w:val="left" w:pos="420"/>
              </w:tabs>
              <w:kinsoku/>
              <w:wordWrap/>
              <w:overflowPunct/>
              <w:topLinePunct w:val="0"/>
              <w:autoSpaceDE/>
              <w:autoSpaceDN/>
              <w:bidi w:val="0"/>
              <w:adjustRightInd/>
              <w:snapToGrid/>
              <w:spacing w:before="0" w:after="0" w:line="240" w:lineRule="auto"/>
              <w:ind w:left="630" w:leftChars="0" w:firstLine="0" w:firstLineChars="0"/>
              <w:jc w:val="center"/>
              <w:textAlignment w:val="auto"/>
              <w:rPr>
                <w:rFonts w:hint="eastAsia" w:ascii="Times New Roman" w:hAnsi="Times New Roman" w:eastAsia="宋体" w:cs="Times New Roman"/>
                <w:b/>
                <w:bCs/>
                <w:color w:val="auto"/>
                <w:kern w:val="2"/>
                <w:sz w:val="24"/>
                <w:szCs w:val="21"/>
                <w:highlight w:val="none"/>
                <w:lang w:val="en-US" w:eastAsia="zh-CN" w:bidi="ar-SA"/>
              </w:rPr>
            </w:pPr>
            <w:bookmarkStart w:id="42" w:name="_Ref6142"/>
            <w:r>
              <w:rPr>
                <w:rFonts w:hint="eastAsia" w:ascii="Times New Roman" w:hAnsi="Times New Roman" w:eastAsia="宋体" w:cs="宋体"/>
                <w:b/>
                <w:bCs/>
                <w:color w:val="auto"/>
                <w:kern w:val="2"/>
                <w:sz w:val="24"/>
                <w:szCs w:val="21"/>
                <w:lang w:val="en-US" w:eastAsia="zh-CN" w:bidi="ar-SA"/>
              </w:rPr>
              <w:t>表3.1-1</w:t>
            </w:r>
            <w:r>
              <w:rPr>
                <w:rFonts w:hint="eastAsia" w:ascii="Times New Roman" w:hAnsi="Times New Roman" w:eastAsia="宋体" w:cs="Times New Roman"/>
                <w:b/>
                <w:bCs/>
                <w:color w:val="auto"/>
                <w:kern w:val="2"/>
                <w:sz w:val="24"/>
                <w:szCs w:val="21"/>
                <w:highlight w:val="none"/>
                <w:lang w:val="en-US" w:eastAsia="zh-CN" w:bidi="ar-SA"/>
              </w:rPr>
              <w:t xml:space="preserve"> </w:t>
            </w:r>
            <w:bookmarkEnd w:id="42"/>
            <w:r>
              <w:rPr>
                <w:rFonts w:hint="eastAsia" w:ascii="Times New Roman" w:hAnsi="Times New Roman" w:eastAsia="宋体" w:cs="Times New Roman"/>
                <w:b/>
                <w:bCs/>
                <w:color w:val="auto"/>
                <w:kern w:val="2"/>
                <w:sz w:val="24"/>
                <w:szCs w:val="21"/>
                <w:highlight w:val="none"/>
                <w:lang w:val="en-US" w:eastAsia="zh-CN" w:bidi="ar-SA"/>
              </w:rPr>
              <w:t>地表水环境质量标准（摘录） 单位：mg/L（除pH外）</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39"/>
              <w:gridCol w:w="2899"/>
              <w:gridCol w:w="1236"/>
              <w:gridCol w:w="1200"/>
              <w:gridCol w:w="1167"/>
              <w:gridCol w:w="1176"/>
            </w:tblGrid>
            <w:tr w14:paraId="0B399E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bottom w:val="single" w:color="000000" w:sz="12" w:space="0"/>
                  </w:tcBorders>
                  <w:vAlign w:val="center"/>
                </w:tcPr>
                <w:p w14:paraId="365AF6A2">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8"/>
                      <w:kern w:val="2"/>
                      <w:sz w:val="21"/>
                      <w:szCs w:val="24"/>
                      <w:lang w:val="zh-CN" w:eastAsia="zh-CN" w:bidi="zh-CN"/>
                    </w:rPr>
                    <w:t>序号</w:t>
                  </w:r>
                </w:p>
              </w:tc>
              <w:tc>
                <w:tcPr>
                  <w:tcW w:w="1682" w:type="pct"/>
                  <w:tcBorders>
                    <w:bottom w:val="single" w:color="000000" w:sz="12" w:space="0"/>
                  </w:tcBorders>
                  <w:vAlign w:val="center"/>
                </w:tcPr>
                <w:p w14:paraId="639D60DE">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8"/>
                      <w:kern w:val="2"/>
                      <w:sz w:val="21"/>
                      <w:szCs w:val="24"/>
                      <w:lang w:val="zh-CN" w:eastAsia="zh-CN" w:bidi="zh-CN"/>
                    </w:rPr>
                    <w:t>项目</w:t>
                  </w:r>
                </w:p>
              </w:tc>
              <w:tc>
                <w:tcPr>
                  <w:tcW w:w="717" w:type="pct"/>
                  <w:tcBorders>
                    <w:bottom w:val="single" w:color="000000" w:sz="12" w:space="0"/>
                  </w:tcBorders>
                  <w:vAlign w:val="center"/>
                </w:tcPr>
                <w:p w14:paraId="742301CB">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6"/>
                      <w:kern w:val="2"/>
                      <w:sz w:val="21"/>
                      <w:szCs w:val="24"/>
                      <w:lang w:val="zh-CN" w:eastAsia="zh-CN" w:bidi="zh-CN"/>
                    </w:rPr>
                    <w:t>Ⅱ类</w:t>
                  </w:r>
                </w:p>
              </w:tc>
              <w:tc>
                <w:tcPr>
                  <w:tcW w:w="696" w:type="pct"/>
                  <w:tcBorders>
                    <w:bottom w:val="single" w:color="000000" w:sz="12" w:space="0"/>
                  </w:tcBorders>
                  <w:shd w:val="clear" w:color="auto" w:fill="auto"/>
                  <w:vAlign w:val="center"/>
                </w:tcPr>
                <w:p w14:paraId="1654142D">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8"/>
                      <w:kern w:val="2"/>
                      <w:sz w:val="21"/>
                      <w:szCs w:val="24"/>
                      <w:lang w:val="zh-CN" w:eastAsia="zh-CN" w:bidi="zh-CN"/>
                    </w:rPr>
                    <w:t>Ⅲ类</w:t>
                  </w:r>
                </w:p>
              </w:tc>
              <w:tc>
                <w:tcPr>
                  <w:tcW w:w="677" w:type="pct"/>
                  <w:tcBorders>
                    <w:bottom w:val="single" w:color="000000" w:sz="12" w:space="0"/>
                  </w:tcBorders>
                  <w:vAlign w:val="center"/>
                </w:tcPr>
                <w:p w14:paraId="24F89C2E">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6"/>
                      <w:kern w:val="2"/>
                      <w:sz w:val="21"/>
                      <w:szCs w:val="24"/>
                      <w:lang w:val="zh-CN" w:eastAsia="zh-CN" w:bidi="zh-CN"/>
                    </w:rPr>
                    <w:t>Ⅳ类</w:t>
                  </w:r>
                </w:p>
              </w:tc>
              <w:tc>
                <w:tcPr>
                  <w:tcW w:w="680" w:type="pct"/>
                  <w:tcBorders>
                    <w:bottom w:val="single" w:color="000000" w:sz="12" w:space="0"/>
                  </w:tcBorders>
                  <w:shd w:val="clear" w:color="auto" w:fill="BEBEBE"/>
                  <w:vAlign w:val="center"/>
                </w:tcPr>
                <w:p w14:paraId="10E4B8B1">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宋体" w:hAnsi="宋体" w:eastAsia="宋体" w:cs="宋体"/>
                      <w:color w:val="auto"/>
                      <w:kern w:val="2"/>
                      <w:sz w:val="21"/>
                      <w:szCs w:val="24"/>
                      <w:lang w:val="zh-CN" w:eastAsia="zh-CN" w:bidi="zh-CN"/>
                    </w:rPr>
                  </w:pPr>
                  <w:r>
                    <w:rPr>
                      <w:rFonts w:ascii="宋体" w:hAnsi="宋体" w:eastAsia="宋体" w:cs="宋体"/>
                      <w:color w:val="auto"/>
                      <w:spacing w:val="-6"/>
                      <w:kern w:val="2"/>
                      <w:sz w:val="21"/>
                      <w:szCs w:val="24"/>
                      <w:lang w:val="zh-CN" w:eastAsia="zh-CN" w:bidi="zh-CN"/>
                    </w:rPr>
                    <w:t>Ⅴ类</w:t>
                  </w:r>
                </w:p>
              </w:tc>
            </w:tr>
            <w:tr w14:paraId="3BA530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op w:val="single" w:color="000000" w:sz="12" w:space="0"/>
                    <w:tl2br w:val="nil"/>
                    <w:tr2bl w:val="nil"/>
                  </w:tcBorders>
                  <w:vAlign w:val="center"/>
                </w:tcPr>
                <w:p w14:paraId="52CE0C30">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1</w:t>
                  </w:r>
                </w:p>
              </w:tc>
              <w:tc>
                <w:tcPr>
                  <w:tcW w:w="1682" w:type="pct"/>
                  <w:tcBorders>
                    <w:top w:val="single" w:color="000000" w:sz="12" w:space="0"/>
                    <w:tl2br w:val="nil"/>
                    <w:tr2bl w:val="nil"/>
                  </w:tcBorders>
                  <w:vAlign w:val="center"/>
                </w:tcPr>
                <w:p w14:paraId="459BD96F">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Times New Roman" w:cs="宋体"/>
                      <w:color w:val="auto"/>
                      <w:kern w:val="2"/>
                      <w:sz w:val="21"/>
                      <w:szCs w:val="24"/>
                      <w:lang w:val="zh-CN" w:eastAsia="zh-CN" w:bidi="zh-CN"/>
                    </w:rPr>
                  </w:pPr>
                  <w:r>
                    <w:rPr>
                      <w:rFonts w:ascii="Times New Roman" w:hAnsi="宋体" w:eastAsia="Times New Roman" w:cs="宋体"/>
                      <w:color w:val="auto"/>
                      <w:spacing w:val="-2"/>
                      <w:kern w:val="2"/>
                      <w:sz w:val="21"/>
                      <w:szCs w:val="24"/>
                      <w:lang w:val="zh-CN" w:eastAsia="zh-CN" w:bidi="zh-CN"/>
                    </w:rPr>
                    <w:t>pH</w:t>
                  </w:r>
                  <w:r>
                    <w:rPr>
                      <w:rFonts w:hint="eastAsia" w:ascii="Times New Roman" w:hAnsi="宋体" w:eastAsia="宋体" w:cs="宋体"/>
                      <w:color w:val="auto"/>
                      <w:spacing w:val="-2"/>
                      <w:kern w:val="2"/>
                      <w:sz w:val="21"/>
                      <w:szCs w:val="24"/>
                      <w:lang w:val="zh-CN" w:eastAsia="zh-CN" w:bidi="zh-CN"/>
                    </w:rPr>
                    <w:t>(</w:t>
                  </w:r>
                  <w:r>
                    <w:rPr>
                      <w:rFonts w:ascii="宋体" w:hAnsi="宋体" w:eastAsia="宋体" w:cs="宋体"/>
                      <w:color w:val="auto"/>
                      <w:spacing w:val="-2"/>
                      <w:kern w:val="2"/>
                      <w:sz w:val="21"/>
                      <w:szCs w:val="24"/>
                      <w:lang w:val="zh-CN" w:eastAsia="zh-CN" w:bidi="zh-CN"/>
                    </w:rPr>
                    <w:t>无量纲</w:t>
                  </w:r>
                  <w:r>
                    <w:rPr>
                      <w:rFonts w:hint="eastAsia" w:ascii="宋体" w:hAnsi="宋体" w:eastAsia="宋体" w:cs="宋体"/>
                      <w:color w:val="auto"/>
                      <w:spacing w:val="-2"/>
                      <w:kern w:val="2"/>
                      <w:sz w:val="21"/>
                      <w:szCs w:val="24"/>
                      <w:lang w:val="zh-CN" w:eastAsia="zh-CN" w:bidi="zh-CN"/>
                    </w:rPr>
                    <w:t>)</w:t>
                  </w:r>
                </w:p>
              </w:tc>
              <w:tc>
                <w:tcPr>
                  <w:tcW w:w="2772" w:type="pct"/>
                  <w:gridSpan w:val="4"/>
                  <w:tcBorders>
                    <w:top w:val="single" w:color="000000" w:sz="12" w:space="0"/>
                    <w:tl2br w:val="nil"/>
                    <w:tr2bl w:val="nil"/>
                  </w:tcBorders>
                  <w:shd w:val="clear" w:color="auto" w:fill="BEBEBE"/>
                  <w:vAlign w:val="center"/>
                </w:tcPr>
                <w:p w14:paraId="2A106D1E">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Times New Roman" w:cs="宋体"/>
                      <w:color w:val="auto"/>
                      <w:kern w:val="2"/>
                      <w:sz w:val="21"/>
                      <w:szCs w:val="24"/>
                      <w:lang w:val="zh-CN" w:eastAsia="zh-CN" w:bidi="zh-CN"/>
                    </w:rPr>
                  </w:pPr>
                  <w:r>
                    <w:rPr>
                      <w:rFonts w:ascii="Times New Roman" w:hAnsi="宋体" w:eastAsia="Times New Roman" w:cs="宋体"/>
                      <w:color w:val="auto"/>
                      <w:spacing w:val="-5"/>
                      <w:kern w:val="2"/>
                      <w:sz w:val="21"/>
                      <w:szCs w:val="24"/>
                      <w:lang w:val="zh-CN" w:eastAsia="zh-CN" w:bidi="zh-CN"/>
                    </w:rPr>
                    <w:t>6</w:t>
                  </w:r>
                  <w:r>
                    <w:rPr>
                      <w:rFonts w:hint="eastAsia" w:ascii="Times New Roman" w:hAnsi="宋体" w:eastAsia="宋体" w:cs="宋体"/>
                      <w:color w:val="auto"/>
                      <w:spacing w:val="-5"/>
                      <w:kern w:val="2"/>
                      <w:sz w:val="21"/>
                      <w:szCs w:val="24"/>
                      <w:lang w:val="zh-CN" w:eastAsia="zh-CN" w:bidi="zh-CN"/>
                    </w:rPr>
                    <w:t>～</w:t>
                  </w:r>
                  <w:r>
                    <w:rPr>
                      <w:rFonts w:ascii="Times New Roman" w:hAnsi="宋体" w:eastAsia="Times New Roman" w:cs="宋体"/>
                      <w:color w:val="auto"/>
                      <w:spacing w:val="-5"/>
                      <w:kern w:val="2"/>
                      <w:sz w:val="21"/>
                      <w:szCs w:val="24"/>
                      <w:lang w:val="zh-CN" w:eastAsia="zh-CN" w:bidi="zh-CN"/>
                    </w:rPr>
                    <w:t>9</w:t>
                  </w:r>
                </w:p>
              </w:tc>
            </w:tr>
            <w:tr w14:paraId="5A35CB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31B9254B">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2</w:t>
                  </w:r>
                </w:p>
              </w:tc>
              <w:tc>
                <w:tcPr>
                  <w:tcW w:w="1682" w:type="pct"/>
                  <w:tcBorders>
                    <w:tl2br w:val="nil"/>
                    <w:tr2bl w:val="nil"/>
                  </w:tcBorders>
                  <w:vAlign w:val="center"/>
                </w:tcPr>
                <w:p w14:paraId="6F8FCD2A">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eastAsia="Times New Roman" w:cs="宋体"/>
                      <w:color w:val="auto"/>
                      <w:kern w:val="2"/>
                      <w:sz w:val="21"/>
                      <w:szCs w:val="24"/>
                      <w:lang w:val="zh-CN" w:eastAsia="zh-CN" w:bidi="zh-CN"/>
                    </w:rPr>
                  </w:pPr>
                  <w:r>
                    <w:rPr>
                      <w:rFonts w:ascii="宋体" w:hAnsi="宋体" w:eastAsia="宋体" w:cs="宋体"/>
                      <w:color w:val="auto"/>
                      <w:kern w:val="2"/>
                      <w:sz w:val="21"/>
                      <w:szCs w:val="24"/>
                      <w:lang w:val="zh-CN" w:eastAsia="zh-CN" w:bidi="zh-CN"/>
                    </w:rPr>
                    <w:t>溶解氧</w:t>
                  </w:r>
                  <w:r>
                    <w:rPr>
                      <w:rFonts w:hint="eastAsia" w:ascii="宋体" w:hAnsi="宋体" w:eastAsia="宋体" w:cs="宋体"/>
                      <w:color w:val="auto"/>
                      <w:kern w:val="2"/>
                      <w:sz w:val="21"/>
                      <w:szCs w:val="24"/>
                      <w:lang w:val="zh-CN" w:eastAsia="zh-CN" w:bidi="zh-CN"/>
                    </w:rPr>
                    <w:t>(</w:t>
                  </w:r>
                  <w:r>
                    <w:rPr>
                      <w:rFonts w:ascii="Times New Roman" w:hAnsi="Times New Roman" w:eastAsia="Times New Roman" w:cs="宋体"/>
                      <w:color w:val="auto"/>
                      <w:kern w:val="2"/>
                      <w:sz w:val="21"/>
                      <w:szCs w:val="24"/>
                      <w:lang w:val="zh-CN" w:eastAsia="zh-CN" w:bidi="zh-CN"/>
                    </w:rPr>
                    <w:t>DO</w:t>
                  </w:r>
                  <w:r>
                    <w:rPr>
                      <w:rFonts w:hint="eastAsia" w:ascii="Times New Roman" w:hAnsi="Times New Roman" w:eastAsia="宋体" w:cs="宋体"/>
                      <w:color w:val="auto"/>
                      <w:kern w:val="2"/>
                      <w:sz w:val="21"/>
                      <w:szCs w:val="24"/>
                      <w:lang w:val="zh-CN" w:eastAsia="zh-CN" w:bidi="zh-CN"/>
                    </w:rPr>
                    <w:t>)</w:t>
                  </w:r>
                  <w:r>
                    <w:rPr>
                      <w:rFonts w:ascii="Times New Roman" w:hAnsi="Times New Roman" w:eastAsia="Times New Roman" w:cs="宋体"/>
                      <w:color w:val="auto"/>
                      <w:spacing w:val="-9"/>
                      <w:kern w:val="2"/>
                      <w:sz w:val="21"/>
                      <w:szCs w:val="24"/>
                      <w:lang w:val="zh-CN" w:eastAsia="zh-CN" w:bidi="zh-CN"/>
                    </w:rPr>
                    <w:t xml:space="preserve"> ≥</w:t>
                  </w:r>
                </w:p>
              </w:tc>
              <w:tc>
                <w:tcPr>
                  <w:tcW w:w="717" w:type="pct"/>
                  <w:tcBorders>
                    <w:tl2br w:val="nil"/>
                    <w:tr2bl w:val="nil"/>
                  </w:tcBorders>
                  <w:vAlign w:val="center"/>
                </w:tcPr>
                <w:p w14:paraId="17E963C8">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6</w:t>
                  </w:r>
                </w:p>
              </w:tc>
              <w:tc>
                <w:tcPr>
                  <w:tcW w:w="696" w:type="pct"/>
                  <w:tcBorders>
                    <w:tl2br w:val="nil"/>
                    <w:tr2bl w:val="nil"/>
                  </w:tcBorders>
                  <w:shd w:val="clear" w:color="auto" w:fill="auto"/>
                  <w:vAlign w:val="center"/>
                </w:tcPr>
                <w:p w14:paraId="5087F246">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5</w:t>
                  </w:r>
                </w:p>
              </w:tc>
              <w:tc>
                <w:tcPr>
                  <w:tcW w:w="677" w:type="pct"/>
                  <w:tcBorders>
                    <w:tl2br w:val="nil"/>
                    <w:tr2bl w:val="nil"/>
                  </w:tcBorders>
                  <w:vAlign w:val="center"/>
                </w:tcPr>
                <w:p w14:paraId="5986B278">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3</w:t>
                  </w:r>
                </w:p>
              </w:tc>
              <w:tc>
                <w:tcPr>
                  <w:tcW w:w="680" w:type="pct"/>
                  <w:tcBorders>
                    <w:tl2br w:val="nil"/>
                    <w:tr2bl w:val="nil"/>
                  </w:tcBorders>
                  <w:shd w:val="clear" w:color="auto" w:fill="BEBEBE"/>
                  <w:vAlign w:val="center"/>
                </w:tcPr>
                <w:p w14:paraId="04C9A75A">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2</w:t>
                  </w:r>
                </w:p>
              </w:tc>
            </w:tr>
            <w:tr w14:paraId="2C5690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45D72915">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3</w:t>
                  </w:r>
                </w:p>
              </w:tc>
              <w:tc>
                <w:tcPr>
                  <w:tcW w:w="1682" w:type="pct"/>
                  <w:tcBorders>
                    <w:tl2br w:val="nil"/>
                    <w:tr2bl w:val="nil"/>
                  </w:tcBorders>
                  <w:vAlign w:val="center"/>
                </w:tcPr>
                <w:p w14:paraId="07690E6C">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eastAsia="宋体" w:cs="宋体"/>
                      <w:color w:val="auto"/>
                      <w:kern w:val="2"/>
                      <w:position w:val="2"/>
                      <w:sz w:val="21"/>
                      <w:szCs w:val="24"/>
                      <w:lang w:val="zh-CN" w:eastAsia="zh-CN" w:bidi="zh-CN"/>
                    </w:rPr>
                  </w:pPr>
                  <w:r>
                    <w:rPr>
                      <w:rFonts w:ascii="Times New Roman" w:hAnsi="Times New Roman" w:eastAsia="宋体" w:cs="宋体"/>
                      <w:color w:val="auto"/>
                      <w:spacing w:val="-2"/>
                      <w:kern w:val="2"/>
                      <w:position w:val="2"/>
                      <w:sz w:val="21"/>
                      <w:szCs w:val="24"/>
                      <w:lang w:val="zh-CN" w:eastAsia="zh-CN" w:bidi="zh-CN"/>
                    </w:rPr>
                    <w:t>COD</w:t>
                  </w:r>
                  <w:r>
                    <w:rPr>
                      <w:rFonts w:ascii="Times New Roman" w:hAnsi="Times New Roman" w:eastAsia="宋体" w:cs="宋体"/>
                      <w:color w:val="auto"/>
                      <w:spacing w:val="-2"/>
                      <w:kern w:val="2"/>
                      <w:sz w:val="13"/>
                      <w:szCs w:val="24"/>
                      <w:lang w:val="zh-CN" w:eastAsia="zh-CN" w:bidi="zh-CN"/>
                    </w:rPr>
                    <w:t>Mn</w:t>
                  </w:r>
                  <w:r>
                    <w:rPr>
                      <w:rFonts w:ascii="Times New Roman" w:hAnsi="Times New Roman" w:eastAsia="宋体" w:cs="宋体"/>
                      <w:color w:val="auto"/>
                      <w:spacing w:val="-2"/>
                      <w:kern w:val="2"/>
                      <w:position w:val="2"/>
                      <w:sz w:val="21"/>
                      <w:szCs w:val="24"/>
                      <w:lang w:val="zh-CN" w:eastAsia="zh-CN" w:bidi="zh-CN"/>
                    </w:rPr>
                    <w:t>≤</w:t>
                  </w:r>
                </w:p>
              </w:tc>
              <w:tc>
                <w:tcPr>
                  <w:tcW w:w="717" w:type="pct"/>
                  <w:tcBorders>
                    <w:tl2br w:val="nil"/>
                    <w:tr2bl w:val="nil"/>
                  </w:tcBorders>
                  <w:vAlign w:val="center"/>
                </w:tcPr>
                <w:p w14:paraId="51A777E6">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4</w:t>
                  </w:r>
                </w:p>
              </w:tc>
              <w:tc>
                <w:tcPr>
                  <w:tcW w:w="696" w:type="pct"/>
                  <w:tcBorders>
                    <w:tl2br w:val="nil"/>
                    <w:tr2bl w:val="nil"/>
                  </w:tcBorders>
                  <w:shd w:val="clear" w:color="auto" w:fill="auto"/>
                  <w:vAlign w:val="center"/>
                </w:tcPr>
                <w:p w14:paraId="22129BB4">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6</w:t>
                  </w:r>
                </w:p>
              </w:tc>
              <w:tc>
                <w:tcPr>
                  <w:tcW w:w="677" w:type="pct"/>
                  <w:tcBorders>
                    <w:tl2br w:val="nil"/>
                    <w:tr2bl w:val="nil"/>
                  </w:tcBorders>
                  <w:vAlign w:val="center"/>
                </w:tcPr>
                <w:p w14:paraId="0882BC31">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10</w:t>
                  </w:r>
                </w:p>
              </w:tc>
              <w:tc>
                <w:tcPr>
                  <w:tcW w:w="680" w:type="pct"/>
                  <w:tcBorders>
                    <w:tl2br w:val="nil"/>
                    <w:tr2bl w:val="nil"/>
                  </w:tcBorders>
                  <w:shd w:val="clear" w:color="auto" w:fill="BEBEBE"/>
                  <w:vAlign w:val="center"/>
                </w:tcPr>
                <w:p w14:paraId="44F4F458">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15</w:t>
                  </w:r>
                </w:p>
              </w:tc>
            </w:tr>
            <w:tr w14:paraId="356BF0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570C808D">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4</w:t>
                  </w:r>
                </w:p>
              </w:tc>
              <w:tc>
                <w:tcPr>
                  <w:tcW w:w="1682" w:type="pct"/>
                  <w:tcBorders>
                    <w:tl2br w:val="nil"/>
                    <w:tr2bl w:val="nil"/>
                  </w:tcBorders>
                  <w:vAlign w:val="center"/>
                </w:tcPr>
                <w:p w14:paraId="1929236C">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5"/>
                      <w:kern w:val="2"/>
                      <w:sz w:val="21"/>
                      <w:szCs w:val="24"/>
                      <w:lang w:val="zh-CN" w:eastAsia="zh-CN" w:bidi="zh-CN"/>
                    </w:rPr>
                    <w:t>DO≤</w:t>
                  </w:r>
                </w:p>
              </w:tc>
              <w:tc>
                <w:tcPr>
                  <w:tcW w:w="717" w:type="pct"/>
                  <w:tcBorders>
                    <w:tl2br w:val="nil"/>
                    <w:tr2bl w:val="nil"/>
                  </w:tcBorders>
                  <w:vAlign w:val="center"/>
                </w:tcPr>
                <w:p w14:paraId="22BE0977">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6</w:t>
                  </w:r>
                </w:p>
              </w:tc>
              <w:tc>
                <w:tcPr>
                  <w:tcW w:w="696" w:type="pct"/>
                  <w:tcBorders>
                    <w:tl2br w:val="nil"/>
                    <w:tr2bl w:val="nil"/>
                  </w:tcBorders>
                  <w:shd w:val="clear" w:color="auto" w:fill="auto"/>
                  <w:vAlign w:val="center"/>
                </w:tcPr>
                <w:p w14:paraId="584040BD">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5</w:t>
                  </w:r>
                </w:p>
              </w:tc>
              <w:tc>
                <w:tcPr>
                  <w:tcW w:w="677" w:type="pct"/>
                  <w:tcBorders>
                    <w:tl2br w:val="nil"/>
                    <w:tr2bl w:val="nil"/>
                  </w:tcBorders>
                  <w:vAlign w:val="center"/>
                </w:tcPr>
                <w:p w14:paraId="3EC0F11F">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3</w:t>
                  </w:r>
                </w:p>
              </w:tc>
              <w:tc>
                <w:tcPr>
                  <w:tcW w:w="680" w:type="pct"/>
                  <w:tcBorders>
                    <w:tl2br w:val="nil"/>
                    <w:tr2bl w:val="nil"/>
                  </w:tcBorders>
                  <w:shd w:val="clear" w:color="auto" w:fill="BEBEBE"/>
                  <w:vAlign w:val="center"/>
                </w:tcPr>
                <w:p w14:paraId="50FA70F4">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2</w:t>
                  </w:r>
                </w:p>
              </w:tc>
            </w:tr>
            <w:tr w14:paraId="74D0A7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545" w:type="pct"/>
                  <w:tcBorders>
                    <w:tl2br w:val="nil"/>
                    <w:tr2bl w:val="nil"/>
                  </w:tcBorders>
                  <w:vAlign w:val="center"/>
                </w:tcPr>
                <w:p w14:paraId="309EB323">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5</w:t>
                  </w:r>
                </w:p>
              </w:tc>
              <w:tc>
                <w:tcPr>
                  <w:tcW w:w="1682" w:type="pct"/>
                  <w:tcBorders>
                    <w:tl2br w:val="nil"/>
                    <w:tr2bl w:val="nil"/>
                  </w:tcBorders>
                  <w:vAlign w:val="center"/>
                </w:tcPr>
                <w:p w14:paraId="59E52944">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eastAsia="宋体" w:cs="宋体"/>
                      <w:color w:val="auto"/>
                      <w:kern w:val="2"/>
                      <w:position w:val="2"/>
                      <w:sz w:val="21"/>
                      <w:szCs w:val="24"/>
                      <w:lang w:val="zh-CN" w:eastAsia="zh-CN" w:bidi="zh-CN"/>
                    </w:rPr>
                  </w:pPr>
                  <w:r>
                    <w:rPr>
                      <w:rFonts w:ascii="Times New Roman" w:hAnsi="Times New Roman" w:eastAsia="宋体" w:cs="宋体"/>
                      <w:color w:val="auto"/>
                      <w:spacing w:val="-2"/>
                      <w:kern w:val="2"/>
                      <w:position w:val="2"/>
                      <w:sz w:val="21"/>
                      <w:szCs w:val="24"/>
                      <w:lang w:val="zh-CN" w:eastAsia="zh-CN" w:bidi="zh-CN"/>
                    </w:rPr>
                    <w:t>NH</w:t>
                  </w:r>
                  <w:r>
                    <w:rPr>
                      <w:rFonts w:ascii="Times New Roman" w:hAnsi="Times New Roman" w:eastAsia="宋体" w:cs="宋体"/>
                      <w:color w:val="auto"/>
                      <w:spacing w:val="-2"/>
                      <w:kern w:val="2"/>
                      <w:sz w:val="13"/>
                      <w:szCs w:val="24"/>
                      <w:lang w:val="zh-CN" w:eastAsia="zh-CN" w:bidi="zh-CN"/>
                    </w:rPr>
                    <w:t>3</w:t>
                  </w:r>
                  <w:r>
                    <w:rPr>
                      <w:rFonts w:ascii="Times New Roman" w:hAnsi="Times New Roman" w:eastAsia="宋体" w:cs="宋体"/>
                      <w:color w:val="auto"/>
                      <w:spacing w:val="-2"/>
                      <w:kern w:val="2"/>
                      <w:position w:val="2"/>
                      <w:sz w:val="21"/>
                      <w:szCs w:val="24"/>
                      <w:lang w:val="zh-CN" w:eastAsia="zh-CN" w:bidi="zh-CN"/>
                    </w:rPr>
                    <w:t>-</w:t>
                  </w:r>
                  <w:r>
                    <w:rPr>
                      <w:rFonts w:ascii="Times New Roman" w:hAnsi="Times New Roman" w:eastAsia="宋体" w:cs="宋体"/>
                      <w:color w:val="auto"/>
                      <w:spacing w:val="-5"/>
                      <w:kern w:val="2"/>
                      <w:position w:val="2"/>
                      <w:sz w:val="21"/>
                      <w:szCs w:val="24"/>
                      <w:lang w:val="zh-CN" w:eastAsia="zh-CN" w:bidi="zh-CN"/>
                    </w:rPr>
                    <w:t>N≤</w:t>
                  </w:r>
                </w:p>
              </w:tc>
              <w:tc>
                <w:tcPr>
                  <w:tcW w:w="717" w:type="pct"/>
                  <w:tcBorders>
                    <w:tl2br w:val="nil"/>
                    <w:tr2bl w:val="nil"/>
                  </w:tcBorders>
                  <w:vAlign w:val="center"/>
                </w:tcPr>
                <w:p w14:paraId="13B47C12">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0.5</w:t>
                  </w:r>
                </w:p>
              </w:tc>
              <w:tc>
                <w:tcPr>
                  <w:tcW w:w="696" w:type="pct"/>
                  <w:tcBorders>
                    <w:tl2br w:val="nil"/>
                    <w:tr2bl w:val="nil"/>
                  </w:tcBorders>
                  <w:shd w:val="clear" w:color="auto" w:fill="auto"/>
                  <w:vAlign w:val="center"/>
                </w:tcPr>
                <w:p w14:paraId="1A471364">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1.0</w:t>
                  </w:r>
                </w:p>
              </w:tc>
              <w:tc>
                <w:tcPr>
                  <w:tcW w:w="677" w:type="pct"/>
                  <w:tcBorders>
                    <w:tl2br w:val="nil"/>
                    <w:tr2bl w:val="nil"/>
                  </w:tcBorders>
                  <w:vAlign w:val="center"/>
                </w:tcPr>
                <w:p w14:paraId="5F8412AC">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1.5</w:t>
                  </w:r>
                </w:p>
              </w:tc>
              <w:tc>
                <w:tcPr>
                  <w:tcW w:w="680" w:type="pct"/>
                  <w:tcBorders>
                    <w:tl2br w:val="nil"/>
                    <w:tr2bl w:val="nil"/>
                  </w:tcBorders>
                  <w:shd w:val="clear" w:color="auto" w:fill="BEBEBE"/>
                  <w:vAlign w:val="center"/>
                </w:tcPr>
                <w:p w14:paraId="36FF1FB2">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2.0</w:t>
                  </w:r>
                </w:p>
              </w:tc>
            </w:tr>
            <w:tr w14:paraId="144565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545" w:type="pct"/>
                  <w:tcBorders>
                    <w:tl2br w:val="nil"/>
                    <w:tr2bl w:val="nil"/>
                  </w:tcBorders>
                  <w:vAlign w:val="center"/>
                </w:tcPr>
                <w:p w14:paraId="02573E6C">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6</w:t>
                  </w:r>
                </w:p>
              </w:tc>
              <w:tc>
                <w:tcPr>
                  <w:tcW w:w="1682" w:type="pct"/>
                  <w:tcBorders>
                    <w:tl2br w:val="nil"/>
                    <w:tr2bl w:val="nil"/>
                  </w:tcBorders>
                  <w:vAlign w:val="center"/>
                </w:tcPr>
                <w:p w14:paraId="66EFF1A1">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eastAsia="宋体" w:cs="宋体"/>
                      <w:color w:val="auto"/>
                      <w:kern w:val="2"/>
                      <w:position w:val="2"/>
                      <w:sz w:val="21"/>
                      <w:szCs w:val="24"/>
                      <w:lang w:val="zh-CN" w:eastAsia="zh-CN" w:bidi="zh-CN"/>
                    </w:rPr>
                  </w:pPr>
                  <w:r>
                    <w:rPr>
                      <w:rFonts w:ascii="Times New Roman" w:hAnsi="Times New Roman" w:eastAsia="宋体" w:cs="宋体"/>
                      <w:color w:val="auto"/>
                      <w:spacing w:val="-2"/>
                      <w:kern w:val="2"/>
                      <w:position w:val="2"/>
                      <w:sz w:val="21"/>
                      <w:szCs w:val="24"/>
                      <w:lang w:val="zh-CN" w:eastAsia="zh-CN" w:bidi="zh-CN"/>
                    </w:rPr>
                    <w:t>BOD</w:t>
                  </w:r>
                  <w:r>
                    <w:rPr>
                      <w:rFonts w:ascii="Times New Roman" w:hAnsi="Times New Roman" w:eastAsia="宋体" w:cs="宋体"/>
                      <w:color w:val="auto"/>
                      <w:spacing w:val="-2"/>
                      <w:kern w:val="2"/>
                      <w:sz w:val="13"/>
                      <w:szCs w:val="24"/>
                      <w:lang w:val="zh-CN" w:eastAsia="zh-CN" w:bidi="zh-CN"/>
                    </w:rPr>
                    <w:t>5</w:t>
                  </w:r>
                  <w:r>
                    <w:rPr>
                      <w:rFonts w:ascii="Times New Roman" w:hAnsi="Times New Roman" w:eastAsia="宋体" w:cs="宋体"/>
                      <w:color w:val="auto"/>
                      <w:spacing w:val="-2"/>
                      <w:kern w:val="2"/>
                      <w:position w:val="2"/>
                      <w:sz w:val="21"/>
                      <w:szCs w:val="24"/>
                      <w:lang w:val="zh-CN" w:eastAsia="zh-CN" w:bidi="zh-CN"/>
                    </w:rPr>
                    <w:t>≤</w:t>
                  </w:r>
                </w:p>
              </w:tc>
              <w:tc>
                <w:tcPr>
                  <w:tcW w:w="717" w:type="pct"/>
                  <w:tcBorders>
                    <w:tl2br w:val="nil"/>
                    <w:tr2bl w:val="nil"/>
                  </w:tcBorders>
                  <w:vAlign w:val="center"/>
                </w:tcPr>
                <w:p w14:paraId="1CE1D0C5">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3</w:t>
                  </w:r>
                </w:p>
              </w:tc>
              <w:tc>
                <w:tcPr>
                  <w:tcW w:w="696" w:type="pct"/>
                  <w:tcBorders>
                    <w:tl2br w:val="nil"/>
                    <w:tr2bl w:val="nil"/>
                  </w:tcBorders>
                  <w:shd w:val="clear" w:color="auto" w:fill="auto"/>
                  <w:vAlign w:val="center"/>
                </w:tcPr>
                <w:p w14:paraId="556197EA">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4</w:t>
                  </w:r>
                </w:p>
              </w:tc>
              <w:tc>
                <w:tcPr>
                  <w:tcW w:w="677" w:type="pct"/>
                  <w:tcBorders>
                    <w:tl2br w:val="nil"/>
                    <w:tr2bl w:val="nil"/>
                  </w:tcBorders>
                  <w:vAlign w:val="center"/>
                </w:tcPr>
                <w:p w14:paraId="16088891">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10"/>
                      <w:kern w:val="2"/>
                      <w:sz w:val="21"/>
                      <w:szCs w:val="24"/>
                      <w:lang w:val="zh-CN" w:eastAsia="zh-CN" w:bidi="zh-CN"/>
                    </w:rPr>
                    <w:t>6</w:t>
                  </w:r>
                </w:p>
              </w:tc>
              <w:tc>
                <w:tcPr>
                  <w:tcW w:w="680" w:type="pct"/>
                  <w:tcBorders>
                    <w:tl2br w:val="nil"/>
                    <w:tr2bl w:val="nil"/>
                  </w:tcBorders>
                  <w:shd w:val="clear" w:color="auto" w:fill="BEBEBE"/>
                  <w:vAlign w:val="center"/>
                </w:tcPr>
                <w:p w14:paraId="55D377E0">
                  <w:pPr>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宋体" w:eastAsia="宋体" w:cs="宋体"/>
                      <w:color w:val="auto"/>
                      <w:kern w:val="2"/>
                      <w:sz w:val="21"/>
                      <w:szCs w:val="24"/>
                      <w:lang w:val="zh-CN" w:eastAsia="zh-CN" w:bidi="zh-CN"/>
                    </w:rPr>
                  </w:pPr>
                  <w:r>
                    <w:rPr>
                      <w:rFonts w:ascii="Times New Roman" w:hAnsi="宋体" w:eastAsia="宋体" w:cs="宋体"/>
                      <w:color w:val="auto"/>
                      <w:spacing w:val="-5"/>
                      <w:kern w:val="2"/>
                      <w:sz w:val="21"/>
                      <w:szCs w:val="24"/>
                      <w:lang w:val="zh-CN" w:eastAsia="zh-CN" w:bidi="zh-CN"/>
                    </w:rPr>
                    <w:t>10</w:t>
                  </w:r>
                </w:p>
              </w:tc>
            </w:tr>
          </w:tbl>
          <w:p w14:paraId="6B227A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2</w:t>
            </w:r>
            <w:r>
              <w:rPr>
                <w:rFonts w:hint="eastAsia" w:ascii="Times New Roman" w:hAnsi="Times New Roman" w:eastAsia="宋体" w:cs="Times New Roman"/>
                <w:color w:val="auto"/>
                <w:kern w:val="2"/>
                <w:sz w:val="24"/>
                <w:szCs w:val="20"/>
                <w:highlight w:val="none"/>
                <w:lang w:val="en-US" w:eastAsia="zh-CN" w:bidi="ar-SA"/>
              </w:rPr>
              <w:t>）地表水环境现状</w:t>
            </w:r>
          </w:p>
          <w:p w14:paraId="34ED0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①地表水水质现状调查</w:t>
            </w:r>
          </w:p>
          <w:p w14:paraId="434D1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为了解项目地表水水质环境质量现状，根据福建省生态环境厅网站发布的福建省主要流域水环境质量状况(2024年),2024年，福建省主要流域总体水质为优，国控断面I~Ⅲ类水质比例100%.I~类水质比例77.1%;国控及省控断面I~Ⅲ类水质比例99.7%,其中I～类水质比例80.0%,各类水质比例如下：类占2.4%,类占77.6%,Ⅲ类占19.7%,IV类占0.3%,无V类和劣V类水(详见图3.1-1）。</w:t>
            </w:r>
          </w:p>
          <w:p w14:paraId="042A22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2024年，福建省主要流域总体水质从相对较好开始排序，具体为：闽江、交溪、九龙江、汀江(韩江)、霍童溪、晋江、荻芦溪、东西溪、木兰溪、敖江、漳江、诏安东溪、鹿溪、</w:t>
            </w:r>
            <w:r>
              <w:rPr>
                <w:rFonts w:hint="eastAsia" w:ascii="Times New Roman" w:hAnsi="Times New Roman" w:eastAsia="宋体" w:cs="Times New Roman"/>
                <w:b/>
                <w:bCs/>
                <w:color w:val="auto"/>
                <w:kern w:val="2"/>
                <w:sz w:val="24"/>
                <w:szCs w:val="20"/>
                <w:highlight w:val="none"/>
                <w:lang w:val="en-US" w:eastAsia="zh-CN" w:bidi="ar-SA"/>
              </w:rPr>
              <w:t>龙江(</w:t>
            </w:r>
            <w:r>
              <w:rPr>
                <w:rFonts w:hint="eastAsia" w:ascii="Times New Roman" w:hAnsi="Times New Roman" w:eastAsia="宋体" w:cs="Times New Roman"/>
                <w:color w:val="auto"/>
                <w:kern w:val="2"/>
                <w:sz w:val="24"/>
                <w:szCs w:val="20"/>
                <w:highlight w:val="none"/>
                <w:lang w:val="en-US" w:eastAsia="zh-CN" w:bidi="ar-SA"/>
              </w:rPr>
              <w:t>详见图3.1-2）。</w:t>
            </w:r>
          </w:p>
          <w:p w14:paraId="685DF1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由此，可知龙江水质可达到《地表水环境质量标准》(GB3838-2002)V类水标准。</w:t>
            </w:r>
            <w:r>
              <w:rPr>
                <w:rFonts w:ascii="Times New Roman" w:hAnsi="Times New Roman" w:eastAsia="宋体" w:cs="Times New Roman"/>
                <w:color w:val="auto"/>
              </w:rPr>
              <w:drawing>
                <wp:inline distT="0" distB="0" distL="114300" distR="114300">
                  <wp:extent cx="5560060" cy="3710940"/>
                  <wp:effectExtent l="0" t="0" r="2540" b="381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19"/>
                          <a:stretch>
                            <a:fillRect/>
                          </a:stretch>
                        </pic:blipFill>
                        <pic:spPr>
                          <a:xfrm>
                            <a:off x="0" y="0"/>
                            <a:ext cx="5560060" cy="3710940"/>
                          </a:xfrm>
                          <a:prstGeom prst="rect">
                            <a:avLst/>
                          </a:prstGeom>
                          <a:noFill/>
                          <a:ln>
                            <a:noFill/>
                          </a:ln>
                        </pic:spPr>
                      </pic:pic>
                    </a:graphicData>
                  </a:graphic>
                </wp:inline>
              </w:drawing>
            </w:r>
          </w:p>
          <w:p w14:paraId="4B26C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textAlignment w:val="auto"/>
              <w:rPr>
                <w:rFonts w:hint="eastAsia" w:ascii="Times New Roman" w:hAnsi="Times New Roman" w:eastAsia="宋体" w:cs="Times New Roman"/>
                <w:b/>
                <w:bCs/>
                <w:color w:val="auto"/>
                <w:kern w:val="2"/>
                <w:sz w:val="24"/>
                <w:szCs w:val="20"/>
                <w:highlight w:val="none"/>
                <w:lang w:val="en-US" w:eastAsia="zh-CN" w:bidi="ar-SA"/>
              </w:rPr>
            </w:pPr>
            <w:r>
              <w:rPr>
                <w:rFonts w:ascii="Times New Roman" w:hAnsi="Times New Roman" w:eastAsia="宋体" w:cs="Times New Roman"/>
                <w:color w:val="auto"/>
              </w:rPr>
              <w:drawing>
                <wp:anchor distT="0" distB="0" distL="114300" distR="114300" simplePos="0" relativeHeight="251662336" behindDoc="0" locked="0" layoutInCell="1" allowOverlap="1">
                  <wp:simplePos x="0" y="0"/>
                  <wp:positionH relativeFrom="column">
                    <wp:posOffset>-40640</wp:posOffset>
                  </wp:positionH>
                  <wp:positionV relativeFrom="paragraph">
                    <wp:posOffset>353695</wp:posOffset>
                  </wp:positionV>
                  <wp:extent cx="5554345" cy="2183765"/>
                  <wp:effectExtent l="0" t="0" r="8255" b="6985"/>
                  <wp:wrapTopAndBottom/>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0"/>
                          <a:stretch>
                            <a:fillRect/>
                          </a:stretch>
                        </pic:blipFill>
                        <pic:spPr>
                          <a:xfrm>
                            <a:off x="0" y="0"/>
                            <a:ext cx="5554345" cy="2183765"/>
                          </a:xfrm>
                          <a:prstGeom prst="rect">
                            <a:avLst/>
                          </a:prstGeom>
                          <a:noFill/>
                          <a:ln>
                            <a:noFill/>
                          </a:ln>
                        </pic:spPr>
                      </pic:pic>
                    </a:graphicData>
                  </a:graphic>
                </wp:anchor>
              </w:drawing>
            </w:r>
            <w:r>
              <w:rPr>
                <w:rFonts w:hint="eastAsia" w:ascii="Times New Roman" w:hAnsi="Times New Roman" w:eastAsia="宋体" w:cs="Times New Roman"/>
                <w:b/>
                <w:bCs/>
                <w:color w:val="auto"/>
                <w:kern w:val="2"/>
                <w:sz w:val="24"/>
                <w:szCs w:val="20"/>
                <w:highlight w:val="none"/>
                <w:lang w:val="en-US" w:eastAsia="zh-CN" w:bidi="ar-SA"/>
              </w:rPr>
              <w:t>图3.1-1 福建省流域水环境质量状况（2024年）</w:t>
            </w:r>
          </w:p>
          <w:p w14:paraId="2637A8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none"/>
                <w:lang w:val="en-US" w:eastAsia="zh-CN" w:bidi="ar-SA"/>
              </w:rPr>
              <w:t>图3.1-2 福建省地表水水质状况排序（2024年）</w:t>
            </w:r>
          </w:p>
          <w:p w14:paraId="4FB31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②引用资料的有效性分析</w:t>
            </w:r>
          </w:p>
          <w:p w14:paraId="6391F9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根据《建设项目环境影响报告表编制技术指南（污染影响类）（试行）》（环办环评</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0"/>
                <w:highlight w:val="none"/>
                <w:lang w:val="en-US" w:eastAsia="zh-CN" w:bidi="ar-SA"/>
              </w:rPr>
              <w:t>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次评价选取福州市人民政府网站发布的水环境质量状况，符合《建设项目环境影响报告表编制技术指南（污染影响类）（试行）》（环办环评</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kern w:val="2"/>
                <w:sz w:val="24"/>
                <w:szCs w:val="20"/>
                <w:highlight w:val="none"/>
                <w:lang w:val="en-US" w:eastAsia="zh-CN" w:bidi="ar-SA"/>
              </w:rPr>
              <w:t>33号）的要求。</w:t>
            </w:r>
          </w:p>
          <w:p w14:paraId="02B9A18B">
            <w:pPr>
              <w:keepNext/>
              <w:keepLines/>
              <w:widowControl w:val="0"/>
              <w:numPr>
                <w:ilvl w:val="2"/>
                <w:numId w:val="0"/>
              </w:numPr>
              <w:tabs>
                <w:tab w:val="left" w:pos="0"/>
                <w:tab w:val="left" w:pos="420"/>
              </w:tabs>
              <w:bidi w:val="0"/>
              <w:spacing w:before="120" w:after="120" w:line="360" w:lineRule="auto"/>
              <w:ind w:left="720" w:leftChars="0" w:hanging="720" w:firstLineChars="0"/>
              <w:jc w:val="both"/>
              <w:outlineLvl w:val="2"/>
              <w:rPr>
                <w:rFonts w:hint="eastAsia" w:ascii="Times New Roman" w:hAnsi="Times New Roman" w:eastAsia="宋体" w:cs="Times New Roman"/>
                <w:b/>
                <w:bCs/>
                <w:color w:val="auto"/>
                <w:kern w:val="2"/>
                <w:sz w:val="24"/>
                <w:szCs w:val="32"/>
                <w:highlight w:val="none"/>
                <w:lang w:val="en-US" w:eastAsia="zh-CN" w:bidi="ar-SA"/>
              </w:rPr>
            </w:pPr>
            <w:r>
              <w:rPr>
                <w:rFonts w:hint="eastAsia" w:ascii="Times New Roman" w:hAnsi="Times New Roman" w:eastAsia="宋体" w:cs="Times New Roman"/>
                <w:b/>
                <w:bCs/>
                <w:color w:val="auto"/>
                <w:kern w:val="2"/>
                <w:sz w:val="24"/>
                <w:szCs w:val="28"/>
                <w:lang w:val="en-US" w:eastAsia="zh-CN" w:bidi="ar-SA"/>
              </w:rPr>
              <w:t>3</w:t>
            </w:r>
            <w:r>
              <w:rPr>
                <w:rFonts w:hint="default" w:ascii="Times New Roman" w:hAnsi="Times New Roman" w:eastAsia="宋体" w:cs="Times New Roman"/>
                <w:b/>
                <w:bCs/>
                <w:color w:val="auto"/>
                <w:kern w:val="2"/>
                <w:sz w:val="24"/>
                <w:szCs w:val="28"/>
                <w:lang w:val="en-US" w:eastAsia="zh-CN" w:bidi="ar-SA"/>
              </w:rPr>
              <w:t>.1.2</w:t>
            </w:r>
            <w:r>
              <w:rPr>
                <w:rFonts w:hint="eastAsia" w:ascii="Times New Roman" w:hAnsi="Times New Roman" w:eastAsia="宋体" w:cs="Times New Roman"/>
                <w:b/>
                <w:bCs/>
                <w:color w:val="auto"/>
                <w:kern w:val="2"/>
                <w:sz w:val="24"/>
                <w:szCs w:val="32"/>
                <w:highlight w:val="none"/>
                <w:lang w:val="en-US" w:eastAsia="zh-CN" w:bidi="ar-SA"/>
              </w:rPr>
              <w:t>大气环境质量现状</w:t>
            </w:r>
          </w:p>
          <w:p w14:paraId="1F2886B3">
            <w:pPr>
              <w:keepNext/>
              <w:keepLines/>
              <w:widowControl w:val="0"/>
              <w:numPr>
                <w:ilvl w:val="3"/>
                <w:numId w:val="0"/>
              </w:numPr>
              <w:tabs>
                <w:tab w:val="left" w:pos="0"/>
                <w:tab w:val="left" w:pos="420"/>
              </w:tabs>
              <w:bidi w:val="0"/>
              <w:spacing w:line="360" w:lineRule="auto"/>
              <w:ind w:left="864" w:leftChars="0" w:hanging="864" w:firstLineChars="0"/>
              <w:jc w:val="left"/>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4"/>
                <w:lang w:val="en-US" w:eastAsia="zh-CN" w:bidi="ar-SA"/>
              </w:rPr>
              <w:t>3</w:t>
            </w:r>
            <w:r>
              <w:rPr>
                <w:rFonts w:hint="default" w:ascii="Times New Roman" w:hAnsi="Times New Roman" w:eastAsia="宋体" w:cs="Times New Roman"/>
                <w:b/>
                <w:bCs/>
                <w:color w:val="auto"/>
                <w:kern w:val="2"/>
                <w:sz w:val="24"/>
                <w:szCs w:val="24"/>
                <w:lang w:val="en-US" w:eastAsia="zh-CN" w:bidi="ar-SA"/>
              </w:rPr>
              <w:t>.1.2.1</w:t>
            </w:r>
            <w:r>
              <w:rPr>
                <w:rFonts w:hint="default" w:ascii="Times New Roman" w:hAnsi="Times New Roman" w:eastAsia="宋体" w:cs="Times New Roman"/>
                <w:b/>
                <w:bCs/>
                <w:color w:val="auto"/>
                <w:kern w:val="2"/>
                <w:sz w:val="24"/>
                <w:szCs w:val="28"/>
                <w:highlight w:val="none"/>
                <w:lang w:val="en-US" w:eastAsia="zh-CN" w:bidi="ar-SA"/>
              </w:rPr>
              <w:t>区域达标判断</w:t>
            </w:r>
          </w:p>
          <w:p w14:paraId="323A027F">
            <w:pPr>
              <w:keepNext w:val="0"/>
              <w:keepLines w:val="0"/>
              <w:pageBreakBefore w:val="0"/>
              <w:widowControl w:val="0"/>
              <w:tabs>
                <w:tab w:val="left" w:pos="0"/>
              </w:tabs>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highlight w:val="none"/>
                <w:lang w:val="en-US" w:eastAsia="zh-CN" w:bidi="ar-SA"/>
              </w:rPr>
              <w:t>根据福州市人民政府榕政综[2014]30号文件正式批准实施《福州市环境空气质量功能区划(报批稿)》的规定，项目所在区域环境空气功能规划为二类区，环境空气质量执行《环境空气质量标准》(GB3095-2012)及其修改单中的二级标准。非甲烷总烃参照执行《大气污染物综合排放标准详解》(国家</w:t>
            </w:r>
            <w:r>
              <w:rPr>
                <w:rFonts w:hint="eastAsia" w:cs="宋体"/>
                <w:color w:val="auto"/>
                <w:kern w:val="0"/>
                <w:sz w:val="24"/>
                <w:szCs w:val="20"/>
                <w:highlight w:val="none"/>
                <w:lang w:val="en-US" w:eastAsia="zh-CN" w:bidi="ar-SA"/>
              </w:rPr>
              <w:t>生态环境局</w:t>
            </w:r>
            <w:r>
              <w:rPr>
                <w:rFonts w:hint="eastAsia" w:ascii="Times New Roman" w:hAnsi="Times New Roman" w:eastAsia="宋体" w:cs="宋体"/>
                <w:color w:val="auto"/>
                <w:kern w:val="0"/>
                <w:sz w:val="24"/>
                <w:szCs w:val="20"/>
                <w:highlight w:val="none"/>
                <w:lang w:val="en-US" w:eastAsia="zh-CN" w:bidi="ar-SA"/>
              </w:rPr>
              <w:t>科技标准司)中规定的标准限值，具体详见表3.1-2。</w:t>
            </w:r>
          </w:p>
          <w:p w14:paraId="31905E57">
            <w:pPr>
              <w:keepNext/>
              <w:keepLines/>
              <w:pageBreakBefore w:val="0"/>
              <w:widowControl w:val="0"/>
              <w:numPr>
                <w:ilvl w:val="7"/>
                <w:numId w:val="0"/>
              </w:numPr>
              <w:tabs>
                <w:tab w:val="left" w:pos="0"/>
                <w:tab w:val="left" w:pos="420"/>
              </w:tabs>
              <w:kinsoku/>
              <w:wordWrap/>
              <w:overflowPunct/>
              <w:topLinePunct w:val="0"/>
              <w:autoSpaceDE/>
              <w:autoSpaceDN/>
              <w:bidi w:val="0"/>
              <w:adjustRightInd/>
              <w:snapToGrid/>
              <w:spacing w:before="0" w:after="0" w:line="240" w:lineRule="auto"/>
              <w:ind w:left="630" w:leftChars="0"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宋体"/>
                <w:b/>
                <w:bCs/>
                <w:color w:val="auto"/>
                <w:kern w:val="2"/>
                <w:sz w:val="24"/>
                <w:szCs w:val="21"/>
                <w:lang w:val="en-US" w:eastAsia="zh-CN" w:bidi="ar-SA"/>
              </w:rPr>
              <w:t>表1.1-2</w:t>
            </w:r>
            <w:r>
              <w:rPr>
                <w:rFonts w:hint="eastAsia" w:ascii="Times New Roman" w:hAnsi="Times New Roman" w:eastAsia="宋体" w:cs="Times New Roman"/>
                <w:b/>
                <w:bCs/>
                <w:color w:val="auto"/>
                <w:kern w:val="2"/>
                <w:sz w:val="24"/>
                <w:szCs w:val="21"/>
                <w:highlight w:val="none"/>
                <w:lang w:val="en-US" w:eastAsia="zh-CN" w:bidi="ar-SA"/>
              </w:rPr>
              <w:t>环境空气标准一览表</w:t>
            </w:r>
          </w:p>
          <w:tbl>
            <w:tblPr>
              <w:tblStyle w:val="24"/>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76"/>
              <w:gridCol w:w="2410"/>
              <w:gridCol w:w="1921"/>
              <w:gridCol w:w="2603"/>
            </w:tblGrid>
            <w:tr w14:paraId="760D95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tcBorders>
                    <w:bottom w:val="single" w:color="000000" w:sz="12" w:space="0"/>
                  </w:tcBorders>
                  <w:vAlign w:val="center"/>
                </w:tcPr>
                <w:p w14:paraId="24485D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4"/>
                      <w:kern w:val="2"/>
                      <w:sz w:val="21"/>
                      <w:szCs w:val="24"/>
                      <w:lang w:val="zh-CN" w:eastAsia="zh-CN" w:bidi="zh-CN"/>
                    </w:rPr>
                    <w:t>污染物名称</w:t>
                  </w:r>
                </w:p>
              </w:tc>
              <w:tc>
                <w:tcPr>
                  <w:tcW w:w="1399" w:type="pct"/>
                  <w:tcBorders>
                    <w:bottom w:val="single" w:color="000000" w:sz="12" w:space="0"/>
                  </w:tcBorders>
                  <w:vAlign w:val="center"/>
                </w:tcPr>
                <w:p w14:paraId="24798EF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7"/>
                      <w:kern w:val="2"/>
                      <w:sz w:val="21"/>
                      <w:szCs w:val="24"/>
                      <w:lang w:val="zh-CN" w:eastAsia="zh-CN" w:bidi="zh-CN"/>
                    </w:rPr>
                    <w:t>取值时间</w:t>
                  </w:r>
                </w:p>
              </w:tc>
              <w:tc>
                <w:tcPr>
                  <w:tcW w:w="1115" w:type="pct"/>
                  <w:tcBorders>
                    <w:bottom w:val="single" w:color="000000" w:sz="12" w:space="0"/>
                  </w:tcBorders>
                  <w:vAlign w:val="center"/>
                </w:tcPr>
                <w:p w14:paraId="60C016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7"/>
                      <w:kern w:val="2"/>
                      <w:sz w:val="21"/>
                      <w:szCs w:val="24"/>
                      <w:lang w:val="zh-CN" w:eastAsia="zh-CN" w:bidi="zh-CN"/>
                    </w:rPr>
                    <w:t>浓度限值</w:t>
                  </w:r>
                </w:p>
              </w:tc>
              <w:tc>
                <w:tcPr>
                  <w:tcW w:w="1511" w:type="pct"/>
                  <w:tcBorders>
                    <w:bottom w:val="single" w:color="000000" w:sz="12" w:space="0"/>
                  </w:tcBorders>
                  <w:vAlign w:val="center"/>
                </w:tcPr>
                <w:p w14:paraId="7CFF306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7"/>
                      <w:kern w:val="2"/>
                      <w:sz w:val="21"/>
                      <w:szCs w:val="24"/>
                      <w:lang w:val="zh-CN" w:eastAsia="zh-CN" w:bidi="zh-CN"/>
                    </w:rPr>
                    <w:t>标准来源</w:t>
                  </w:r>
                </w:p>
              </w:tc>
            </w:tr>
            <w:tr w14:paraId="0D71BD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op w:val="single" w:color="000000" w:sz="12" w:space="0"/>
                    <w:tl2br w:val="nil"/>
                    <w:tr2bl w:val="nil"/>
                  </w:tcBorders>
                  <w:vAlign w:val="center"/>
                </w:tcPr>
                <w:p w14:paraId="46646D6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kern w:val="2"/>
                      <w:sz w:val="13"/>
                      <w:szCs w:val="24"/>
                      <w:lang w:val="zh-CN" w:eastAsia="zh-CN" w:bidi="zh-CN"/>
                    </w:rPr>
                  </w:pPr>
                </w:p>
                <w:p w14:paraId="595F56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4"/>
                      <w:kern w:val="2"/>
                      <w:position w:val="2"/>
                      <w:sz w:val="21"/>
                      <w:szCs w:val="24"/>
                      <w:lang w:val="zh-CN" w:eastAsia="zh-CN" w:bidi="zh-CN"/>
                    </w:rPr>
                    <w:t>PM</w:t>
                  </w:r>
                  <w:r>
                    <w:rPr>
                      <w:rFonts w:ascii="Times New Roman" w:hAnsi="Times New Roman" w:eastAsia="宋体" w:cs="宋体"/>
                      <w:color w:val="auto"/>
                      <w:spacing w:val="-4"/>
                      <w:kern w:val="2"/>
                      <w:sz w:val="13"/>
                      <w:szCs w:val="24"/>
                      <w:lang w:val="zh-CN" w:eastAsia="zh-CN" w:bidi="zh-CN"/>
                    </w:rPr>
                    <w:t>10</w:t>
                  </w:r>
                </w:p>
              </w:tc>
              <w:tc>
                <w:tcPr>
                  <w:tcW w:w="1399" w:type="pct"/>
                  <w:tcBorders>
                    <w:top w:val="single" w:color="000000" w:sz="12" w:space="0"/>
                    <w:tl2br w:val="nil"/>
                    <w:tr2bl w:val="nil"/>
                  </w:tcBorders>
                  <w:vAlign w:val="center"/>
                </w:tcPr>
                <w:p w14:paraId="5F735DF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sz w:val="21"/>
                      <w:szCs w:val="24"/>
                      <w:lang w:val="zh-CN" w:eastAsia="zh-CN" w:bidi="zh-CN"/>
                    </w:rPr>
                    <w:t>年平均</w:t>
                  </w:r>
                </w:p>
              </w:tc>
              <w:tc>
                <w:tcPr>
                  <w:tcW w:w="1115" w:type="pct"/>
                  <w:tcBorders>
                    <w:top w:val="single" w:color="000000" w:sz="12" w:space="0"/>
                    <w:tl2br w:val="nil"/>
                    <w:tr2bl w:val="nil"/>
                  </w:tcBorders>
                  <w:vAlign w:val="center"/>
                </w:tcPr>
                <w:p w14:paraId="29AC593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70μg/m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restart"/>
                  <w:tcBorders>
                    <w:top w:val="single" w:color="000000" w:sz="12" w:space="0"/>
                    <w:tl2br w:val="nil"/>
                    <w:tr2bl w:val="nil"/>
                  </w:tcBorders>
                  <w:vAlign w:val="center"/>
                </w:tcPr>
                <w:p w14:paraId="659EDE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3"/>
                      <w:kern w:val="2"/>
                      <w:sz w:val="21"/>
                      <w:szCs w:val="24"/>
                      <w:lang w:val="zh-CN" w:eastAsia="zh-CN" w:bidi="zh-CN"/>
                    </w:rPr>
                    <w:t>《环境空气质量标准》</w:t>
                  </w:r>
                </w:p>
                <w:p w14:paraId="1023EA5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(GB3095-2012</w:t>
                  </w:r>
                  <w:r>
                    <w:rPr>
                      <w:rFonts w:hint="eastAsia" w:ascii="Times New Roman" w:hAnsi="Times New Roman" w:eastAsia="宋体" w:cs="宋体"/>
                      <w:color w:val="auto"/>
                      <w:spacing w:val="-2"/>
                      <w:kern w:val="2"/>
                      <w:sz w:val="21"/>
                      <w:szCs w:val="24"/>
                      <w:lang w:val="zh-CN" w:eastAsia="zh-CN" w:bidi="zh-CN"/>
                    </w:rPr>
                    <w:t>)</w:t>
                  </w:r>
                  <w:r>
                    <w:rPr>
                      <w:rFonts w:ascii="Times New Roman" w:hAnsi="Times New Roman" w:eastAsia="宋体" w:cs="宋体"/>
                      <w:color w:val="auto"/>
                      <w:spacing w:val="-4"/>
                      <w:kern w:val="2"/>
                      <w:sz w:val="21"/>
                      <w:szCs w:val="24"/>
                      <w:lang w:val="zh-CN" w:eastAsia="zh-CN" w:bidi="zh-CN"/>
                    </w:rPr>
                    <w:t>及其修改单中的二级标准</w:t>
                  </w:r>
                </w:p>
              </w:tc>
            </w:tr>
            <w:tr w14:paraId="1D6641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50A66490">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00C7039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kern w:val="2"/>
                      <w:sz w:val="21"/>
                      <w:szCs w:val="24"/>
                      <w:lang w:val="zh-CN" w:eastAsia="zh-CN" w:bidi="zh-CN"/>
                    </w:rPr>
                    <w:t>24</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1718015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150μg/m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21FACCE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42414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2549A86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kern w:val="2"/>
                      <w:sz w:val="13"/>
                      <w:szCs w:val="24"/>
                      <w:lang w:val="zh-CN" w:eastAsia="zh-CN" w:bidi="zh-CN"/>
                    </w:rPr>
                  </w:pPr>
                </w:p>
                <w:p w14:paraId="6633F3D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w w:val="105"/>
                      <w:kern w:val="2"/>
                      <w:position w:val="2"/>
                      <w:sz w:val="21"/>
                      <w:szCs w:val="24"/>
                      <w:lang w:val="zh-CN" w:eastAsia="zh-CN" w:bidi="zh-CN"/>
                    </w:rPr>
                    <w:t>PM</w:t>
                  </w:r>
                  <w:r>
                    <w:rPr>
                      <w:rFonts w:ascii="Times New Roman" w:hAnsi="Times New Roman" w:eastAsia="宋体" w:cs="宋体"/>
                      <w:color w:val="auto"/>
                      <w:spacing w:val="-2"/>
                      <w:w w:val="105"/>
                      <w:kern w:val="2"/>
                      <w:sz w:val="13"/>
                      <w:szCs w:val="24"/>
                      <w:lang w:val="zh-CN" w:eastAsia="zh-CN" w:bidi="zh-CN"/>
                    </w:rPr>
                    <w:t>2.5</w:t>
                  </w:r>
                </w:p>
              </w:tc>
              <w:tc>
                <w:tcPr>
                  <w:tcW w:w="1399" w:type="pct"/>
                  <w:tcBorders>
                    <w:tl2br w:val="nil"/>
                    <w:tr2bl w:val="nil"/>
                  </w:tcBorders>
                  <w:vAlign w:val="center"/>
                </w:tcPr>
                <w:p w14:paraId="09D94D9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sz w:val="21"/>
                      <w:szCs w:val="24"/>
                      <w:lang w:val="zh-CN" w:eastAsia="zh-CN" w:bidi="zh-CN"/>
                    </w:rPr>
                    <w:t>年平均</w:t>
                  </w:r>
                </w:p>
              </w:tc>
              <w:tc>
                <w:tcPr>
                  <w:tcW w:w="1115" w:type="pct"/>
                  <w:tcBorders>
                    <w:tl2br w:val="nil"/>
                    <w:tr2bl w:val="nil"/>
                  </w:tcBorders>
                  <w:vAlign w:val="center"/>
                </w:tcPr>
                <w:p w14:paraId="32A7441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35μg/m</w:t>
                  </w:r>
                  <w:r>
                    <w:rPr>
                      <w:rFonts w:ascii="Times New Roman" w:hAnsi="Times New Roman" w:eastAsia="宋体" w:cs="宋体"/>
                      <w:color w:val="auto"/>
                      <w:spacing w:val="-2"/>
                      <w:kern w:val="2"/>
                      <w:position w:val="7"/>
                      <w:sz w:val="13"/>
                      <w:szCs w:val="24"/>
                      <w:lang w:val="zh-CN" w:eastAsia="zh-CN" w:bidi="zh-CN"/>
                    </w:rPr>
                    <w:t>3</w:t>
                  </w:r>
                </w:p>
              </w:tc>
              <w:tc>
                <w:tcPr>
                  <w:tcW w:w="1511" w:type="pct"/>
                  <w:vMerge w:val="continue"/>
                  <w:tcBorders>
                    <w:tl2br w:val="nil"/>
                    <w:tr2bl w:val="nil"/>
                  </w:tcBorders>
                  <w:vAlign w:val="center"/>
                </w:tcPr>
                <w:p w14:paraId="7711986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1AA235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3B4D9C66">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3EE16A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kern w:val="2"/>
                      <w:sz w:val="21"/>
                      <w:szCs w:val="24"/>
                      <w:lang w:val="zh-CN" w:eastAsia="zh-CN" w:bidi="zh-CN"/>
                    </w:rPr>
                    <w:t>24</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41C752A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75μg/m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428A560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601626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08746E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kern w:val="2"/>
                      <w:sz w:val="21"/>
                      <w:szCs w:val="24"/>
                      <w:lang w:val="zh-CN" w:eastAsia="zh-CN" w:bidi="zh-CN"/>
                    </w:rPr>
                  </w:pPr>
                </w:p>
                <w:p w14:paraId="76F2C70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position w:val="2"/>
                      <w:sz w:val="21"/>
                      <w:szCs w:val="24"/>
                      <w:lang w:val="zh-CN" w:eastAsia="zh-CN" w:bidi="zh-CN"/>
                    </w:rPr>
                    <w:t>SO</w:t>
                  </w:r>
                  <w:r>
                    <w:rPr>
                      <w:rFonts w:ascii="Times New Roman" w:hAnsi="Times New Roman" w:eastAsia="宋体" w:cs="宋体"/>
                      <w:color w:val="auto"/>
                      <w:spacing w:val="-5"/>
                      <w:kern w:val="2"/>
                      <w:sz w:val="13"/>
                      <w:szCs w:val="24"/>
                      <w:lang w:val="zh-CN" w:eastAsia="zh-CN" w:bidi="zh-CN"/>
                    </w:rPr>
                    <w:t>2</w:t>
                  </w:r>
                </w:p>
              </w:tc>
              <w:tc>
                <w:tcPr>
                  <w:tcW w:w="1399" w:type="pct"/>
                  <w:tcBorders>
                    <w:tl2br w:val="nil"/>
                    <w:tr2bl w:val="nil"/>
                  </w:tcBorders>
                  <w:vAlign w:val="center"/>
                </w:tcPr>
                <w:p w14:paraId="5DE3C45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sz w:val="21"/>
                      <w:szCs w:val="24"/>
                      <w:lang w:val="zh-CN" w:eastAsia="zh-CN" w:bidi="zh-CN"/>
                    </w:rPr>
                    <w:t>年平均</w:t>
                  </w:r>
                </w:p>
              </w:tc>
              <w:tc>
                <w:tcPr>
                  <w:tcW w:w="1115" w:type="pct"/>
                  <w:tcBorders>
                    <w:tl2br w:val="nil"/>
                    <w:tr2bl w:val="nil"/>
                  </w:tcBorders>
                  <w:vAlign w:val="center"/>
                </w:tcPr>
                <w:p w14:paraId="55708CD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60μg/m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1EA9B41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0996E0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6404C959">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1F66B89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kern w:val="2"/>
                      <w:sz w:val="21"/>
                      <w:szCs w:val="24"/>
                      <w:lang w:val="zh-CN" w:eastAsia="zh-CN" w:bidi="zh-CN"/>
                    </w:rPr>
                    <w:t>24</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12241BF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150μg/m</w:t>
                  </w:r>
                  <w:r>
                    <w:rPr>
                      <w:rFonts w:ascii="Times New Roman" w:hAnsi="Times New Roman" w:eastAsia="宋体" w:cs="宋体"/>
                      <w:color w:val="auto"/>
                      <w:spacing w:val="-2"/>
                      <w:kern w:val="2"/>
                      <w:position w:val="7"/>
                      <w:sz w:val="13"/>
                      <w:szCs w:val="24"/>
                      <w:lang w:val="zh-CN" w:eastAsia="zh-CN" w:bidi="zh-CN"/>
                    </w:rPr>
                    <w:t>3</w:t>
                  </w:r>
                </w:p>
              </w:tc>
              <w:tc>
                <w:tcPr>
                  <w:tcW w:w="1511" w:type="pct"/>
                  <w:vMerge w:val="continue"/>
                  <w:tcBorders>
                    <w:tl2br w:val="nil"/>
                    <w:tr2bl w:val="nil"/>
                  </w:tcBorders>
                  <w:vAlign w:val="center"/>
                </w:tcPr>
                <w:p w14:paraId="36A551A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676BD7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36469980">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776F086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kern w:val="2"/>
                      <w:sz w:val="21"/>
                      <w:szCs w:val="24"/>
                      <w:lang w:val="zh-CN" w:eastAsia="zh-CN" w:bidi="zh-CN"/>
                    </w:rPr>
                    <w:t>1</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258D884E">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500μg/m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1357734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6B137C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09DBD4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kern w:val="2"/>
                      <w:sz w:val="21"/>
                      <w:szCs w:val="24"/>
                      <w:lang w:val="zh-CN" w:eastAsia="zh-CN" w:bidi="zh-CN"/>
                    </w:rPr>
                  </w:pPr>
                </w:p>
                <w:p w14:paraId="6C02E2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position w:val="2"/>
                      <w:sz w:val="21"/>
                      <w:szCs w:val="24"/>
                      <w:lang w:val="zh-CN" w:eastAsia="zh-CN" w:bidi="zh-CN"/>
                    </w:rPr>
                    <w:t>NO</w:t>
                  </w:r>
                  <w:r>
                    <w:rPr>
                      <w:rFonts w:ascii="Times New Roman" w:hAnsi="Times New Roman" w:eastAsia="宋体" w:cs="宋体"/>
                      <w:color w:val="auto"/>
                      <w:spacing w:val="-5"/>
                      <w:kern w:val="2"/>
                      <w:sz w:val="13"/>
                      <w:szCs w:val="24"/>
                      <w:lang w:val="zh-CN" w:eastAsia="zh-CN" w:bidi="zh-CN"/>
                    </w:rPr>
                    <w:t>2</w:t>
                  </w:r>
                </w:p>
              </w:tc>
              <w:tc>
                <w:tcPr>
                  <w:tcW w:w="1399" w:type="pct"/>
                  <w:tcBorders>
                    <w:tl2br w:val="nil"/>
                    <w:tr2bl w:val="nil"/>
                  </w:tcBorders>
                  <w:vAlign w:val="center"/>
                </w:tcPr>
                <w:p w14:paraId="6D9C7A5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5"/>
                      <w:kern w:val="2"/>
                      <w:sz w:val="21"/>
                      <w:szCs w:val="24"/>
                      <w:lang w:val="zh-CN" w:eastAsia="zh-CN" w:bidi="zh-CN"/>
                    </w:rPr>
                    <w:t>年平均</w:t>
                  </w:r>
                </w:p>
              </w:tc>
              <w:tc>
                <w:tcPr>
                  <w:tcW w:w="1115" w:type="pct"/>
                  <w:tcBorders>
                    <w:tl2br w:val="nil"/>
                    <w:tr2bl w:val="nil"/>
                  </w:tcBorders>
                  <w:vAlign w:val="center"/>
                </w:tcPr>
                <w:p w14:paraId="4D8B281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40μg/m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6913EF6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0764F4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68E39F2F">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1FD1F3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kern w:val="2"/>
                      <w:sz w:val="21"/>
                      <w:szCs w:val="24"/>
                      <w:lang w:val="zh-CN" w:eastAsia="zh-CN" w:bidi="zh-CN"/>
                    </w:rPr>
                    <w:t>24</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35E39AD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80μg/m</w:t>
                  </w:r>
                  <w:r>
                    <w:rPr>
                      <w:rFonts w:ascii="Times New Roman" w:hAnsi="Times New Roman" w:eastAsia="宋体" w:cs="宋体"/>
                      <w:color w:val="auto"/>
                      <w:spacing w:val="-2"/>
                      <w:kern w:val="2"/>
                      <w:position w:val="7"/>
                      <w:sz w:val="13"/>
                      <w:szCs w:val="24"/>
                      <w:lang w:val="zh-CN" w:eastAsia="zh-CN" w:bidi="zh-CN"/>
                    </w:rPr>
                    <w:t>3</w:t>
                  </w:r>
                </w:p>
              </w:tc>
              <w:tc>
                <w:tcPr>
                  <w:tcW w:w="1511" w:type="pct"/>
                  <w:vMerge w:val="continue"/>
                  <w:tcBorders>
                    <w:tl2br w:val="nil"/>
                    <w:tr2bl w:val="nil"/>
                  </w:tcBorders>
                  <w:vAlign w:val="center"/>
                </w:tcPr>
                <w:p w14:paraId="7BEF2D8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1911EF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47E96142">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19C17E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kern w:val="2"/>
                      <w:sz w:val="21"/>
                      <w:szCs w:val="24"/>
                      <w:lang w:val="zh-CN" w:eastAsia="zh-CN" w:bidi="zh-CN"/>
                    </w:rPr>
                    <w:t>1</w:t>
                  </w:r>
                  <w:r>
                    <w:rPr>
                      <w:rFonts w:ascii="Times New Roman" w:hAnsi="Times New Roman" w:eastAsia="宋体" w:cs="宋体"/>
                      <w:color w:val="auto"/>
                      <w:spacing w:val="-3"/>
                      <w:kern w:val="2"/>
                      <w:sz w:val="21"/>
                      <w:szCs w:val="24"/>
                      <w:lang w:val="zh-CN" w:eastAsia="zh-CN" w:bidi="zh-CN"/>
                    </w:rPr>
                    <w:t>小时平均</w:t>
                  </w:r>
                </w:p>
              </w:tc>
              <w:tc>
                <w:tcPr>
                  <w:tcW w:w="1115" w:type="pct"/>
                  <w:tcBorders>
                    <w:tl2br w:val="nil"/>
                    <w:tr2bl w:val="nil"/>
                  </w:tcBorders>
                  <w:vAlign w:val="center"/>
                </w:tcPr>
                <w:p w14:paraId="3025B2E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200μg/m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2C3221A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74E9F2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113FD8D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sz w:val="21"/>
                      <w:szCs w:val="24"/>
                      <w:lang w:val="zh-CN" w:eastAsia="zh-CN" w:bidi="zh-CN"/>
                    </w:rPr>
                    <w:t>CO</w:t>
                  </w:r>
                </w:p>
              </w:tc>
              <w:tc>
                <w:tcPr>
                  <w:tcW w:w="1399" w:type="pct"/>
                  <w:tcBorders>
                    <w:tl2br w:val="nil"/>
                    <w:tr2bl w:val="nil"/>
                  </w:tcBorders>
                  <w:vAlign w:val="center"/>
                </w:tcPr>
                <w:p w14:paraId="1F65F4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2"/>
                      <w:kern w:val="2"/>
                      <w:sz w:val="21"/>
                      <w:szCs w:val="24"/>
                      <w:lang w:val="zh-CN" w:eastAsia="zh-CN" w:bidi="zh-CN"/>
                    </w:rPr>
                    <w:t>24</w:t>
                  </w:r>
                  <w:r>
                    <w:rPr>
                      <w:rFonts w:ascii="Times New Roman" w:hAnsi="Times New Roman" w:eastAsia="宋体" w:cs="宋体"/>
                      <w:color w:val="auto"/>
                      <w:spacing w:val="-4"/>
                      <w:kern w:val="2"/>
                      <w:sz w:val="21"/>
                      <w:szCs w:val="24"/>
                      <w:lang w:val="zh-CN" w:eastAsia="zh-CN" w:bidi="zh-CN"/>
                    </w:rPr>
                    <w:t>小时平均</w:t>
                  </w:r>
                </w:p>
              </w:tc>
              <w:tc>
                <w:tcPr>
                  <w:tcW w:w="1115" w:type="pct"/>
                  <w:tcBorders>
                    <w:tl2br w:val="nil"/>
                    <w:tr2bl w:val="nil"/>
                  </w:tcBorders>
                  <w:vAlign w:val="center"/>
                </w:tcPr>
                <w:p w14:paraId="6325188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4mg/m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2635EBE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3F03FE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5793DCBC">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5E39AE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2"/>
                      <w:kern w:val="2"/>
                      <w:sz w:val="21"/>
                      <w:szCs w:val="24"/>
                      <w:lang w:val="zh-CN" w:eastAsia="zh-CN" w:bidi="zh-CN"/>
                    </w:rPr>
                    <w:t>1</w:t>
                  </w:r>
                  <w:r>
                    <w:rPr>
                      <w:rFonts w:ascii="Times New Roman" w:hAnsi="Times New Roman" w:eastAsia="宋体" w:cs="宋体"/>
                      <w:color w:val="auto"/>
                      <w:spacing w:val="-4"/>
                      <w:kern w:val="2"/>
                      <w:sz w:val="21"/>
                      <w:szCs w:val="24"/>
                      <w:lang w:val="zh-CN" w:eastAsia="zh-CN" w:bidi="zh-CN"/>
                    </w:rPr>
                    <w:t>小时平均</w:t>
                  </w:r>
                </w:p>
              </w:tc>
              <w:tc>
                <w:tcPr>
                  <w:tcW w:w="1115" w:type="pct"/>
                  <w:tcBorders>
                    <w:tl2br w:val="nil"/>
                    <w:tr2bl w:val="nil"/>
                  </w:tcBorders>
                  <w:vAlign w:val="center"/>
                </w:tcPr>
                <w:p w14:paraId="2E3B07E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10mg/m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381F77F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3A0192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130D65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5"/>
                      <w:kern w:val="2"/>
                      <w:position w:val="2"/>
                      <w:sz w:val="21"/>
                      <w:szCs w:val="24"/>
                      <w:lang w:val="zh-CN" w:eastAsia="zh-CN" w:bidi="zh-CN"/>
                    </w:rPr>
                    <w:t>O</w:t>
                  </w:r>
                  <w:r>
                    <w:rPr>
                      <w:rFonts w:ascii="Times New Roman" w:hAnsi="Times New Roman" w:eastAsia="宋体" w:cs="宋体"/>
                      <w:color w:val="auto"/>
                      <w:spacing w:val="-5"/>
                      <w:kern w:val="2"/>
                      <w:sz w:val="13"/>
                      <w:szCs w:val="24"/>
                      <w:lang w:val="zh-CN" w:eastAsia="zh-CN" w:bidi="zh-CN"/>
                    </w:rPr>
                    <w:t>3</w:t>
                  </w:r>
                </w:p>
              </w:tc>
              <w:tc>
                <w:tcPr>
                  <w:tcW w:w="1399" w:type="pct"/>
                  <w:tcBorders>
                    <w:tl2br w:val="nil"/>
                    <w:tr2bl w:val="nil"/>
                  </w:tcBorders>
                  <w:vAlign w:val="center"/>
                </w:tcPr>
                <w:p w14:paraId="2A1A215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2"/>
                      <w:kern w:val="2"/>
                      <w:sz w:val="21"/>
                      <w:szCs w:val="24"/>
                      <w:lang w:val="zh-CN" w:eastAsia="zh-CN" w:bidi="zh-CN"/>
                    </w:rPr>
                    <w:t>日最大8</w:t>
                  </w:r>
                  <w:r>
                    <w:rPr>
                      <w:rFonts w:ascii="Times New Roman" w:hAnsi="Times New Roman" w:eastAsia="宋体" w:cs="宋体"/>
                      <w:color w:val="auto"/>
                      <w:spacing w:val="-4"/>
                      <w:kern w:val="2"/>
                      <w:sz w:val="21"/>
                      <w:szCs w:val="24"/>
                      <w:lang w:val="zh-CN" w:eastAsia="zh-CN" w:bidi="zh-CN"/>
                    </w:rPr>
                    <w:t>小时平均</w:t>
                  </w:r>
                </w:p>
              </w:tc>
              <w:tc>
                <w:tcPr>
                  <w:tcW w:w="1115" w:type="pct"/>
                  <w:tcBorders>
                    <w:tl2br w:val="nil"/>
                    <w:tr2bl w:val="nil"/>
                  </w:tcBorders>
                  <w:vAlign w:val="center"/>
                </w:tcPr>
                <w:p w14:paraId="793F1DE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160μg/m</w:t>
                  </w:r>
                  <w:r>
                    <w:rPr>
                      <w:rFonts w:ascii="Times New Roman" w:hAnsi="Times New Roman" w:eastAsia="宋体" w:cs="宋体"/>
                      <w:color w:val="auto"/>
                      <w:spacing w:val="-2"/>
                      <w:kern w:val="2"/>
                      <w:position w:val="7"/>
                      <w:sz w:val="13"/>
                      <w:szCs w:val="24"/>
                      <w:lang w:val="zh-CN" w:eastAsia="zh-CN" w:bidi="zh-CN"/>
                    </w:rPr>
                    <w:t>3</w:t>
                  </w:r>
                </w:p>
              </w:tc>
              <w:tc>
                <w:tcPr>
                  <w:tcW w:w="1511" w:type="pct"/>
                  <w:vMerge w:val="continue"/>
                  <w:tcBorders>
                    <w:tl2br w:val="nil"/>
                    <w:tr2bl w:val="nil"/>
                  </w:tcBorders>
                  <w:vAlign w:val="center"/>
                </w:tcPr>
                <w:p w14:paraId="02B3A19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5AF900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78131B63">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vAlign w:val="center"/>
                </w:tcPr>
                <w:p w14:paraId="4194D5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2"/>
                      <w:kern w:val="2"/>
                      <w:sz w:val="21"/>
                      <w:szCs w:val="24"/>
                      <w:lang w:val="zh-CN" w:eastAsia="zh-CN" w:bidi="zh-CN"/>
                    </w:rPr>
                    <w:t>1</w:t>
                  </w:r>
                  <w:r>
                    <w:rPr>
                      <w:rFonts w:ascii="Times New Roman" w:hAnsi="Times New Roman" w:eastAsia="宋体" w:cs="宋体"/>
                      <w:color w:val="auto"/>
                      <w:spacing w:val="-4"/>
                      <w:kern w:val="2"/>
                      <w:sz w:val="21"/>
                      <w:szCs w:val="24"/>
                      <w:lang w:val="zh-CN" w:eastAsia="zh-CN" w:bidi="zh-CN"/>
                    </w:rPr>
                    <w:t>小时平均</w:t>
                  </w:r>
                </w:p>
              </w:tc>
              <w:tc>
                <w:tcPr>
                  <w:tcW w:w="1115" w:type="pct"/>
                  <w:tcBorders>
                    <w:tl2br w:val="nil"/>
                    <w:tr2bl w:val="nil"/>
                  </w:tcBorders>
                  <w:vAlign w:val="center"/>
                </w:tcPr>
                <w:p w14:paraId="1774D2D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2"/>
                      <w:kern w:val="2"/>
                      <w:sz w:val="21"/>
                      <w:szCs w:val="24"/>
                      <w:lang w:val="zh-CN" w:eastAsia="zh-CN" w:bidi="zh-CN"/>
                    </w:rPr>
                    <w:t>200μg/m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vMerge w:val="continue"/>
                  <w:tcBorders>
                    <w:tl2br w:val="nil"/>
                    <w:tr2bl w:val="nil"/>
                  </w:tcBorders>
                  <w:vAlign w:val="center"/>
                </w:tcPr>
                <w:p w14:paraId="2C9F5E6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3AEDED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13F7BA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TSP</w:t>
                  </w:r>
                </w:p>
              </w:tc>
              <w:tc>
                <w:tcPr>
                  <w:tcW w:w="1399" w:type="pct"/>
                  <w:tcBorders>
                    <w:tl2br w:val="nil"/>
                    <w:tr2bl w:val="nil"/>
                  </w:tcBorders>
                  <w:shd w:val="clear" w:color="auto" w:fill="auto"/>
                  <w:vAlign w:val="top"/>
                </w:tcPr>
                <w:p w14:paraId="0440A91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kern w:val="2"/>
                      <w:sz w:val="21"/>
                      <w:szCs w:val="24"/>
                      <w:lang w:val="en-US" w:eastAsia="en-US" w:bidi="zh-CN"/>
                    </w:rPr>
                  </w:pPr>
                  <w:r>
                    <w:rPr>
                      <w:rFonts w:ascii="Times New Roman" w:hAnsi="Times New Roman" w:eastAsia="宋体" w:cs="宋体"/>
                      <w:color w:val="auto"/>
                      <w:spacing w:val="-2"/>
                      <w:kern w:val="2"/>
                      <w:sz w:val="21"/>
                      <w:szCs w:val="24"/>
                      <w:lang w:val="zh-CN" w:eastAsia="zh-CN" w:bidi="zh-CN"/>
                    </w:rPr>
                    <w:t>年平均</w:t>
                  </w:r>
                </w:p>
              </w:tc>
              <w:tc>
                <w:tcPr>
                  <w:tcW w:w="1115" w:type="pct"/>
                  <w:tcBorders>
                    <w:tl2br w:val="nil"/>
                    <w:tr2bl w:val="nil"/>
                  </w:tcBorders>
                  <w:shd w:val="clear" w:color="auto" w:fill="auto"/>
                  <w:vAlign w:val="top"/>
                </w:tcPr>
                <w:p w14:paraId="3145D59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kern w:val="2"/>
                      <w:sz w:val="21"/>
                      <w:szCs w:val="24"/>
                      <w:lang w:val="en-US" w:eastAsia="en-US" w:bidi="zh-CN"/>
                    </w:rPr>
                  </w:pPr>
                  <w:r>
                    <w:rPr>
                      <w:rFonts w:ascii="Times New Roman" w:hAnsi="Times New Roman" w:eastAsia="宋体" w:cs="宋体"/>
                      <w:color w:val="auto"/>
                      <w:spacing w:val="-2"/>
                      <w:kern w:val="2"/>
                      <w:sz w:val="21"/>
                      <w:szCs w:val="24"/>
                      <w:lang w:val="zh-CN" w:eastAsia="zh-CN" w:bidi="zh-CN"/>
                    </w:rPr>
                    <w:t>200μg/m³</w:t>
                  </w:r>
                </w:p>
              </w:tc>
              <w:tc>
                <w:tcPr>
                  <w:tcW w:w="1511" w:type="pct"/>
                  <w:vMerge w:val="continue"/>
                  <w:tcBorders>
                    <w:tl2br w:val="nil"/>
                    <w:tr2bl w:val="nil"/>
                  </w:tcBorders>
                  <w:vAlign w:val="center"/>
                </w:tcPr>
                <w:p w14:paraId="388AAF2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093A19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106B41AA">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s="Times New Roman"/>
                      <w:color w:val="auto"/>
                      <w:vertAlign w:val="baseline"/>
                    </w:rPr>
                  </w:pPr>
                </w:p>
              </w:tc>
              <w:tc>
                <w:tcPr>
                  <w:tcW w:w="1399" w:type="pct"/>
                  <w:tcBorders>
                    <w:tl2br w:val="nil"/>
                    <w:tr2bl w:val="nil"/>
                  </w:tcBorders>
                  <w:shd w:val="clear" w:color="auto" w:fill="auto"/>
                  <w:vAlign w:val="top"/>
                </w:tcPr>
                <w:p w14:paraId="0D880ED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kern w:val="2"/>
                      <w:sz w:val="21"/>
                      <w:szCs w:val="24"/>
                      <w:lang w:val="en-US" w:eastAsia="en-US" w:bidi="zh-CN"/>
                    </w:rPr>
                  </w:pPr>
                  <w:r>
                    <w:rPr>
                      <w:rFonts w:ascii="Times New Roman" w:hAnsi="Times New Roman" w:eastAsia="宋体" w:cs="宋体"/>
                      <w:color w:val="auto"/>
                      <w:spacing w:val="-2"/>
                      <w:kern w:val="2"/>
                      <w:sz w:val="21"/>
                      <w:szCs w:val="24"/>
                      <w:lang w:val="zh-CN" w:eastAsia="zh-CN" w:bidi="zh-CN"/>
                    </w:rPr>
                    <w:t>24小时平均</w:t>
                  </w:r>
                </w:p>
              </w:tc>
              <w:tc>
                <w:tcPr>
                  <w:tcW w:w="1115" w:type="pct"/>
                  <w:tcBorders>
                    <w:tl2br w:val="nil"/>
                    <w:tr2bl w:val="nil"/>
                  </w:tcBorders>
                  <w:shd w:val="clear" w:color="auto" w:fill="auto"/>
                  <w:vAlign w:val="top"/>
                </w:tcPr>
                <w:p w14:paraId="159323C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kern w:val="2"/>
                      <w:sz w:val="21"/>
                      <w:szCs w:val="24"/>
                      <w:lang w:val="en-US" w:eastAsia="en-US" w:bidi="zh-CN"/>
                    </w:rPr>
                  </w:pPr>
                  <w:r>
                    <w:rPr>
                      <w:rFonts w:ascii="Times New Roman" w:hAnsi="Times New Roman" w:eastAsia="宋体" w:cs="宋体"/>
                      <w:color w:val="auto"/>
                      <w:spacing w:val="-2"/>
                      <w:kern w:val="2"/>
                      <w:sz w:val="21"/>
                      <w:szCs w:val="24"/>
                      <w:lang w:val="zh-CN" w:eastAsia="zh-CN" w:bidi="zh-CN"/>
                    </w:rPr>
                    <w:t>300μg/m³</w:t>
                  </w:r>
                </w:p>
              </w:tc>
              <w:tc>
                <w:tcPr>
                  <w:tcW w:w="1511" w:type="pct"/>
                  <w:vMerge w:val="continue"/>
                  <w:tcBorders>
                    <w:tl2br w:val="nil"/>
                    <w:tr2bl w:val="nil"/>
                  </w:tcBorders>
                  <w:vAlign w:val="center"/>
                </w:tcPr>
                <w:p w14:paraId="161B3B9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contextualSpacing/>
                    <w:jc w:val="center"/>
                    <w:textAlignment w:val="auto"/>
                    <w:rPr>
                      <w:rFonts w:hint="default" w:ascii="Times New Roman" w:hAnsi="Times New Roman" w:eastAsia="宋体" w:cs="Times New Roman"/>
                      <w:color w:val="auto"/>
                      <w:kern w:val="2"/>
                      <w:sz w:val="21"/>
                      <w:szCs w:val="24"/>
                      <w:vertAlign w:val="baseline"/>
                      <w:lang w:val="en-US" w:eastAsia="zh-CN" w:bidi="ar-SA"/>
                    </w:rPr>
                  </w:pPr>
                </w:p>
              </w:tc>
            </w:tr>
            <w:tr w14:paraId="6F8FF9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tcBorders>
                    <w:tl2br w:val="nil"/>
                    <w:tr2bl w:val="nil"/>
                  </w:tcBorders>
                  <w:vAlign w:val="center"/>
                </w:tcPr>
                <w:p w14:paraId="08F455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color w:val="auto"/>
                      <w:spacing w:val="-4"/>
                      <w:kern w:val="2"/>
                      <w:sz w:val="21"/>
                      <w:szCs w:val="24"/>
                      <w:lang w:val="zh-CN" w:eastAsia="zh-CN" w:bidi="zh-CN"/>
                    </w:rPr>
                  </w:pPr>
                  <w:r>
                    <w:rPr>
                      <w:rFonts w:ascii="Times New Roman" w:hAnsi="Times New Roman" w:eastAsia="宋体" w:cs="宋体"/>
                      <w:color w:val="auto"/>
                      <w:spacing w:val="-4"/>
                      <w:kern w:val="2"/>
                      <w:sz w:val="21"/>
                      <w:szCs w:val="24"/>
                      <w:lang w:val="zh-CN" w:eastAsia="zh-CN" w:bidi="zh-CN"/>
                    </w:rPr>
                    <w:t>非甲烷总烃</w:t>
                  </w:r>
                </w:p>
              </w:tc>
              <w:tc>
                <w:tcPr>
                  <w:tcW w:w="1399" w:type="pct"/>
                  <w:tcBorders>
                    <w:tl2br w:val="nil"/>
                    <w:tr2bl w:val="nil"/>
                  </w:tcBorders>
                  <w:vAlign w:val="center"/>
                </w:tcPr>
                <w:p w14:paraId="450C4B1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宋体" w:eastAsia="Times New Roman" w:cs="宋体"/>
                      <w:color w:val="auto"/>
                      <w:kern w:val="2"/>
                      <w:sz w:val="21"/>
                      <w:szCs w:val="24"/>
                      <w:lang w:val="zh-CN" w:eastAsia="zh-CN" w:bidi="zh-CN"/>
                    </w:rPr>
                  </w:pPr>
                  <w:r>
                    <w:rPr>
                      <w:rFonts w:ascii="Times New Roman" w:hAnsi="Times New Roman" w:eastAsia="宋体" w:cs="宋体"/>
                      <w:color w:val="auto"/>
                      <w:kern w:val="2"/>
                      <w:sz w:val="21"/>
                      <w:szCs w:val="24"/>
                      <w:lang w:val="zh-CN" w:eastAsia="zh-CN" w:bidi="zh-CN"/>
                    </w:rPr>
                    <w:t>1</w:t>
                  </w:r>
                  <w:r>
                    <w:rPr>
                      <w:rFonts w:ascii="Times New Roman" w:hAnsi="Times New Roman" w:eastAsia="宋体" w:cs="宋体"/>
                      <w:color w:val="auto"/>
                      <w:spacing w:val="-3"/>
                      <w:kern w:val="2"/>
                      <w:sz w:val="21"/>
                      <w:szCs w:val="24"/>
                      <w:lang w:val="zh-CN" w:eastAsia="zh-CN" w:bidi="zh-CN"/>
                    </w:rPr>
                    <w:t>小时均值</w:t>
                  </w:r>
                </w:p>
              </w:tc>
              <w:tc>
                <w:tcPr>
                  <w:tcW w:w="1115" w:type="pct"/>
                  <w:tcBorders>
                    <w:tl2br w:val="nil"/>
                    <w:tr2bl w:val="nil"/>
                  </w:tcBorders>
                  <w:vAlign w:val="center"/>
                </w:tcPr>
                <w:p w14:paraId="06CA1D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宋体" w:eastAsia="宋体" w:cs="宋体"/>
                      <w:color w:val="auto"/>
                      <w:spacing w:val="-2"/>
                      <w:kern w:val="2"/>
                      <w:sz w:val="21"/>
                      <w:szCs w:val="24"/>
                      <w:lang w:val="zh-CN" w:eastAsia="zh-CN" w:bidi="zh-CN"/>
                    </w:rPr>
                  </w:pPr>
                  <w:r>
                    <w:rPr>
                      <w:rFonts w:ascii="Times New Roman" w:hAnsi="Times New Roman" w:eastAsia="宋体" w:cs="宋体"/>
                      <w:color w:val="auto"/>
                      <w:spacing w:val="-2"/>
                      <w:kern w:val="2"/>
                      <w:sz w:val="21"/>
                      <w:szCs w:val="24"/>
                      <w:lang w:val="zh-CN" w:eastAsia="zh-CN" w:bidi="zh-CN"/>
                    </w:rPr>
                    <w:t>2.0mg/m</w:t>
                  </w:r>
                  <w:r>
                    <w:rPr>
                      <w:rFonts w:ascii="Times New Roman" w:hAnsi="Times New Roman" w:eastAsia="宋体" w:cs="宋体"/>
                      <w:color w:val="auto"/>
                      <w:spacing w:val="-2"/>
                      <w:kern w:val="2"/>
                      <w:sz w:val="21"/>
                      <w:szCs w:val="24"/>
                      <w:vertAlign w:val="superscript"/>
                      <w:lang w:val="zh-CN" w:eastAsia="zh-CN" w:bidi="zh-CN"/>
                    </w:rPr>
                    <w:t>3</w:t>
                  </w:r>
                </w:p>
              </w:tc>
              <w:tc>
                <w:tcPr>
                  <w:tcW w:w="1511" w:type="pct"/>
                  <w:tcBorders>
                    <w:tl2br w:val="nil"/>
                    <w:tr2bl w:val="nil"/>
                  </w:tcBorders>
                  <w:vAlign w:val="center"/>
                </w:tcPr>
                <w:p w14:paraId="7C950DB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color w:val="auto"/>
                      <w:kern w:val="2"/>
                      <w:sz w:val="21"/>
                      <w:szCs w:val="24"/>
                      <w:vertAlign w:val="baseline"/>
                      <w:lang w:val="zh-CN" w:eastAsia="zh-CN" w:bidi="zh-CN"/>
                    </w:rPr>
                  </w:pPr>
                  <w:r>
                    <w:rPr>
                      <w:rFonts w:ascii="Times New Roman" w:hAnsi="Times New Roman" w:eastAsia="宋体" w:cs="宋体"/>
                      <w:color w:val="auto"/>
                      <w:spacing w:val="-3"/>
                      <w:kern w:val="2"/>
                      <w:sz w:val="21"/>
                      <w:szCs w:val="24"/>
                      <w:highlight w:val="none"/>
                      <w:lang w:val="zh-CN" w:eastAsia="zh-CN" w:bidi="zh-CN"/>
                    </w:rPr>
                    <w:t>《大气污染物综合排放标准</w:t>
                  </w:r>
                  <w:r>
                    <w:rPr>
                      <w:rFonts w:hint="eastAsia" w:ascii="Times New Roman" w:hAnsi="Times New Roman" w:eastAsia="宋体" w:cs="宋体"/>
                      <w:color w:val="auto"/>
                      <w:spacing w:val="-3"/>
                      <w:kern w:val="2"/>
                      <w:sz w:val="21"/>
                      <w:szCs w:val="24"/>
                      <w:highlight w:val="none"/>
                      <w:lang w:val="en-US" w:eastAsia="zh-CN" w:bidi="zh-CN"/>
                    </w:rPr>
                    <w:t>详解</w:t>
                  </w:r>
                  <w:r>
                    <w:rPr>
                      <w:rFonts w:ascii="Times New Roman" w:hAnsi="Times New Roman" w:eastAsia="宋体" w:cs="宋体"/>
                      <w:color w:val="auto"/>
                      <w:spacing w:val="-3"/>
                      <w:kern w:val="2"/>
                      <w:sz w:val="21"/>
                      <w:szCs w:val="24"/>
                      <w:highlight w:val="none"/>
                      <w:lang w:val="zh-CN" w:eastAsia="zh-CN" w:bidi="zh-CN"/>
                    </w:rPr>
                    <w:t>》</w:t>
                  </w:r>
                  <w:r>
                    <w:rPr>
                      <w:rFonts w:hint="eastAsia" w:ascii="Times New Roman" w:hAnsi="Times New Roman" w:eastAsia="宋体" w:cs="宋体"/>
                      <w:color w:val="auto"/>
                      <w:spacing w:val="-3"/>
                      <w:kern w:val="2"/>
                      <w:sz w:val="21"/>
                      <w:szCs w:val="24"/>
                      <w:highlight w:val="none"/>
                      <w:lang w:val="zh-CN" w:eastAsia="zh-CN" w:bidi="zh-CN"/>
                    </w:rPr>
                    <w:t>(</w:t>
                  </w:r>
                  <w:r>
                    <w:rPr>
                      <w:rFonts w:ascii="Times New Roman" w:hAnsi="Times New Roman" w:eastAsia="宋体" w:cs="宋体"/>
                      <w:color w:val="auto"/>
                      <w:spacing w:val="-3"/>
                      <w:kern w:val="2"/>
                      <w:sz w:val="21"/>
                      <w:szCs w:val="24"/>
                      <w:highlight w:val="none"/>
                      <w:lang w:val="zh-CN" w:eastAsia="zh-CN" w:bidi="zh-CN"/>
                    </w:rPr>
                    <w:t>GB16297-1996)</w:t>
                  </w:r>
                </w:p>
              </w:tc>
            </w:tr>
          </w:tbl>
          <w:p w14:paraId="1D4C2B96">
            <w:pPr>
              <w:widowControl w:val="0"/>
              <w:numPr>
                <w:ilvl w:val="0"/>
                <w:numId w:val="0"/>
              </w:numPr>
              <w:spacing w:line="240" w:lineRule="auto"/>
              <w:ind w:left="0" w:firstLine="0" w:firstLineChars="0"/>
              <w:contextualSpacing/>
              <w:jc w:val="center"/>
              <w:rPr>
                <w:rFonts w:hint="default" w:ascii="Times New Roman" w:hAnsi="Times New Roman" w:eastAsia="宋体" w:cs="Times New Roman"/>
                <w:color w:val="auto"/>
                <w:kern w:val="2"/>
                <w:sz w:val="21"/>
                <w:szCs w:val="24"/>
                <w:lang w:val="en-US" w:eastAsia="zh-CN" w:bidi="ar-SA"/>
              </w:rPr>
            </w:pPr>
          </w:p>
          <w:p w14:paraId="7A9F543A">
            <w:pPr>
              <w:keepNext/>
              <w:keepLines/>
              <w:widowControl w:val="0"/>
              <w:numPr>
                <w:ilvl w:val="3"/>
                <w:numId w:val="0"/>
              </w:numPr>
              <w:tabs>
                <w:tab w:val="left" w:pos="0"/>
                <w:tab w:val="left" w:pos="420"/>
              </w:tabs>
              <w:bidi w:val="0"/>
              <w:spacing w:line="360" w:lineRule="auto"/>
              <w:ind w:left="864" w:leftChars="0" w:hanging="864" w:firstLineChars="0"/>
              <w:jc w:val="left"/>
              <w:outlineLvl w:val="3"/>
              <w:rPr>
                <w:rFonts w:hint="default" w:ascii="Times New Roman" w:hAnsi="Times New Roman" w:eastAsia="宋体" w:cs="Times New Roman"/>
                <w:b/>
                <w:bCs/>
                <w:color w:val="auto"/>
                <w:kern w:val="2"/>
                <w:sz w:val="24"/>
                <w:szCs w:val="28"/>
                <w:lang w:val="en-US" w:eastAsia="zh-CN" w:bidi="ar-SA"/>
              </w:rPr>
            </w:pPr>
            <w:r>
              <w:rPr>
                <w:rFonts w:hint="eastAsia" w:ascii="Times New Roman" w:hAnsi="Times New Roman" w:eastAsia="宋体" w:cs="Times New Roman"/>
                <w:b/>
                <w:bCs/>
                <w:color w:val="auto"/>
                <w:kern w:val="2"/>
                <w:sz w:val="24"/>
                <w:szCs w:val="24"/>
                <w:lang w:val="en-US" w:eastAsia="zh-CN" w:bidi="ar-SA"/>
              </w:rPr>
              <w:t>3</w:t>
            </w:r>
            <w:r>
              <w:rPr>
                <w:rFonts w:hint="default" w:ascii="Times New Roman" w:hAnsi="Times New Roman" w:eastAsia="宋体" w:cs="Times New Roman"/>
                <w:b/>
                <w:bCs/>
                <w:color w:val="auto"/>
                <w:kern w:val="2"/>
                <w:sz w:val="24"/>
                <w:szCs w:val="24"/>
                <w:lang w:val="en-US" w:eastAsia="zh-CN" w:bidi="ar-SA"/>
              </w:rPr>
              <w:t>.1.2.2</w:t>
            </w:r>
            <w:r>
              <w:rPr>
                <w:rFonts w:hint="eastAsia" w:ascii="Times New Roman" w:hAnsi="Times New Roman" w:eastAsia="宋体" w:cs="Times New Roman"/>
                <w:b/>
                <w:bCs/>
                <w:color w:val="auto"/>
                <w:kern w:val="2"/>
                <w:sz w:val="24"/>
                <w:szCs w:val="28"/>
                <w:lang w:val="en-US" w:eastAsia="zh-CN" w:bidi="ar-SA"/>
              </w:rPr>
              <w:t>区域大气</w:t>
            </w:r>
            <w:r>
              <w:rPr>
                <w:rFonts w:hint="default" w:ascii="Times New Roman" w:hAnsi="Times New Roman" w:eastAsia="宋体" w:cs="Times New Roman"/>
                <w:b/>
                <w:bCs/>
                <w:color w:val="auto"/>
                <w:kern w:val="2"/>
                <w:sz w:val="24"/>
                <w:szCs w:val="28"/>
                <w:lang w:val="en-US" w:eastAsia="zh-CN" w:bidi="ar-SA"/>
              </w:rPr>
              <w:t>环境质量现状</w:t>
            </w:r>
          </w:p>
          <w:p w14:paraId="1A6EC023">
            <w:pPr>
              <w:widowControl w:val="0"/>
              <w:numPr>
                <w:ilvl w:val="0"/>
                <w:numId w:val="0"/>
              </w:numPr>
              <w:tabs>
                <w:tab w:val="left" w:pos="0"/>
              </w:tabs>
              <w:autoSpaceDE w:val="0"/>
              <w:autoSpaceDN w:val="0"/>
              <w:bidi w:val="0"/>
              <w:spacing w:line="360" w:lineRule="auto"/>
              <w:ind w:left="425" w:leftChars="0" w:hanging="425" w:firstLineChars="0"/>
              <w:jc w:val="both"/>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lang w:val="en-US" w:eastAsia="zh-CN" w:bidi="ar-SA"/>
              </w:rPr>
              <w:t>(</w:t>
            </w:r>
            <w:r>
              <w:rPr>
                <w:rFonts w:hint="default" w:ascii="Times New Roman" w:hAnsi="Times New Roman" w:eastAsia="宋体" w:cs="宋体"/>
                <w:color w:val="auto"/>
                <w:kern w:val="0"/>
                <w:sz w:val="24"/>
                <w:szCs w:val="20"/>
                <w:lang w:val="en-US" w:eastAsia="zh-CN" w:bidi="ar-SA"/>
              </w:rPr>
              <w:t>1</w:t>
            </w:r>
            <w:r>
              <w:rPr>
                <w:rFonts w:hint="eastAsia" w:ascii="Times New Roman" w:hAnsi="Times New Roman" w:eastAsia="宋体" w:cs="宋体"/>
                <w:color w:val="auto"/>
                <w:kern w:val="0"/>
                <w:sz w:val="24"/>
                <w:szCs w:val="20"/>
                <w:lang w:val="en-US" w:eastAsia="zh-CN" w:bidi="ar-SA"/>
              </w:rPr>
              <w:t>)</w:t>
            </w:r>
            <w:r>
              <w:rPr>
                <w:rFonts w:hint="eastAsia" w:ascii="Times New Roman" w:hAnsi="Times New Roman" w:eastAsia="宋体" w:cs="宋体"/>
                <w:color w:val="auto"/>
                <w:kern w:val="0"/>
                <w:sz w:val="24"/>
                <w:szCs w:val="20"/>
                <w:highlight w:val="none"/>
                <w:lang w:val="en-US" w:eastAsia="zh-CN" w:bidi="ar-SA"/>
              </w:rPr>
              <w:t>城市达标区域判断</w:t>
            </w:r>
          </w:p>
          <w:p w14:paraId="24D033BA">
            <w:pPr>
              <w:widowControl w:val="0"/>
              <w:tabs>
                <w:tab w:val="left" w:pos="0"/>
              </w:tabs>
              <w:autoSpaceDE w:val="0"/>
              <w:autoSpaceDN w:val="0"/>
              <w:bidi w:val="0"/>
              <w:spacing w:line="360" w:lineRule="auto"/>
              <w:ind w:firstLine="480" w:firstLineChars="200"/>
              <w:jc w:val="both"/>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highlight w:val="none"/>
                <w:lang w:val="en-US" w:eastAsia="zh-CN" w:bidi="ar-SA"/>
              </w:rPr>
              <w:t>城市环境空气质量达标情况评价指标为SO</w:t>
            </w:r>
            <w:r>
              <w:rPr>
                <w:rFonts w:hint="eastAsia" w:ascii="Times New Roman" w:hAnsi="Times New Roman" w:eastAsia="宋体" w:cs="宋体"/>
                <w:color w:val="auto"/>
                <w:kern w:val="0"/>
                <w:sz w:val="24"/>
                <w:szCs w:val="20"/>
                <w:highlight w:val="none"/>
                <w:vertAlign w:val="subscript"/>
                <w:lang w:val="en-US" w:eastAsia="zh-CN" w:bidi="ar-SA"/>
              </w:rPr>
              <w:t>2</w:t>
            </w:r>
            <w:r>
              <w:rPr>
                <w:rFonts w:hint="eastAsia" w:ascii="Times New Roman" w:hAnsi="Times New Roman" w:eastAsia="宋体" w:cs="宋体"/>
                <w:color w:val="auto"/>
                <w:kern w:val="0"/>
                <w:sz w:val="24"/>
                <w:szCs w:val="20"/>
                <w:highlight w:val="none"/>
                <w:lang w:val="en-US" w:eastAsia="zh-CN" w:bidi="ar-SA"/>
              </w:rPr>
              <w:t>、NO</w:t>
            </w:r>
            <w:r>
              <w:rPr>
                <w:rFonts w:hint="eastAsia" w:ascii="Times New Roman" w:hAnsi="Times New Roman" w:eastAsia="宋体" w:cs="宋体"/>
                <w:color w:val="auto"/>
                <w:kern w:val="0"/>
                <w:sz w:val="24"/>
                <w:szCs w:val="20"/>
                <w:highlight w:val="none"/>
                <w:vertAlign w:val="subscript"/>
                <w:lang w:val="en-US" w:eastAsia="zh-CN" w:bidi="ar-SA"/>
              </w:rPr>
              <w:t>2</w:t>
            </w:r>
            <w:r>
              <w:rPr>
                <w:rFonts w:hint="eastAsia" w:ascii="Times New Roman" w:hAnsi="Times New Roman" w:eastAsia="宋体" w:cs="宋体"/>
                <w:color w:val="auto"/>
                <w:kern w:val="0"/>
                <w:sz w:val="24"/>
                <w:szCs w:val="20"/>
                <w:highlight w:val="none"/>
                <w:lang w:val="en-US" w:eastAsia="zh-CN" w:bidi="ar-SA"/>
              </w:rPr>
              <w:t>、PM</w:t>
            </w:r>
            <w:r>
              <w:rPr>
                <w:rFonts w:hint="eastAsia" w:ascii="Times New Roman" w:hAnsi="Times New Roman" w:eastAsia="宋体" w:cs="宋体"/>
                <w:color w:val="auto"/>
                <w:kern w:val="0"/>
                <w:sz w:val="24"/>
                <w:szCs w:val="20"/>
                <w:highlight w:val="none"/>
                <w:vertAlign w:val="subscript"/>
                <w:lang w:val="en-US" w:eastAsia="zh-CN" w:bidi="ar-SA"/>
              </w:rPr>
              <w:t>10</w:t>
            </w:r>
            <w:r>
              <w:rPr>
                <w:rFonts w:hint="eastAsia" w:ascii="Times New Roman" w:hAnsi="Times New Roman" w:eastAsia="宋体" w:cs="宋体"/>
                <w:color w:val="auto"/>
                <w:kern w:val="0"/>
                <w:sz w:val="24"/>
                <w:szCs w:val="20"/>
                <w:highlight w:val="none"/>
                <w:lang w:val="en-US" w:eastAsia="zh-CN" w:bidi="ar-SA"/>
              </w:rPr>
              <w:t>、PM</w:t>
            </w:r>
            <w:r>
              <w:rPr>
                <w:rFonts w:hint="eastAsia" w:ascii="Times New Roman" w:hAnsi="Times New Roman" w:eastAsia="宋体" w:cs="宋体"/>
                <w:color w:val="auto"/>
                <w:kern w:val="0"/>
                <w:sz w:val="24"/>
                <w:szCs w:val="20"/>
                <w:highlight w:val="none"/>
                <w:vertAlign w:val="subscript"/>
                <w:lang w:val="en-US" w:eastAsia="zh-CN" w:bidi="ar-SA"/>
              </w:rPr>
              <w:t>2.5</w:t>
            </w:r>
            <w:r>
              <w:rPr>
                <w:rFonts w:hint="eastAsia" w:ascii="Times New Roman" w:hAnsi="Times New Roman" w:eastAsia="宋体" w:cs="宋体"/>
                <w:color w:val="auto"/>
                <w:kern w:val="0"/>
                <w:sz w:val="24"/>
                <w:szCs w:val="20"/>
                <w:highlight w:val="none"/>
                <w:lang w:val="en-US" w:eastAsia="zh-CN" w:bidi="ar-SA"/>
              </w:rPr>
              <w:t>、CO和O</w:t>
            </w:r>
            <w:r>
              <w:rPr>
                <w:rFonts w:hint="eastAsia" w:ascii="Times New Roman" w:hAnsi="Times New Roman" w:eastAsia="宋体" w:cs="宋体"/>
                <w:color w:val="auto"/>
                <w:kern w:val="0"/>
                <w:sz w:val="24"/>
                <w:szCs w:val="20"/>
                <w:highlight w:val="none"/>
                <w:vertAlign w:val="subscript"/>
                <w:lang w:val="en-US" w:eastAsia="zh-CN" w:bidi="ar-SA"/>
              </w:rPr>
              <w:t>3</w:t>
            </w:r>
            <w:r>
              <w:rPr>
                <w:rFonts w:hint="eastAsia" w:ascii="Times New Roman" w:hAnsi="Times New Roman" w:eastAsia="宋体" w:cs="宋体"/>
                <w:color w:val="auto"/>
                <w:kern w:val="0"/>
                <w:sz w:val="24"/>
                <w:szCs w:val="20"/>
                <w:highlight w:val="none"/>
                <w:lang w:val="en-US" w:eastAsia="zh-CN" w:bidi="ar-SA"/>
              </w:rPr>
              <w:t>，六项污染物全部达标即为城市环境空气质量达标。根据福建省生态环境厅发布的“2024年12月福建省城市环境空气质量状况”显示（https://sthjt.fujian.gov.cn/ztzl/hjzl/dqzl/hjkqzlyb/202502/t20250208_6712419.htm），2024年1—12月，福清市市环境空气质量综合指数2.17。由此可知，福州市城区环境空气质量总体达到二级标准，福清市属于达标区域；见表3.1-3。</w:t>
            </w:r>
          </w:p>
          <w:p w14:paraId="612117E5">
            <w:pPr>
              <w:keepNext/>
              <w:keepLines/>
              <w:pageBreakBefore w:val="0"/>
              <w:widowControl w:val="0"/>
              <w:numPr>
                <w:ilvl w:val="7"/>
                <w:numId w:val="0"/>
              </w:numPr>
              <w:tabs>
                <w:tab w:val="left" w:pos="0"/>
                <w:tab w:val="left" w:pos="420"/>
              </w:tabs>
              <w:kinsoku/>
              <w:wordWrap/>
              <w:overflowPunct/>
              <w:topLinePunct w:val="0"/>
              <w:autoSpaceDE/>
              <w:autoSpaceDN/>
              <w:bidi w:val="0"/>
              <w:adjustRightInd/>
              <w:snapToGrid/>
              <w:spacing w:before="0" w:after="0" w:line="240" w:lineRule="auto"/>
              <w:ind w:left="630" w:leftChars="0" w:firstLine="0" w:firstLineChars="0"/>
              <w:jc w:val="center"/>
              <w:textAlignment w:val="auto"/>
              <w:rPr>
                <w:rFonts w:hint="eastAsia"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宋体"/>
                <w:b/>
                <w:bCs/>
                <w:color w:val="auto"/>
                <w:kern w:val="2"/>
                <w:sz w:val="24"/>
                <w:szCs w:val="21"/>
                <w:lang w:val="en-US" w:eastAsia="zh-CN" w:bidi="ar-SA"/>
              </w:rPr>
              <w:t>表1.1-3</w:t>
            </w:r>
            <w:r>
              <w:rPr>
                <w:rFonts w:hint="eastAsia" w:ascii="Times New Roman" w:hAnsi="Times New Roman" w:eastAsia="宋体" w:cs="Times New Roman"/>
                <w:b/>
                <w:bCs/>
                <w:color w:val="auto"/>
                <w:kern w:val="2"/>
                <w:sz w:val="24"/>
                <w:szCs w:val="21"/>
                <w:highlight w:val="none"/>
                <w:lang w:val="en-US" w:eastAsia="zh-CN" w:bidi="ar-SA"/>
              </w:rPr>
              <w:t xml:space="preserve"> 2024年1—12月县级城市环境空气质量状况</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Layout w:type="autofit"/>
              <w:tblCellMar>
                <w:top w:w="0" w:type="dxa"/>
                <w:left w:w="0" w:type="dxa"/>
                <w:bottom w:w="0" w:type="dxa"/>
                <w:right w:w="0" w:type="dxa"/>
              </w:tblCellMar>
            </w:tblPr>
            <w:tblGrid>
              <w:gridCol w:w="1036"/>
              <w:gridCol w:w="1611"/>
              <w:gridCol w:w="1566"/>
              <w:gridCol w:w="1364"/>
              <w:gridCol w:w="1497"/>
              <w:gridCol w:w="1543"/>
            </w:tblGrid>
            <w:tr w14:paraId="74FAFAD2">
              <w:tblPrEx>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CellMar>
                  <w:top w:w="0" w:type="dxa"/>
                  <w:left w:w="0" w:type="dxa"/>
                  <w:bottom w:w="0" w:type="dxa"/>
                  <w:right w:w="0" w:type="dxa"/>
                </w:tblCellMar>
              </w:tblPrEx>
              <w:trPr>
                <w:trHeight w:val="545" w:hRule="atLeast"/>
              </w:trPr>
              <w:tc>
                <w:tcPr>
                  <w:tcW w:w="601" w:type="pct"/>
                  <w:tcBorders>
                    <w:tl2br w:val="nil"/>
                    <w:tr2bl w:val="nil"/>
                  </w:tcBorders>
                  <w:vAlign w:val="center"/>
                </w:tcPr>
                <w:p w14:paraId="1DBA9A1E">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设区市</w:t>
                  </w:r>
                </w:p>
              </w:tc>
              <w:tc>
                <w:tcPr>
                  <w:tcW w:w="934" w:type="pct"/>
                  <w:tcBorders>
                    <w:tl2br w:val="nil"/>
                    <w:tr2bl w:val="nil"/>
                  </w:tcBorders>
                  <w:vAlign w:val="center"/>
                </w:tcPr>
                <w:p w14:paraId="69AEE70E">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县级城市</w:t>
                  </w:r>
                </w:p>
              </w:tc>
              <w:tc>
                <w:tcPr>
                  <w:tcW w:w="908" w:type="pct"/>
                  <w:tcBorders>
                    <w:tl2br w:val="nil"/>
                    <w:tr2bl w:val="nil"/>
                  </w:tcBorders>
                  <w:vAlign w:val="center"/>
                </w:tcPr>
                <w:p w14:paraId="5A7A892F">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优良天数比例（%）</w:t>
                  </w:r>
                </w:p>
              </w:tc>
              <w:tc>
                <w:tcPr>
                  <w:tcW w:w="791" w:type="pct"/>
                  <w:tcBorders>
                    <w:tl2br w:val="nil"/>
                    <w:tr2bl w:val="nil"/>
                  </w:tcBorders>
                  <w:vAlign w:val="center"/>
                </w:tcPr>
                <w:p w14:paraId="4C0706D9">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综合指数</w:t>
                  </w:r>
                </w:p>
              </w:tc>
              <w:tc>
                <w:tcPr>
                  <w:tcW w:w="868" w:type="pct"/>
                  <w:tcBorders>
                    <w:tl2br w:val="nil"/>
                    <w:tr2bl w:val="nil"/>
                  </w:tcBorders>
                  <w:vAlign w:val="center"/>
                </w:tcPr>
                <w:p w14:paraId="25C7DFD5">
                  <w:pPr>
                    <w:pStyle w:val="22"/>
                    <w:keepNext w:val="0"/>
                    <w:keepLines w:val="0"/>
                    <w:widowControl/>
                    <w:suppressLineNumbers w:val="0"/>
                    <w:jc w:val="center"/>
                    <w:rPr>
                      <w:rFonts w:hint="eastAsia" w:ascii="Times New Roman" w:hAnsi="Times New Roman" w:eastAsia="宋体" w:cs="宋体"/>
                      <w:i w:val="0"/>
                      <w:iCs w:val="0"/>
                      <w:caps w:val="0"/>
                      <w:color w:val="333333"/>
                      <w:spacing w:val="0"/>
                      <w:sz w:val="21"/>
                      <w:szCs w:val="25"/>
                    </w:rPr>
                  </w:pPr>
                  <w:r>
                    <w:rPr>
                      <w:rStyle w:val="26"/>
                      <w:rFonts w:hint="eastAsia" w:ascii="Times New Roman" w:hAnsi="Times New Roman" w:eastAsia="宋体" w:cs="宋体"/>
                      <w:i w:val="0"/>
                      <w:iCs w:val="0"/>
                      <w:caps w:val="0"/>
                      <w:color w:val="333333"/>
                      <w:spacing w:val="0"/>
                      <w:sz w:val="21"/>
                      <w:szCs w:val="25"/>
                    </w:rPr>
                    <w:t>PM</w:t>
                  </w:r>
                  <w:r>
                    <w:rPr>
                      <w:rFonts w:hint="eastAsia" w:ascii="Times New Roman" w:hAnsi="Times New Roman" w:eastAsia="宋体" w:cs="宋体"/>
                      <w:i w:val="0"/>
                      <w:iCs w:val="0"/>
                      <w:caps w:val="0"/>
                      <w:color w:val="333333"/>
                      <w:spacing w:val="0"/>
                      <w:sz w:val="21"/>
                      <w:szCs w:val="25"/>
                    </w:rPr>
                    <w:t>2.5</w:t>
                  </w:r>
                </w:p>
                <w:p w14:paraId="703642CA">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（μg/m</w:t>
                  </w:r>
                  <w:r>
                    <w:rPr>
                      <w:rFonts w:hint="eastAsia" w:ascii="Times New Roman" w:hAnsi="Times New Roman" w:eastAsia="宋体" w:cs="宋体"/>
                      <w:i w:val="0"/>
                      <w:iCs w:val="0"/>
                      <w:caps w:val="0"/>
                      <w:color w:val="333333"/>
                      <w:spacing w:val="0"/>
                      <w:sz w:val="21"/>
                      <w:szCs w:val="25"/>
                    </w:rPr>
                    <w:t>3</w:t>
                  </w:r>
                  <w:r>
                    <w:rPr>
                      <w:rStyle w:val="26"/>
                      <w:rFonts w:hint="eastAsia" w:ascii="Times New Roman" w:hAnsi="Times New Roman" w:eastAsia="宋体" w:cs="宋体"/>
                      <w:i w:val="0"/>
                      <w:iCs w:val="0"/>
                      <w:caps w:val="0"/>
                      <w:color w:val="333333"/>
                      <w:spacing w:val="0"/>
                      <w:sz w:val="21"/>
                      <w:szCs w:val="25"/>
                    </w:rPr>
                    <w:t>）</w:t>
                  </w:r>
                </w:p>
              </w:tc>
              <w:tc>
                <w:tcPr>
                  <w:tcW w:w="895" w:type="pct"/>
                  <w:tcBorders>
                    <w:tl2br w:val="nil"/>
                    <w:tr2bl w:val="nil"/>
                  </w:tcBorders>
                  <w:vAlign w:val="center"/>
                </w:tcPr>
                <w:p w14:paraId="71969800">
                  <w:pPr>
                    <w:pStyle w:val="22"/>
                    <w:keepNext w:val="0"/>
                    <w:keepLines w:val="0"/>
                    <w:widowControl/>
                    <w:suppressLineNumbers w:val="0"/>
                    <w:jc w:val="center"/>
                    <w:rPr>
                      <w:rFonts w:ascii="Times New Roman" w:hAnsi="Times New Roman" w:eastAsia="宋体" w:cs="宋体"/>
                      <w:color w:val="auto"/>
                      <w:kern w:val="2"/>
                      <w:sz w:val="21"/>
                      <w:szCs w:val="21"/>
                      <w:lang w:val="zh-CN" w:eastAsia="zh-CN" w:bidi="zh-CN"/>
                    </w:rPr>
                  </w:pPr>
                  <w:r>
                    <w:rPr>
                      <w:rStyle w:val="26"/>
                      <w:rFonts w:hint="eastAsia" w:ascii="Times New Roman" w:hAnsi="Times New Roman" w:eastAsia="宋体" w:cs="宋体"/>
                      <w:i w:val="0"/>
                      <w:iCs w:val="0"/>
                      <w:caps w:val="0"/>
                      <w:color w:val="333333"/>
                      <w:spacing w:val="0"/>
                      <w:sz w:val="21"/>
                      <w:szCs w:val="25"/>
                    </w:rPr>
                    <w:t>首要污染物</w:t>
                  </w:r>
                </w:p>
              </w:tc>
            </w:tr>
            <w:tr w14:paraId="7A18A0E1">
              <w:tblPrEx>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CellMar>
                  <w:top w:w="0" w:type="dxa"/>
                  <w:left w:w="0" w:type="dxa"/>
                  <w:bottom w:w="0" w:type="dxa"/>
                  <w:right w:w="0" w:type="dxa"/>
                </w:tblCellMar>
              </w:tblPrEx>
              <w:trPr>
                <w:trHeight w:val="544" w:hRule="atLeast"/>
              </w:trPr>
              <w:tc>
                <w:tcPr>
                  <w:tcW w:w="601" w:type="pct"/>
                  <w:tcBorders>
                    <w:tl2br w:val="nil"/>
                    <w:tr2bl w:val="nil"/>
                  </w:tcBorders>
                  <w:vAlign w:val="center"/>
                </w:tcPr>
                <w:p w14:paraId="3FB35EE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s="宋体"/>
                      <w:color w:val="auto"/>
                      <w:kern w:val="2"/>
                      <w:sz w:val="21"/>
                      <w:szCs w:val="21"/>
                      <w:lang w:val="zh-CN" w:eastAsia="zh-CN" w:bidi="zh-CN"/>
                    </w:rPr>
                  </w:pPr>
                  <w:r>
                    <w:rPr>
                      <w:rFonts w:hint="eastAsia" w:ascii="Times New Roman" w:hAnsi="Times New Roman" w:eastAsia="宋体" w:cs="宋体"/>
                      <w:color w:val="auto"/>
                      <w:spacing w:val="-10"/>
                      <w:kern w:val="2"/>
                      <w:sz w:val="21"/>
                      <w:szCs w:val="21"/>
                      <w:lang w:val="en-US" w:eastAsia="zh-CN" w:bidi="zh-CN"/>
                    </w:rPr>
                    <w:t>福州市</w:t>
                  </w:r>
                </w:p>
              </w:tc>
              <w:tc>
                <w:tcPr>
                  <w:tcW w:w="934" w:type="pct"/>
                  <w:tcBorders>
                    <w:tl2br w:val="nil"/>
                    <w:tr2bl w:val="nil"/>
                  </w:tcBorders>
                  <w:vAlign w:val="center"/>
                </w:tcPr>
                <w:p w14:paraId="7F3785A4">
                  <w:pPr>
                    <w:pStyle w:val="22"/>
                    <w:keepNext w:val="0"/>
                    <w:keepLines w:val="0"/>
                    <w:widowControl/>
                    <w:suppressLineNumbers w:val="0"/>
                    <w:spacing w:before="0" w:beforeAutospacing="1" w:after="0" w:afterAutospacing="1"/>
                    <w:ind w:left="0" w:leftChars="0" w:right="0" w:rightChars="0"/>
                    <w:jc w:val="center"/>
                    <w:rPr>
                      <w:rFonts w:ascii="Times New Roman" w:hAnsi="Times New Roman" w:eastAsia="宋体" w:cs="宋体"/>
                      <w:color w:val="auto"/>
                      <w:kern w:val="2"/>
                      <w:sz w:val="21"/>
                      <w:szCs w:val="21"/>
                      <w:lang w:val="zh-CN" w:eastAsia="zh-CN" w:bidi="zh-CN"/>
                    </w:rPr>
                  </w:pPr>
                  <w:r>
                    <w:rPr>
                      <w:rFonts w:hint="eastAsia" w:ascii="Times New Roman" w:hAnsi="Times New Roman" w:eastAsia="宋体" w:cs="宋体"/>
                      <w:i w:val="0"/>
                      <w:iCs w:val="0"/>
                      <w:caps w:val="0"/>
                      <w:color w:val="333333"/>
                      <w:spacing w:val="0"/>
                      <w:sz w:val="21"/>
                      <w:szCs w:val="25"/>
                    </w:rPr>
                    <w:t>福清市</w:t>
                  </w:r>
                </w:p>
              </w:tc>
              <w:tc>
                <w:tcPr>
                  <w:tcW w:w="908" w:type="pct"/>
                  <w:tcBorders>
                    <w:tl2br w:val="nil"/>
                    <w:tr2bl w:val="nil"/>
                  </w:tcBorders>
                  <w:vAlign w:val="center"/>
                </w:tcPr>
                <w:p w14:paraId="0AB47EC6">
                  <w:pPr>
                    <w:pStyle w:val="22"/>
                    <w:keepNext w:val="0"/>
                    <w:keepLines w:val="0"/>
                    <w:widowControl/>
                    <w:suppressLineNumbers w:val="0"/>
                    <w:spacing w:before="0" w:beforeAutospacing="1" w:after="0" w:afterAutospacing="1"/>
                    <w:ind w:left="0" w:leftChars="0" w:right="0" w:rightChars="0"/>
                    <w:jc w:val="center"/>
                    <w:rPr>
                      <w:rFonts w:hint="default" w:ascii="Times New Roman" w:hAnsi="Times New Roman" w:eastAsia="宋体" w:cs="宋体"/>
                      <w:color w:val="auto"/>
                      <w:kern w:val="2"/>
                      <w:sz w:val="21"/>
                      <w:szCs w:val="21"/>
                      <w:lang w:val="en-US" w:eastAsia="zh-CN" w:bidi="zh-CN"/>
                    </w:rPr>
                  </w:pPr>
                  <w:r>
                    <w:rPr>
                      <w:rFonts w:hint="eastAsia" w:ascii="Times New Roman" w:hAnsi="Times New Roman" w:eastAsia="宋体" w:cs="宋体"/>
                      <w:i w:val="0"/>
                      <w:iCs w:val="0"/>
                      <w:caps w:val="0"/>
                      <w:color w:val="333333"/>
                      <w:spacing w:val="0"/>
                      <w:sz w:val="21"/>
                      <w:szCs w:val="25"/>
                    </w:rPr>
                    <w:t>99.7</w:t>
                  </w:r>
                </w:p>
              </w:tc>
              <w:tc>
                <w:tcPr>
                  <w:tcW w:w="791" w:type="pct"/>
                  <w:tcBorders>
                    <w:tl2br w:val="nil"/>
                    <w:tr2bl w:val="nil"/>
                  </w:tcBorders>
                  <w:vAlign w:val="center"/>
                </w:tcPr>
                <w:p w14:paraId="0235D5F6">
                  <w:pPr>
                    <w:pStyle w:val="22"/>
                    <w:keepNext w:val="0"/>
                    <w:keepLines w:val="0"/>
                    <w:widowControl/>
                    <w:suppressLineNumbers w:val="0"/>
                    <w:spacing w:before="0" w:beforeAutospacing="1" w:after="0" w:afterAutospacing="1"/>
                    <w:ind w:left="0" w:leftChars="0" w:right="0" w:rightChars="0"/>
                    <w:jc w:val="center"/>
                    <w:rPr>
                      <w:rFonts w:ascii="Times New Roman" w:hAnsi="Times New Roman" w:eastAsia="宋体" w:cs="Times New Roman"/>
                      <w:color w:val="auto"/>
                      <w:kern w:val="0"/>
                      <w:sz w:val="21"/>
                      <w:szCs w:val="21"/>
                      <w:lang w:val="en-US" w:eastAsia="zh-CN" w:bidi="ar"/>
                    </w:rPr>
                  </w:pPr>
                  <w:r>
                    <w:rPr>
                      <w:rFonts w:hint="eastAsia" w:ascii="Times New Roman" w:hAnsi="Times New Roman" w:eastAsia="宋体" w:cs="宋体"/>
                      <w:i w:val="0"/>
                      <w:iCs w:val="0"/>
                      <w:caps w:val="0"/>
                      <w:color w:val="333333"/>
                      <w:spacing w:val="0"/>
                      <w:sz w:val="21"/>
                      <w:szCs w:val="25"/>
                    </w:rPr>
                    <w:t>2.17</w:t>
                  </w:r>
                </w:p>
              </w:tc>
              <w:tc>
                <w:tcPr>
                  <w:tcW w:w="868" w:type="pct"/>
                  <w:tcBorders>
                    <w:tl2br w:val="nil"/>
                    <w:tr2bl w:val="nil"/>
                  </w:tcBorders>
                  <w:vAlign w:val="center"/>
                </w:tcPr>
                <w:p w14:paraId="33084AD0">
                  <w:pPr>
                    <w:pStyle w:val="22"/>
                    <w:keepNext w:val="0"/>
                    <w:keepLines w:val="0"/>
                    <w:widowControl/>
                    <w:suppressLineNumbers w:val="0"/>
                    <w:spacing w:before="0" w:beforeAutospacing="1" w:after="0" w:afterAutospacing="1"/>
                    <w:ind w:left="0" w:leftChars="0" w:right="0" w:rightChars="0"/>
                    <w:jc w:val="center"/>
                    <w:rPr>
                      <w:rFonts w:ascii="Times New Roman" w:hAnsi="Times New Roman" w:eastAsia="宋体" w:cs="Times New Roman"/>
                      <w:color w:val="auto"/>
                      <w:kern w:val="0"/>
                      <w:sz w:val="21"/>
                      <w:szCs w:val="21"/>
                      <w:lang w:val="en-US" w:eastAsia="zh-CN" w:bidi="ar"/>
                    </w:rPr>
                  </w:pPr>
                  <w:r>
                    <w:rPr>
                      <w:rFonts w:hint="eastAsia" w:ascii="Times New Roman" w:hAnsi="Times New Roman" w:eastAsia="宋体" w:cs="宋体"/>
                      <w:i w:val="0"/>
                      <w:iCs w:val="0"/>
                      <w:caps w:val="0"/>
                      <w:color w:val="333333"/>
                      <w:spacing w:val="0"/>
                      <w:sz w:val="21"/>
                      <w:szCs w:val="25"/>
                    </w:rPr>
                    <w:t>17</w:t>
                  </w:r>
                </w:p>
              </w:tc>
              <w:tc>
                <w:tcPr>
                  <w:tcW w:w="895" w:type="pct"/>
                  <w:tcBorders>
                    <w:tl2br w:val="nil"/>
                    <w:tr2bl w:val="nil"/>
                  </w:tcBorders>
                  <w:vAlign w:val="center"/>
                </w:tcPr>
                <w:p w14:paraId="43D34744">
                  <w:pPr>
                    <w:pStyle w:val="22"/>
                    <w:keepNext w:val="0"/>
                    <w:keepLines w:val="0"/>
                    <w:widowControl/>
                    <w:suppressLineNumbers w:val="0"/>
                    <w:spacing w:before="0" w:beforeAutospacing="1" w:after="0" w:afterAutospacing="1"/>
                    <w:ind w:left="0" w:leftChars="0" w:right="0" w:rightChars="0"/>
                    <w:jc w:val="center"/>
                    <w:rPr>
                      <w:rFonts w:ascii="Times New Roman" w:hAnsi="Times New Roman" w:eastAsia="宋体" w:cs="Times New Roman"/>
                      <w:color w:val="auto"/>
                      <w:kern w:val="0"/>
                      <w:sz w:val="21"/>
                      <w:szCs w:val="21"/>
                      <w:lang w:val="en-US" w:eastAsia="zh-CN" w:bidi="ar"/>
                    </w:rPr>
                  </w:pPr>
                  <w:r>
                    <w:rPr>
                      <w:rFonts w:hint="eastAsia" w:ascii="Times New Roman" w:hAnsi="Times New Roman" w:eastAsia="宋体" w:cs="宋体"/>
                      <w:i w:val="0"/>
                      <w:iCs w:val="0"/>
                      <w:caps w:val="0"/>
                      <w:color w:val="333333"/>
                      <w:spacing w:val="0"/>
                      <w:sz w:val="21"/>
                      <w:szCs w:val="25"/>
                    </w:rPr>
                    <w:t>臭氧</w:t>
                  </w:r>
                </w:p>
              </w:tc>
            </w:tr>
          </w:tbl>
          <w:p w14:paraId="38BA07CC">
            <w:pPr>
              <w:widowControl w:val="0"/>
              <w:tabs>
                <w:tab w:val="left" w:pos="0"/>
              </w:tabs>
              <w:autoSpaceDE w:val="0"/>
              <w:autoSpaceDN w:val="0"/>
              <w:bidi w:val="0"/>
              <w:spacing w:line="360" w:lineRule="auto"/>
              <w:ind w:firstLine="480" w:firstLineChars="200"/>
              <w:jc w:val="both"/>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highlight w:val="none"/>
                <w:lang w:val="en-US" w:eastAsia="zh-CN" w:bidi="ar-SA"/>
              </w:rPr>
              <w:t>(详见附图八、附图九)。</w:t>
            </w:r>
          </w:p>
          <w:p w14:paraId="53615C2E">
            <w:pPr>
              <w:widowControl w:val="0"/>
              <w:numPr>
                <w:ilvl w:val="0"/>
                <w:numId w:val="0"/>
              </w:numPr>
              <w:tabs>
                <w:tab w:val="left" w:pos="0"/>
              </w:tabs>
              <w:autoSpaceDE w:val="0"/>
              <w:autoSpaceDN w:val="0"/>
              <w:bidi w:val="0"/>
              <w:spacing w:line="360" w:lineRule="auto"/>
              <w:ind w:leftChars="0" w:firstLine="480" w:firstLineChars="200"/>
              <w:jc w:val="both"/>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highlight w:val="none"/>
                <w:lang w:val="en-US" w:eastAsia="zh-CN" w:bidi="ar-SA"/>
              </w:rPr>
              <w:t>（2）</w:t>
            </w:r>
            <w:r>
              <w:rPr>
                <w:rFonts w:hint="eastAsia" w:ascii="宋体" w:hAnsi="宋体" w:eastAsia="宋体" w:cs="宋体"/>
                <w:color w:val="auto"/>
                <w:kern w:val="0"/>
                <w:sz w:val="24"/>
                <w:szCs w:val="20"/>
                <w:highlight w:val="none"/>
                <w:lang w:val="zh-CN" w:eastAsia="zh-CN" w:bidi="ar-SA"/>
              </w:rPr>
              <w:t>特征</w:t>
            </w:r>
            <w:r>
              <w:rPr>
                <w:rFonts w:hint="eastAsia" w:ascii="Times New Roman" w:hAnsi="Times New Roman" w:eastAsia="宋体" w:cs="宋体"/>
                <w:color w:val="auto"/>
                <w:kern w:val="0"/>
                <w:sz w:val="24"/>
                <w:szCs w:val="20"/>
                <w:highlight w:val="none"/>
                <w:lang w:val="zh-CN" w:eastAsia="zh-CN" w:bidi="ar-SA"/>
              </w:rPr>
              <w:t>污染</w:t>
            </w:r>
            <w:r>
              <w:rPr>
                <w:rFonts w:hint="eastAsia" w:ascii="宋体" w:hAnsi="宋体" w:eastAsia="宋体" w:cs="宋体"/>
                <w:color w:val="auto"/>
                <w:kern w:val="0"/>
                <w:sz w:val="24"/>
                <w:szCs w:val="20"/>
                <w:highlight w:val="none"/>
                <w:lang w:val="zh-CN" w:eastAsia="zh-CN" w:bidi="ar-SA"/>
              </w:rPr>
              <w:t>因子</w:t>
            </w:r>
          </w:p>
          <w:p w14:paraId="75F6BE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根据《关于</w:t>
            </w:r>
            <w:r>
              <w:rPr>
                <w:rFonts w:hint="eastAsia" w:ascii="Times New Roman" w:hAnsi="Times New Roman" w:eastAsia="宋体" w:cs="Times New Roman"/>
                <w:color w:val="auto"/>
                <w:kern w:val="2"/>
                <w:sz w:val="24"/>
                <w:szCs w:val="24"/>
                <w:highlight w:val="none"/>
                <w:lang w:val="en-US" w:eastAsia="zh-CN" w:bidi="ar-SA"/>
              </w:rPr>
              <w:t>&lt;</w:t>
            </w:r>
            <w:r>
              <w:rPr>
                <w:rFonts w:ascii="Times New Roman" w:hAnsi="Times New Roman" w:eastAsia="宋体" w:cs="Times New Roman"/>
                <w:color w:val="auto"/>
                <w:kern w:val="2"/>
                <w:sz w:val="24"/>
                <w:szCs w:val="24"/>
                <w:highlight w:val="none"/>
                <w:lang w:val="en-US" w:eastAsia="zh-CN" w:bidi="ar-SA"/>
              </w:rPr>
              <w:t>建设项目环境影响报告表</w:t>
            </w:r>
            <w:r>
              <w:rPr>
                <w:rFonts w:hint="eastAsia" w:ascii="Times New Roman" w:hAnsi="Times New Roman" w:eastAsia="宋体" w:cs="Times New Roman"/>
                <w:color w:val="auto"/>
                <w:kern w:val="2"/>
                <w:sz w:val="24"/>
                <w:szCs w:val="24"/>
                <w:highlight w:val="none"/>
                <w:lang w:val="en-US" w:eastAsia="zh-CN" w:bidi="ar-SA"/>
              </w:rPr>
              <w:t>&gt;</w:t>
            </w:r>
            <w:r>
              <w:rPr>
                <w:rFonts w:ascii="Times New Roman" w:hAnsi="Times New Roman" w:eastAsia="宋体" w:cs="Times New Roman"/>
                <w:color w:val="auto"/>
                <w:kern w:val="2"/>
                <w:sz w:val="24"/>
                <w:szCs w:val="24"/>
                <w:highlight w:val="none"/>
                <w:lang w:val="en-US" w:eastAsia="zh-CN" w:bidi="ar-SA"/>
              </w:rPr>
              <w:t>内容、格式及编制技术指南常见问题解答》（生态环境部环境工程评估中心）</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技术指南中提到</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排放国家、地方环境空气质量标准中有标准限值要求的特征污染物</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，其中环境空气质量标准指《环境空气质量标准》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GB3095</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和地方的环境空气质量标准，不包括《环境影响评价技术导则 大气环境》</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HJ2.2-2018</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附录D、《工业企业设计卫生标准》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TJ36-97</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《前苏联居住区标准》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CH245-71</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、《环境影响评价技术导则 制药建设项目》</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HJ611-2011</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、《大气污染物综合排放标准详解》等导则或参考资料。排放的特征污染物需要在国家、地方环境空气质量标准中有限值要求才涉及现状监测</w:t>
            </w:r>
            <w:r>
              <w:rPr>
                <w:rFonts w:hint="eastAsia" w:cs="Times New Roman"/>
                <w:color w:val="auto"/>
                <w:kern w:val="2"/>
                <w:sz w:val="24"/>
                <w:szCs w:val="24"/>
                <w:highlight w:val="none"/>
                <w:lang w:val="en-US" w:eastAsia="zh-CN" w:bidi="ar-SA"/>
              </w:rPr>
              <w:t>且</w:t>
            </w:r>
            <w:r>
              <w:rPr>
                <w:rFonts w:ascii="Times New Roman" w:hAnsi="Times New Roman" w:eastAsia="宋体" w:cs="Times New Roman"/>
                <w:color w:val="auto"/>
                <w:kern w:val="2"/>
                <w:sz w:val="24"/>
                <w:szCs w:val="24"/>
                <w:highlight w:val="none"/>
                <w:lang w:val="en-US" w:eastAsia="zh-CN" w:bidi="ar-SA"/>
              </w:rPr>
              <w:t>优先引用现有监测数据</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w:t>
            </w:r>
          </w:p>
          <w:p w14:paraId="5B56E55A">
            <w:pPr>
              <w:adjustRightInd w:val="0"/>
              <w:spacing w:line="360" w:lineRule="auto"/>
              <w:ind w:firstLine="480" w:firstLineChars="200"/>
              <w:contextualSpacing/>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w:t>
            </w:r>
            <w:r>
              <w:rPr>
                <w:rFonts w:ascii="Times New Roman" w:hAnsi="Times New Roman" w:eastAsia="宋体" w:cs="Times New Roman"/>
                <w:color w:val="auto"/>
                <w:sz w:val="24"/>
                <w:highlight w:val="none"/>
              </w:rPr>
              <w:t>排放的其他污染物为非甲烷总烃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颗粒物</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其中非甲烷总烃</w:t>
            </w:r>
            <w:r>
              <w:rPr>
                <w:rFonts w:ascii="Times New Roman" w:hAnsi="Times New Roman" w:eastAsia="宋体" w:cs="Times New Roman"/>
                <w:color w:val="auto"/>
                <w:sz w:val="24"/>
                <w:highlight w:val="none"/>
              </w:rPr>
              <w:t>不属于《环境空气质量标准》</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GB3095</w:t>
            </w:r>
            <w:r>
              <w:rPr>
                <w:rFonts w:hint="eastAsia" w:ascii="Times New Roman" w:hAnsi="Times New Roman" w:eastAsia="宋体" w:cs="Times New Roman"/>
                <w:color w:val="auto"/>
                <w:sz w:val="24"/>
                <w:highlight w:val="none"/>
              </w:rPr>
              <w:t>-2012</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和地方的环境空气质量中有标准限值要求的污染物，因此</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不</w:t>
            </w:r>
            <w:r>
              <w:rPr>
                <w:rFonts w:hint="eastAsia" w:ascii="Times New Roman" w:hAnsi="Times New Roman" w:eastAsia="宋体" w:cs="Times New Roman"/>
                <w:color w:val="auto"/>
                <w:sz w:val="24"/>
                <w:highlight w:val="none"/>
                <w:lang w:val="en-US" w:eastAsia="zh-CN"/>
              </w:rPr>
              <w:t>对非甲烷总烃</w:t>
            </w:r>
            <w:r>
              <w:rPr>
                <w:rFonts w:ascii="Times New Roman" w:hAnsi="Times New Roman" w:eastAsia="宋体" w:cs="Times New Roman"/>
                <w:color w:val="auto"/>
                <w:sz w:val="24"/>
                <w:highlight w:val="none"/>
              </w:rPr>
              <w:t>进行</w:t>
            </w:r>
            <w:r>
              <w:rPr>
                <w:rFonts w:hint="eastAsia" w:ascii="Times New Roman" w:hAnsi="Times New Roman" w:eastAsia="宋体" w:cs="Times New Roman"/>
                <w:color w:val="auto"/>
                <w:sz w:val="24"/>
                <w:highlight w:val="none"/>
              </w:rPr>
              <w:t>特征污染物</w:t>
            </w:r>
            <w:r>
              <w:rPr>
                <w:rFonts w:ascii="Times New Roman" w:hAnsi="Times New Roman" w:eastAsia="宋体" w:cs="Times New Roman"/>
                <w:color w:val="auto"/>
                <w:sz w:val="24"/>
                <w:highlight w:val="none"/>
              </w:rPr>
              <w:t>现状检测评价。</w:t>
            </w:r>
          </w:p>
          <w:p w14:paraId="6A6F3192">
            <w:pPr>
              <w:keepNext w:val="0"/>
              <w:keepLines w:val="0"/>
              <w:pageBreakBefore w:val="0"/>
              <w:widowControl/>
              <w:suppressLineNumbers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为了解项目所在区域环境空气中颗粒物情况，建设单位委托</w:t>
            </w:r>
            <w:r>
              <w:rPr>
                <w:rFonts w:hint="eastAsia" w:cs="Times New Roman"/>
                <w:color w:val="auto"/>
                <w:kern w:val="0"/>
                <w:sz w:val="24"/>
                <w:szCs w:val="24"/>
                <w:lang w:val="en-US" w:eastAsia="zh-CN" w:bidi="ar"/>
              </w:rPr>
              <w:t>福建华远检测有限公司</w:t>
            </w:r>
            <w:r>
              <w:rPr>
                <w:rFonts w:hint="eastAsia" w:ascii="Times New Roman" w:hAnsi="Times New Roman" w:eastAsia="宋体" w:cs="Times New Roman"/>
                <w:color w:val="auto"/>
                <w:kern w:val="0"/>
                <w:sz w:val="24"/>
                <w:szCs w:val="24"/>
                <w:lang w:val="en-US" w:eastAsia="zh-CN" w:bidi="ar"/>
              </w:rPr>
              <w:t>于2025年10月30日~2025年11月02日对其进行监测，监测结果见表</w:t>
            </w:r>
            <w:r>
              <w:rPr>
                <w:rFonts w:hint="eastAsia" w:ascii="Times New Roman" w:hAnsi="Times New Roman" w:eastAsia="宋体" w:cs="Times New Roman"/>
                <w:color w:val="auto"/>
                <w:kern w:val="0"/>
                <w:sz w:val="24"/>
                <w:szCs w:val="24"/>
                <w:highlight w:val="none"/>
                <w:lang w:val="en-US" w:eastAsia="zh-CN" w:bidi="ar"/>
              </w:rPr>
              <w:t>3.1-4</w:t>
            </w:r>
            <w:r>
              <w:rPr>
                <w:rFonts w:hint="eastAsia" w:ascii="Times New Roman" w:hAnsi="Times New Roman" w:eastAsia="宋体" w:cs="Times New Roman"/>
                <w:color w:val="auto"/>
                <w:kern w:val="0"/>
                <w:sz w:val="24"/>
                <w:szCs w:val="24"/>
                <w:lang w:val="en-US" w:eastAsia="zh-CN" w:bidi="ar"/>
              </w:rPr>
              <w:t>，检测报告见附</w:t>
            </w:r>
            <w:r>
              <w:rPr>
                <w:rFonts w:hint="eastAsia" w:ascii="Times New Roman" w:hAnsi="Times New Roman" w:eastAsia="宋体" w:cs="Times New Roman"/>
                <w:color w:val="auto"/>
                <w:kern w:val="0"/>
                <w:sz w:val="24"/>
                <w:szCs w:val="24"/>
                <w:highlight w:val="none"/>
                <w:lang w:val="en-US" w:eastAsia="zh-CN" w:bidi="ar"/>
              </w:rPr>
              <w:t>件</w:t>
            </w:r>
            <w:r>
              <w:rPr>
                <w:rFonts w:hint="eastAsia" w:cs="Times New Roman"/>
                <w:color w:val="auto"/>
                <w:kern w:val="0"/>
                <w:sz w:val="24"/>
                <w:szCs w:val="24"/>
                <w:highlight w:val="none"/>
                <w:lang w:val="en-US" w:eastAsia="zh-CN" w:bidi="ar"/>
              </w:rPr>
              <w:t>十三</w:t>
            </w:r>
            <w:r>
              <w:rPr>
                <w:rFonts w:hint="eastAsia" w:ascii="Times New Roman" w:hAnsi="Times New Roman" w:eastAsia="宋体" w:cs="Times New Roman"/>
                <w:color w:val="auto"/>
                <w:kern w:val="0"/>
                <w:sz w:val="24"/>
                <w:szCs w:val="24"/>
                <w:lang w:val="en-US" w:eastAsia="zh-CN" w:bidi="ar"/>
              </w:rPr>
              <w:t>。</w:t>
            </w:r>
          </w:p>
          <w:p w14:paraId="00D5BAD4">
            <w:pPr>
              <w:keepNext/>
              <w:keepLines/>
              <w:pageBreakBefore w:val="0"/>
              <w:widowControl w:val="0"/>
              <w:numPr>
                <w:ilvl w:val="7"/>
                <w:numId w:val="0"/>
              </w:numPr>
              <w:tabs>
                <w:tab w:val="left" w:pos="0"/>
                <w:tab w:val="left" w:pos="420"/>
              </w:tabs>
              <w:kinsoku/>
              <w:wordWrap/>
              <w:overflowPunct/>
              <w:topLinePunct w:val="0"/>
              <w:autoSpaceDE/>
              <w:autoSpaceDN/>
              <w:bidi w:val="0"/>
              <w:adjustRightInd/>
              <w:snapToGrid/>
              <w:spacing w:before="0" w:after="0" w:line="240" w:lineRule="auto"/>
              <w:ind w:left="630" w:leftChars="0"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宋体"/>
                <w:b/>
                <w:bCs/>
                <w:color w:val="auto"/>
                <w:kern w:val="2"/>
                <w:sz w:val="24"/>
                <w:szCs w:val="21"/>
                <w:lang w:val="en-US" w:eastAsia="zh-CN" w:bidi="ar-SA"/>
              </w:rPr>
              <w:t>表3.1-4</w:t>
            </w:r>
            <w:r>
              <w:rPr>
                <w:rFonts w:hint="eastAsia" w:ascii="Times New Roman" w:hAnsi="Times New Roman" w:eastAsia="宋体" w:cs="Times New Roman"/>
                <w:b/>
                <w:bCs/>
                <w:color w:val="auto"/>
                <w:kern w:val="2"/>
                <w:sz w:val="24"/>
                <w:szCs w:val="21"/>
                <w:highlight w:val="none"/>
                <w:lang w:val="en-US" w:eastAsia="zh-CN" w:bidi="ar-SA"/>
              </w:rPr>
              <w:t>颗粒物现状情况一览表</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1704"/>
              <w:gridCol w:w="2759"/>
              <w:gridCol w:w="1706"/>
              <w:gridCol w:w="1226"/>
            </w:tblGrid>
            <w:tr w14:paraId="4B7E3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tblHeader/>
                <w:jc w:val="center"/>
              </w:trPr>
              <w:tc>
                <w:tcPr>
                  <w:tcW w:w="694" w:type="pct"/>
                  <w:tcBorders>
                    <w:top w:val="single" w:color="auto" w:sz="12" w:space="0"/>
                    <w:bottom w:val="single" w:color="auto" w:sz="12" w:space="0"/>
                  </w:tcBorders>
                  <w:noWrap w:val="0"/>
                  <w:vAlign w:val="center"/>
                </w:tcPr>
                <w:p w14:paraId="2E9D31C6">
                  <w:pPr>
                    <w:jc w:val="center"/>
                    <w:rPr>
                      <w:rFonts w:eastAsia="仿宋"/>
                      <w:szCs w:val="21"/>
                    </w:rPr>
                  </w:pPr>
                  <w:r>
                    <w:rPr>
                      <w:rFonts w:eastAsia="仿宋"/>
                      <w:szCs w:val="21"/>
                    </w:rPr>
                    <w:t>检测点位</w:t>
                  </w:r>
                </w:p>
              </w:tc>
              <w:tc>
                <w:tcPr>
                  <w:tcW w:w="992" w:type="pct"/>
                  <w:tcBorders>
                    <w:top w:val="single" w:color="auto" w:sz="12" w:space="0"/>
                    <w:bottom w:val="single" w:color="auto" w:sz="12" w:space="0"/>
                  </w:tcBorders>
                  <w:noWrap w:val="0"/>
                  <w:vAlign w:val="center"/>
                </w:tcPr>
                <w:p w14:paraId="707DEDCC">
                  <w:pPr>
                    <w:jc w:val="center"/>
                    <w:rPr>
                      <w:rFonts w:eastAsia="仿宋"/>
                      <w:szCs w:val="21"/>
                    </w:rPr>
                  </w:pPr>
                  <w:r>
                    <w:rPr>
                      <w:rFonts w:hint="eastAsia" w:eastAsia="仿宋"/>
                      <w:szCs w:val="21"/>
                    </w:rPr>
                    <w:t>检测项目</w:t>
                  </w:r>
                </w:p>
              </w:tc>
              <w:tc>
                <w:tcPr>
                  <w:tcW w:w="1606" w:type="pct"/>
                  <w:tcBorders>
                    <w:top w:val="single" w:color="auto" w:sz="12" w:space="0"/>
                    <w:bottom w:val="single" w:color="auto" w:sz="12" w:space="0"/>
                  </w:tcBorders>
                  <w:noWrap w:val="0"/>
                  <w:vAlign w:val="center"/>
                </w:tcPr>
                <w:p w14:paraId="15FD595D">
                  <w:pPr>
                    <w:jc w:val="center"/>
                    <w:rPr>
                      <w:rFonts w:eastAsia="仿宋"/>
                      <w:szCs w:val="21"/>
                    </w:rPr>
                  </w:pPr>
                  <w:r>
                    <w:rPr>
                      <w:rFonts w:hint="eastAsia" w:eastAsia="仿宋"/>
                      <w:szCs w:val="21"/>
                    </w:rPr>
                    <w:t>采样日期</w:t>
                  </w:r>
                </w:p>
              </w:tc>
              <w:tc>
                <w:tcPr>
                  <w:tcW w:w="993" w:type="pct"/>
                  <w:tcBorders>
                    <w:top w:val="single" w:color="auto" w:sz="12" w:space="0"/>
                    <w:bottom w:val="single" w:color="auto" w:sz="12" w:space="0"/>
                  </w:tcBorders>
                  <w:noWrap w:val="0"/>
                  <w:vAlign w:val="center"/>
                </w:tcPr>
                <w:p w14:paraId="6C666EAA">
                  <w:pPr>
                    <w:tabs>
                      <w:tab w:val="left" w:pos="990"/>
                    </w:tabs>
                    <w:jc w:val="center"/>
                    <w:rPr>
                      <w:rFonts w:hint="default" w:eastAsia="仿宋"/>
                      <w:szCs w:val="21"/>
                      <w:lang w:val="en-US" w:eastAsia="zh-CN"/>
                    </w:rPr>
                  </w:pPr>
                  <w:r>
                    <w:rPr>
                      <w:rFonts w:eastAsia="仿宋"/>
                      <w:szCs w:val="21"/>
                    </w:rPr>
                    <w:t>检测结果</w:t>
                  </w:r>
                </w:p>
              </w:tc>
              <w:tc>
                <w:tcPr>
                  <w:tcW w:w="713" w:type="pct"/>
                  <w:tcBorders>
                    <w:top w:val="single" w:color="auto" w:sz="12" w:space="0"/>
                    <w:bottom w:val="single" w:color="auto" w:sz="12" w:space="0"/>
                    <w:right w:val="nil"/>
                  </w:tcBorders>
                  <w:noWrap w:val="0"/>
                  <w:vAlign w:val="center"/>
                </w:tcPr>
                <w:p w14:paraId="477B0C10">
                  <w:pPr>
                    <w:tabs>
                      <w:tab w:val="left" w:pos="990"/>
                    </w:tabs>
                    <w:jc w:val="center"/>
                    <w:rPr>
                      <w:rFonts w:hint="eastAsia" w:eastAsia="仿宋"/>
                      <w:szCs w:val="21"/>
                      <w:lang w:eastAsia="zh-CN"/>
                    </w:rPr>
                  </w:pPr>
                  <w:r>
                    <w:rPr>
                      <w:rFonts w:hint="eastAsia" w:eastAsia="仿宋"/>
                      <w:szCs w:val="21"/>
                      <w:lang w:eastAsia="zh-CN"/>
                    </w:rPr>
                    <w:t>单位</w:t>
                  </w:r>
                </w:p>
              </w:tc>
            </w:tr>
            <w:tr w14:paraId="564764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4" w:type="pct"/>
                  <w:vMerge w:val="restart"/>
                  <w:tcBorders>
                    <w:top w:val="single" w:color="auto" w:sz="12" w:space="0"/>
                    <w:left w:val="nil"/>
                  </w:tcBorders>
                  <w:noWrap w:val="0"/>
                  <w:vAlign w:val="center"/>
                </w:tcPr>
                <w:p w14:paraId="1F0C654F">
                  <w:pPr>
                    <w:jc w:val="center"/>
                    <w:rPr>
                      <w:rFonts w:eastAsia="仿宋"/>
                      <w:szCs w:val="21"/>
                    </w:rPr>
                  </w:pPr>
                  <w:r>
                    <w:rPr>
                      <w:rFonts w:hint="eastAsia" w:eastAsia="仿宋"/>
                      <w:szCs w:val="21"/>
                    </w:rPr>
                    <w:t>厂区下风向居民点点位Q1</w:t>
                  </w:r>
                </w:p>
              </w:tc>
              <w:tc>
                <w:tcPr>
                  <w:tcW w:w="992" w:type="pct"/>
                  <w:vMerge w:val="restart"/>
                  <w:tcBorders>
                    <w:top w:val="single" w:color="auto" w:sz="12" w:space="0"/>
                  </w:tcBorders>
                  <w:noWrap w:val="0"/>
                  <w:vAlign w:val="center"/>
                </w:tcPr>
                <w:p w14:paraId="5111DF54">
                  <w:pPr>
                    <w:jc w:val="center"/>
                    <w:rPr>
                      <w:rFonts w:eastAsia="仿宋"/>
                      <w:szCs w:val="21"/>
                    </w:rPr>
                  </w:pPr>
                  <w:r>
                    <w:rPr>
                      <w:rFonts w:hint="eastAsia" w:eastAsia="仿宋"/>
                      <w:color w:val="000000"/>
                      <w:kern w:val="0"/>
                      <w:szCs w:val="21"/>
                      <w:lang w:bidi="ar"/>
                    </w:rPr>
                    <w:t>总悬浮颗粒物</w:t>
                  </w:r>
                  <w:r>
                    <w:rPr>
                      <w:rFonts w:hint="eastAsia" w:eastAsia="仿宋"/>
                      <w:szCs w:val="21"/>
                    </w:rPr>
                    <w:t>（TSP）</w:t>
                  </w:r>
                </w:p>
              </w:tc>
              <w:tc>
                <w:tcPr>
                  <w:tcW w:w="1606" w:type="pct"/>
                  <w:tcBorders>
                    <w:top w:val="single" w:color="auto" w:sz="12" w:space="0"/>
                  </w:tcBorders>
                  <w:noWrap w:val="0"/>
                  <w:vAlign w:val="center"/>
                </w:tcPr>
                <w:p w14:paraId="54D675DB">
                  <w:pPr>
                    <w:jc w:val="center"/>
                    <w:rPr>
                      <w:rFonts w:eastAsia="仿宋"/>
                      <w:szCs w:val="21"/>
                      <w:highlight w:val="none"/>
                    </w:rPr>
                  </w:pPr>
                  <w:r>
                    <w:rPr>
                      <w:rFonts w:hint="eastAsia" w:eastAsia="仿宋"/>
                      <w:szCs w:val="21"/>
                      <w:highlight w:val="none"/>
                      <w:lang w:eastAsia="zh-CN"/>
                    </w:rPr>
                    <w:t>2025年</w:t>
                  </w:r>
                  <w:r>
                    <w:rPr>
                      <w:rFonts w:hint="eastAsia" w:eastAsia="仿宋"/>
                      <w:kern w:val="2"/>
                      <w:sz w:val="21"/>
                      <w:szCs w:val="21"/>
                      <w:highlight w:val="none"/>
                      <w:lang w:val="en-US" w:eastAsia="zh-CN"/>
                    </w:rPr>
                    <w:t>10月30</w:t>
                  </w:r>
                  <w:r>
                    <w:rPr>
                      <w:rFonts w:hint="eastAsia" w:eastAsia="仿宋"/>
                      <w:kern w:val="2"/>
                      <w:sz w:val="21"/>
                      <w:szCs w:val="21"/>
                      <w:highlight w:val="none"/>
                    </w:rPr>
                    <w:t>日~</w:t>
                  </w:r>
                  <w:r>
                    <w:rPr>
                      <w:rFonts w:hint="eastAsia" w:eastAsia="仿宋"/>
                      <w:kern w:val="2"/>
                      <w:sz w:val="21"/>
                      <w:szCs w:val="21"/>
                      <w:highlight w:val="none"/>
                      <w:lang w:val="en-US" w:eastAsia="zh-CN"/>
                    </w:rPr>
                    <w:t>31</w:t>
                  </w:r>
                  <w:r>
                    <w:rPr>
                      <w:rFonts w:hint="eastAsia" w:eastAsia="仿宋"/>
                      <w:kern w:val="2"/>
                      <w:sz w:val="21"/>
                      <w:szCs w:val="21"/>
                      <w:highlight w:val="none"/>
                    </w:rPr>
                    <w:t>日</w:t>
                  </w:r>
                </w:p>
              </w:tc>
              <w:tc>
                <w:tcPr>
                  <w:tcW w:w="993" w:type="pct"/>
                  <w:tcBorders>
                    <w:top w:val="single" w:color="auto" w:sz="12" w:space="0"/>
                  </w:tcBorders>
                  <w:noWrap w:val="0"/>
                  <w:vAlign w:val="center"/>
                </w:tcPr>
                <w:p w14:paraId="1894AC56">
                  <w:pPr>
                    <w:jc w:val="center"/>
                    <w:rPr>
                      <w:rFonts w:hint="default" w:ascii="Times New Roman" w:hAnsi="Times New Roman" w:eastAsia="仿宋" w:cs="Times New Roman"/>
                      <w:kern w:val="2"/>
                      <w:sz w:val="21"/>
                      <w:szCs w:val="21"/>
                      <w:highlight w:val="none"/>
                      <w:lang w:val="en-US" w:eastAsia="zh-CN"/>
                    </w:rPr>
                  </w:pPr>
                  <w:r>
                    <w:rPr>
                      <w:rFonts w:hint="eastAsia" w:ascii="Times New Roman" w:hAnsi="Times New Roman" w:eastAsia="仿宋" w:cs="Times New Roman"/>
                      <w:kern w:val="2"/>
                      <w:sz w:val="21"/>
                      <w:szCs w:val="21"/>
                      <w:highlight w:val="none"/>
                      <w:lang w:val="en-US" w:eastAsia="zh-CN"/>
                    </w:rPr>
                    <w:t>0.105</w:t>
                  </w:r>
                </w:p>
              </w:tc>
              <w:tc>
                <w:tcPr>
                  <w:tcW w:w="713" w:type="pct"/>
                  <w:tcBorders>
                    <w:top w:val="single" w:color="auto" w:sz="12" w:space="0"/>
                    <w:right w:val="nil"/>
                  </w:tcBorders>
                  <w:noWrap w:val="0"/>
                  <w:vAlign w:val="center"/>
                </w:tcPr>
                <w:p w14:paraId="7A7C4C7D">
                  <w:pPr>
                    <w:widowControl/>
                    <w:jc w:val="center"/>
                    <w:textAlignment w:val="center"/>
                    <w:rPr>
                      <w:rFonts w:hint="default" w:eastAsia="仿宋"/>
                      <w:szCs w:val="21"/>
                      <w:lang w:val="en-US" w:eastAsia="zh-CN"/>
                    </w:rPr>
                  </w:pPr>
                  <w:r>
                    <w:rPr>
                      <w:rFonts w:hint="eastAsia" w:eastAsia="仿宋"/>
                      <w:szCs w:val="21"/>
                    </w:rPr>
                    <w:t>mg/m</w:t>
                  </w:r>
                  <w:r>
                    <w:rPr>
                      <w:rFonts w:hint="eastAsia" w:eastAsia="仿宋"/>
                      <w:szCs w:val="21"/>
                      <w:vertAlign w:val="superscript"/>
                    </w:rPr>
                    <w:t>3</w:t>
                  </w:r>
                </w:p>
              </w:tc>
            </w:tr>
            <w:tr w14:paraId="421D9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4" w:type="pct"/>
                  <w:vMerge w:val="continue"/>
                  <w:tcBorders>
                    <w:left w:val="nil"/>
                  </w:tcBorders>
                  <w:noWrap w:val="0"/>
                  <w:vAlign w:val="center"/>
                </w:tcPr>
                <w:p w14:paraId="495904DA">
                  <w:pPr>
                    <w:jc w:val="center"/>
                    <w:rPr>
                      <w:rFonts w:eastAsia="仿宋"/>
                      <w:szCs w:val="21"/>
                    </w:rPr>
                  </w:pPr>
                </w:p>
              </w:tc>
              <w:tc>
                <w:tcPr>
                  <w:tcW w:w="992" w:type="pct"/>
                  <w:vMerge w:val="continue"/>
                  <w:noWrap w:val="0"/>
                  <w:vAlign w:val="center"/>
                </w:tcPr>
                <w:p w14:paraId="4D0565C0">
                  <w:pPr>
                    <w:jc w:val="center"/>
                    <w:rPr>
                      <w:rFonts w:eastAsia="仿宋"/>
                      <w:szCs w:val="21"/>
                    </w:rPr>
                  </w:pPr>
                </w:p>
              </w:tc>
              <w:tc>
                <w:tcPr>
                  <w:tcW w:w="1606" w:type="pct"/>
                  <w:noWrap w:val="0"/>
                  <w:vAlign w:val="center"/>
                </w:tcPr>
                <w:p w14:paraId="542AF8F9">
                  <w:pPr>
                    <w:jc w:val="center"/>
                    <w:rPr>
                      <w:rFonts w:eastAsia="仿宋"/>
                      <w:szCs w:val="21"/>
                      <w:highlight w:val="none"/>
                    </w:rPr>
                  </w:pPr>
                  <w:r>
                    <w:rPr>
                      <w:rFonts w:hint="eastAsia" w:eastAsia="仿宋"/>
                      <w:szCs w:val="21"/>
                      <w:highlight w:val="none"/>
                      <w:lang w:eastAsia="zh-CN"/>
                    </w:rPr>
                    <w:t>2025年</w:t>
                  </w:r>
                  <w:r>
                    <w:rPr>
                      <w:rFonts w:hint="eastAsia" w:eastAsia="仿宋"/>
                      <w:kern w:val="2"/>
                      <w:sz w:val="21"/>
                      <w:szCs w:val="21"/>
                      <w:highlight w:val="none"/>
                      <w:lang w:val="en-US" w:eastAsia="zh-CN"/>
                    </w:rPr>
                    <w:t>10月31</w:t>
                  </w:r>
                  <w:r>
                    <w:rPr>
                      <w:rFonts w:hint="eastAsia" w:eastAsia="仿宋"/>
                      <w:kern w:val="2"/>
                      <w:sz w:val="21"/>
                      <w:szCs w:val="21"/>
                      <w:highlight w:val="none"/>
                    </w:rPr>
                    <w:t>日~</w:t>
                  </w:r>
                  <w:r>
                    <w:rPr>
                      <w:rFonts w:hint="eastAsia" w:eastAsia="仿宋"/>
                      <w:kern w:val="2"/>
                      <w:sz w:val="21"/>
                      <w:szCs w:val="21"/>
                      <w:highlight w:val="none"/>
                      <w:lang w:val="en-US" w:eastAsia="zh-CN"/>
                    </w:rPr>
                    <w:t>11月01</w:t>
                  </w:r>
                  <w:r>
                    <w:rPr>
                      <w:rFonts w:hint="eastAsia" w:eastAsia="仿宋"/>
                      <w:kern w:val="2"/>
                      <w:sz w:val="21"/>
                      <w:szCs w:val="21"/>
                      <w:highlight w:val="none"/>
                    </w:rPr>
                    <w:t>日</w:t>
                  </w:r>
                </w:p>
              </w:tc>
              <w:tc>
                <w:tcPr>
                  <w:tcW w:w="993" w:type="pct"/>
                  <w:noWrap w:val="0"/>
                  <w:vAlign w:val="center"/>
                </w:tcPr>
                <w:p w14:paraId="2F8FC4D0">
                  <w:pPr>
                    <w:jc w:val="center"/>
                    <w:rPr>
                      <w:rFonts w:hint="default" w:ascii="Times New Roman" w:hAnsi="Times New Roman" w:eastAsia="仿宋" w:cs="Times New Roman"/>
                      <w:kern w:val="2"/>
                      <w:sz w:val="21"/>
                      <w:szCs w:val="21"/>
                      <w:highlight w:val="none"/>
                      <w:lang w:val="en-US" w:eastAsia="zh-CN"/>
                    </w:rPr>
                  </w:pPr>
                  <w:r>
                    <w:rPr>
                      <w:rFonts w:hint="eastAsia" w:ascii="Times New Roman" w:hAnsi="Times New Roman" w:eastAsia="仿宋" w:cs="Times New Roman"/>
                      <w:kern w:val="2"/>
                      <w:sz w:val="21"/>
                      <w:szCs w:val="21"/>
                      <w:highlight w:val="none"/>
                      <w:lang w:val="en-US" w:eastAsia="zh-CN"/>
                    </w:rPr>
                    <w:t>0.095</w:t>
                  </w:r>
                </w:p>
              </w:tc>
              <w:tc>
                <w:tcPr>
                  <w:tcW w:w="713" w:type="pct"/>
                  <w:tcBorders>
                    <w:right w:val="nil"/>
                  </w:tcBorders>
                  <w:noWrap w:val="0"/>
                  <w:vAlign w:val="center"/>
                </w:tcPr>
                <w:p w14:paraId="1AE0F713">
                  <w:pPr>
                    <w:widowControl/>
                    <w:jc w:val="center"/>
                    <w:textAlignment w:val="center"/>
                    <w:rPr>
                      <w:rFonts w:hint="default" w:eastAsia="仿宋"/>
                      <w:szCs w:val="21"/>
                      <w:lang w:val="en-US" w:eastAsia="zh-CN"/>
                    </w:rPr>
                  </w:pPr>
                  <w:r>
                    <w:rPr>
                      <w:rFonts w:hint="eastAsia" w:eastAsia="仿宋"/>
                      <w:szCs w:val="21"/>
                    </w:rPr>
                    <w:t>mg/m</w:t>
                  </w:r>
                  <w:r>
                    <w:rPr>
                      <w:rFonts w:hint="eastAsia" w:eastAsia="仿宋"/>
                      <w:szCs w:val="21"/>
                      <w:vertAlign w:val="superscript"/>
                    </w:rPr>
                    <w:t>3</w:t>
                  </w:r>
                </w:p>
              </w:tc>
            </w:tr>
            <w:tr w14:paraId="46C6F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4" w:type="pct"/>
                  <w:vMerge w:val="continue"/>
                  <w:tcBorders>
                    <w:left w:val="nil"/>
                    <w:bottom w:val="single" w:color="auto" w:sz="12" w:space="0"/>
                  </w:tcBorders>
                  <w:noWrap w:val="0"/>
                  <w:vAlign w:val="center"/>
                </w:tcPr>
                <w:p w14:paraId="06E05664">
                  <w:pPr>
                    <w:jc w:val="center"/>
                    <w:rPr>
                      <w:rFonts w:eastAsia="仿宋"/>
                      <w:szCs w:val="21"/>
                    </w:rPr>
                  </w:pPr>
                </w:p>
              </w:tc>
              <w:tc>
                <w:tcPr>
                  <w:tcW w:w="992" w:type="pct"/>
                  <w:vMerge w:val="continue"/>
                  <w:tcBorders>
                    <w:bottom w:val="single" w:color="auto" w:sz="12" w:space="0"/>
                  </w:tcBorders>
                  <w:noWrap w:val="0"/>
                  <w:vAlign w:val="center"/>
                </w:tcPr>
                <w:p w14:paraId="4AB285A3">
                  <w:pPr>
                    <w:jc w:val="center"/>
                    <w:rPr>
                      <w:rFonts w:eastAsia="仿宋"/>
                      <w:szCs w:val="21"/>
                    </w:rPr>
                  </w:pPr>
                </w:p>
              </w:tc>
              <w:tc>
                <w:tcPr>
                  <w:tcW w:w="1606" w:type="pct"/>
                  <w:tcBorders>
                    <w:bottom w:val="single" w:color="auto" w:sz="12" w:space="0"/>
                  </w:tcBorders>
                  <w:noWrap w:val="0"/>
                  <w:vAlign w:val="center"/>
                </w:tcPr>
                <w:p w14:paraId="7E0E3A14">
                  <w:pPr>
                    <w:jc w:val="center"/>
                    <w:rPr>
                      <w:rFonts w:eastAsia="仿宋"/>
                      <w:szCs w:val="21"/>
                      <w:highlight w:val="none"/>
                    </w:rPr>
                  </w:pPr>
                  <w:r>
                    <w:rPr>
                      <w:rFonts w:hint="eastAsia" w:eastAsia="仿宋"/>
                      <w:szCs w:val="21"/>
                      <w:highlight w:val="none"/>
                      <w:lang w:eastAsia="zh-CN"/>
                    </w:rPr>
                    <w:t>2025年</w:t>
                  </w:r>
                  <w:r>
                    <w:rPr>
                      <w:rFonts w:hint="eastAsia" w:eastAsia="仿宋"/>
                      <w:kern w:val="2"/>
                      <w:sz w:val="21"/>
                      <w:szCs w:val="21"/>
                      <w:highlight w:val="none"/>
                      <w:lang w:val="en-US" w:eastAsia="zh-CN"/>
                    </w:rPr>
                    <w:t>11月01</w:t>
                  </w:r>
                  <w:r>
                    <w:rPr>
                      <w:rFonts w:hint="eastAsia" w:eastAsia="仿宋"/>
                      <w:kern w:val="2"/>
                      <w:sz w:val="21"/>
                      <w:szCs w:val="21"/>
                      <w:highlight w:val="none"/>
                    </w:rPr>
                    <w:t>日~</w:t>
                  </w:r>
                  <w:r>
                    <w:rPr>
                      <w:rFonts w:hint="eastAsia" w:eastAsia="仿宋"/>
                      <w:kern w:val="2"/>
                      <w:sz w:val="21"/>
                      <w:szCs w:val="21"/>
                      <w:highlight w:val="none"/>
                      <w:lang w:val="en-US" w:eastAsia="zh-CN"/>
                    </w:rPr>
                    <w:t>02</w:t>
                  </w:r>
                  <w:r>
                    <w:rPr>
                      <w:rFonts w:hint="eastAsia" w:eastAsia="仿宋"/>
                      <w:kern w:val="2"/>
                      <w:sz w:val="21"/>
                      <w:szCs w:val="21"/>
                      <w:highlight w:val="none"/>
                    </w:rPr>
                    <w:t>日</w:t>
                  </w:r>
                </w:p>
              </w:tc>
              <w:tc>
                <w:tcPr>
                  <w:tcW w:w="993" w:type="pct"/>
                  <w:tcBorders>
                    <w:bottom w:val="single" w:color="auto" w:sz="12" w:space="0"/>
                  </w:tcBorders>
                  <w:noWrap w:val="0"/>
                  <w:vAlign w:val="center"/>
                </w:tcPr>
                <w:p w14:paraId="7D0C7926">
                  <w:pPr>
                    <w:jc w:val="center"/>
                    <w:rPr>
                      <w:rFonts w:hint="default" w:ascii="Times New Roman" w:hAnsi="Times New Roman" w:eastAsia="仿宋" w:cs="Times New Roman"/>
                      <w:kern w:val="2"/>
                      <w:sz w:val="21"/>
                      <w:szCs w:val="21"/>
                      <w:highlight w:val="none"/>
                      <w:lang w:val="en-US" w:eastAsia="zh-CN"/>
                    </w:rPr>
                  </w:pPr>
                  <w:r>
                    <w:rPr>
                      <w:rFonts w:hint="eastAsia" w:ascii="Times New Roman" w:hAnsi="Times New Roman" w:eastAsia="仿宋" w:cs="Times New Roman"/>
                      <w:kern w:val="2"/>
                      <w:sz w:val="21"/>
                      <w:szCs w:val="21"/>
                      <w:highlight w:val="none"/>
                      <w:lang w:val="en-US" w:eastAsia="zh-CN"/>
                    </w:rPr>
                    <w:t>0.114</w:t>
                  </w:r>
                </w:p>
              </w:tc>
              <w:tc>
                <w:tcPr>
                  <w:tcW w:w="713" w:type="pct"/>
                  <w:tcBorders>
                    <w:bottom w:val="single" w:color="auto" w:sz="12" w:space="0"/>
                    <w:right w:val="nil"/>
                  </w:tcBorders>
                  <w:noWrap w:val="0"/>
                  <w:vAlign w:val="center"/>
                </w:tcPr>
                <w:p w14:paraId="58207CE6">
                  <w:pPr>
                    <w:widowControl/>
                    <w:jc w:val="center"/>
                    <w:textAlignment w:val="center"/>
                    <w:rPr>
                      <w:rFonts w:hint="default" w:eastAsia="仿宋"/>
                      <w:szCs w:val="21"/>
                      <w:lang w:val="en-US" w:eastAsia="zh-CN"/>
                    </w:rPr>
                  </w:pPr>
                  <w:r>
                    <w:rPr>
                      <w:rFonts w:hint="eastAsia" w:eastAsia="仿宋"/>
                      <w:szCs w:val="21"/>
                    </w:rPr>
                    <w:t>mg/m</w:t>
                  </w:r>
                  <w:r>
                    <w:rPr>
                      <w:rFonts w:hint="eastAsia" w:eastAsia="仿宋"/>
                      <w:szCs w:val="21"/>
                      <w:vertAlign w:val="superscript"/>
                    </w:rPr>
                    <w:t>3</w:t>
                  </w:r>
                </w:p>
              </w:tc>
            </w:tr>
          </w:tbl>
          <w:p w14:paraId="089261FB">
            <w:pPr>
              <w:adjustRightInd w:val="0"/>
              <w:spacing w:line="360" w:lineRule="auto"/>
              <w:ind w:firstLine="480" w:firstLineChars="200"/>
              <w:contextualSpacing/>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根据表3.1-4可知，项目所在区域内特征污染因子颗粒物的现状监测点的浓度值可符合</w:t>
            </w:r>
            <w:r>
              <w:rPr>
                <w:rFonts w:hint="default" w:ascii="Times New Roman" w:hAnsi="Times New Roman" w:eastAsia="宋体" w:cs="Times New Roman"/>
                <w:color w:val="auto"/>
                <w:sz w:val="24"/>
                <w:highlight w:val="none"/>
              </w:rPr>
              <w:t>《环境空气质量标准》</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GB3095-2012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及其修改单中的二级标准</w:t>
            </w:r>
            <w:r>
              <w:rPr>
                <w:rFonts w:hint="eastAsia" w:ascii="Times New Roman" w:hAnsi="Times New Roman" w:eastAsia="宋体" w:cs="Times New Roman"/>
                <w:color w:val="auto"/>
                <w:sz w:val="24"/>
                <w:highlight w:val="none"/>
                <w:lang w:val="en-US" w:eastAsia="zh-CN"/>
              </w:rPr>
              <w:t>要求。</w:t>
            </w:r>
          </w:p>
          <w:p w14:paraId="1B35A964">
            <w:pPr>
              <w:widowControl w:val="0"/>
              <w:spacing w:after="0" w:line="360" w:lineRule="auto"/>
              <w:ind w:left="0" w:leftChars="0" w:firstLine="0" w:firstLineChars="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引用数据的有效性分析</w:t>
            </w:r>
          </w:p>
          <w:p w14:paraId="6BA67D0F">
            <w:pPr>
              <w:keepNext w:val="0"/>
              <w:keepLines w:val="0"/>
              <w:pageBreakBefore w:val="0"/>
              <w:widowControl/>
              <w:suppressLineNumbers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sz w:val="24"/>
                <w:highlight w:val="none"/>
                <w:lang w:val="en-US" w:eastAsia="zh-CN"/>
              </w:rPr>
              <w:t>根据《环境影响评价技术导则 大气环境》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HJ2.2-2018</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的6.2.1.1要求：“项目所在区域达标判定，优先采用国家或地方生态环境主管部门发布的评价基准年环境质量公告或环境质量报告中的数据或结论”，根据</w:t>
            </w:r>
            <w:r>
              <w:rPr>
                <w:rFonts w:hint="eastAsia" w:ascii="Times New Roman" w:hAnsi="Times New Roman" w:eastAsia="宋体" w:cs="Times New Roman"/>
                <w:color w:val="auto"/>
                <w:sz w:val="24"/>
                <w:highlight w:val="none"/>
                <w:lang w:val="en-US" w:eastAsia="zh-CN"/>
              </w:rPr>
              <w:t>《建设项目环境影</w:t>
            </w:r>
            <w:r>
              <w:rPr>
                <w:rFonts w:hint="eastAsia" w:ascii="Times New Roman" w:hAnsi="Times New Roman" w:eastAsia="宋体" w:cs="Times New Roman"/>
                <w:color w:val="auto"/>
                <w:kern w:val="0"/>
                <w:sz w:val="24"/>
                <w:szCs w:val="24"/>
                <w:lang w:val="en-US" w:eastAsia="zh-CN" w:bidi="ar"/>
              </w:rPr>
              <w:t>响报告表编制技术指南（污染影响类）（试行）》（环办环评〔2020〕33号）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w:t>
            </w:r>
          </w:p>
          <w:p w14:paraId="5E6EB1F0">
            <w:pPr>
              <w:keepNext w:val="0"/>
              <w:keepLines w:val="0"/>
              <w:pageBreakBefore w:val="0"/>
              <w:widowControl/>
              <w:suppressLineNumbers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本次评价选取福建省生态环境厅</w:t>
            </w:r>
            <w:r>
              <w:rPr>
                <w:rFonts w:hint="eastAsia" w:ascii="Times New Roman" w:hAnsi="Times New Roman" w:eastAsia="宋体" w:cs="Times New Roman"/>
                <w:color w:val="auto"/>
                <w:kern w:val="0"/>
                <w:sz w:val="24"/>
                <w:szCs w:val="24"/>
                <w:lang w:val="en-US" w:eastAsia="zh-CN" w:bidi="ar"/>
              </w:rPr>
              <w:t>发</w:t>
            </w:r>
            <w:r>
              <w:rPr>
                <w:rFonts w:hint="default" w:ascii="Times New Roman" w:hAnsi="Times New Roman" w:eastAsia="宋体" w:cs="Times New Roman"/>
                <w:color w:val="auto"/>
                <w:kern w:val="0"/>
                <w:sz w:val="24"/>
                <w:szCs w:val="24"/>
                <w:lang w:val="en-US" w:eastAsia="zh-CN" w:bidi="ar"/>
              </w:rPr>
              <w:t>布的环境空气质量</w:t>
            </w:r>
            <w:r>
              <w:rPr>
                <w:rFonts w:hint="eastAsia" w:ascii="Times New Roman" w:hAnsi="Times New Roman" w:eastAsia="宋体" w:cs="Times New Roman"/>
                <w:color w:val="auto"/>
                <w:kern w:val="0"/>
                <w:sz w:val="24"/>
                <w:szCs w:val="24"/>
                <w:lang w:val="en-US" w:eastAsia="zh-CN" w:bidi="ar"/>
              </w:rPr>
              <w:t>数据</w:t>
            </w:r>
            <w:r>
              <w:rPr>
                <w:rFonts w:hint="default" w:ascii="Times New Roman" w:hAnsi="Times New Roman" w:eastAsia="宋体" w:cs="Times New Roman"/>
                <w:color w:val="auto"/>
                <w:kern w:val="0"/>
                <w:sz w:val="24"/>
                <w:szCs w:val="24"/>
                <w:lang w:val="en-US" w:eastAsia="zh-CN" w:bidi="ar"/>
              </w:rPr>
              <w:t>，符合《环境影响评价技术导则 大气环境》</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HJ2.2-2018</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、《建设项目环境影响报告表编制技术指南（污染影响类）（试行）》的要求，环境现状监测数据可行。</w:t>
            </w:r>
          </w:p>
          <w:p w14:paraId="5B7C17B7">
            <w:pPr>
              <w:keepNext/>
              <w:keepLines/>
              <w:widowControl w:val="0"/>
              <w:numPr>
                <w:ilvl w:val="2"/>
                <w:numId w:val="0"/>
              </w:numPr>
              <w:tabs>
                <w:tab w:val="left" w:pos="0"/>
                <w:tab w:val="left" w:pos="420"/>
              </w:tabs>
              <w:bidi w:val="0"/>
              <w:spacing w:before="120" w:after="120" w:line="360" w:lineRule="auto"/>
              <w:ind w:left="720" w:leftChars="0" w:hanging="720" w:firstLineChars="0"/>
              <w:jc w:val="both"/>
              <w:outlineLvl w:val="2"/>
              <w:rPr>
                <w:rFonts w:hint="eastAsia" w:ascii="Times New Roman" w:hAnsi="Times New Roman" w:eastAsia="宋体" w:cs="Times New Roman"/>
                <w:b/>
                <w:bCs/>
                <w:color w:val="auto"/>
                <w:kern w:val="2"/>
                <w:sz w:val="24"/>
                <w:szCs w:val="32"/>
                <w:highlight w:val="none"/>
                <w:lang w:val="en-US" w:eastAsia="zh-CN" w:bidi="ar-SA"/>
              </w:rPr>
            </w:pPr>
            <w:r>
              <w:rPr>
                <w:rFonts w:hint="eastAsia" w:ascii="Times New Roman" w:hAnsi="Times New Roman" w:eastAsia="宋体" w:cs="Times New Roman"/>
                <w:b/>
                <w:bCs/>
                <w:color w:val="auto"/>
                <w:kern w:val="2"/>
                <w:sz w:val="24"/>
                <w:szCs w:val="28"/>
                <w:lang w:val="en-US" w:eastAsia="zh-CN" w:bidi="ar-SA"/>
              </w:rPr>
              <w:t>3</w:t>
            </w:r>
            <w:r>
              <w:rPr>
                <w:rFonts w:hint="default" w:ascii="Times New Roman" w:hAnsi="Times New Roman" w:eastAsia="宋体" w:cs="Times New Roman"/>
                <w:b/>
                <w:bCs/>
                <w:color w:val="auto"/>
                <w:kern w:val="2"/>
                <w:sz w:val="24"/>
                <w:szCs w:val="28"/>
                <w:lang w:val="en-US" w:eastAsia="zh-CN" w:bidi="ar-SA"/>
              </w:rPr>
              <w:t>.1.3</w:t>
            </w:r>
            <w:r>
              <w:rPr>
                <w:rFonts w:hint="eastAsia" w:ascii="Times New Roman" w:hAnsi="Times New Roman" w:eastAsia="宋体" w:cs="Times New Roman"/>
                <w:b/>
                <w:bCs/>
                <w:color w:val="auto"/>
                <w:kern w:val="2"/>
                <w:sz w:val="24"/>
                <w:szCs w:val="32"/>
                <w:highlight w:val="none"/>
                <w:lang w:val="en-US" w:eastAsia="zh-CN" w:bidi="ar-SA"/>
              </w:rPr>
              <w:t>声环境质量现状</w:t>
            </w:r>
          </w:p>
          <w:p w14:paraId="1E628B71">
            <w:pPr>
              <w:widowControl w:val="0"/>
              <w:numPr>
                <w:ilvl w:val="0"/>
                <w:numId w:val="8"/>
              </w:numPr>
              <w:tabs>
                <w:tab w:val="left" w:pos="0"/>
              </w:tabs>
              <w:autoSpaceDE w:val="0"/>
              <w:autoSpaceDN w:val="0"/>
              <w:spacing w:before="120" w:beforeLines="50" w:line="360" w:lineRule="auto"/>
              <w:ind w:left="425" w:leftChars="0" w:hanging="425" w:firstLineChars="0"/>
              <w:jc w:val="both"/>
              <w:rPr>
                <w:rFonts w:hint="eastAsia" w:ascii="Times New Roman" w:hAnsi="Times New Roman" w:eastAsia="宋体" w:cs="宋体"/>
                <w:color w:val="auto"/>
                <w:kern w:val="0"/>
                <w:sz w:val="24"/>
                <w:szCs w:val="20"/>
                <w:highlight w:val="none"/>
                <w:lang w:val="zh-CN" w:eastAsia="zh-CN" w:bidi="ar-SA"/>
              </w:rPr>
            </w:pPr>
            <w:r>
              <w:rPr>
                <w:rFonts w:hint="eastAsia" w:ascii="Times New Roman" w:hAnsi="Times New Roman" w:eastAsia="宋体" w:cs="宋体"/>
                <w:color w:val="auto"/>
                <w:kern w:val="0"/>
                <w:sz w:val="24"/>
                <w:szCs w:val="20"/>
                <w:highlight w:val="none"/>
                <w:lang w:val="zh-CN" w:eastAsia="zh-CN" w:bidi="ar-SA"/>
              </w:rPr>
              <w:t>声环境功能区</w:t>
            </w:r>
          </w:p>
          <w:p w14:paraId="3CB3C41A">
            <w:pPr>
              <w:widowControl w:val="0"/>
              <w:shd w:val="clear"/>
              <w:tabs>
                <w:tab w:val="left" w:pos="0"/>
              </w:tabs>
              <w:autoSpaceDE w:val="0"/>
              <w:autoSpaceDN w:val="0"/>
              <w:bidi w:val="0"/>
              <w:spacing w:line="360" w:lineRule="auto"/>
              <w:ind w:firstLine="480" w:firstLineChars="200"/>
              <w:jc w:val="both"/>
              <w:rPr>
                <w:rFonts w:hint="eastAsia" w:ascii="Times New Roman" w:hAnsi="Times New Roman" w:eastAsia="宋体" w:cs="宋体"/>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8"/>
                <w:highlight w:val="none"/>
                <w:lang w:val="en-US" w:eastAsia="zh-CN" w:bidi="ar-SA"/>
              </w:rPr>
              <w:t>根据《福清市人民政府办公室关于印发福清市城市建成区声环境功能区划的通知》融政办〔2022〕48号可知，项目所在区域划为3类功能区</w:t>
            </w:r>
            <w:r>
              <w:rPr>
                <w:rFonts w:hint="eastAsia" w:ascii="Times New Roman" w:hAnsi="Times New Roman" w:eastAsia="宋体" w:cs="Times New Roman"/>
                <w:color w:val="auto"/>
                <w:kern w:val="0"/>
                <w:sz w:val="24"/>
                <w:szCs w:val="28"/>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声环境功能执行《声环境质量标准》(GB3096-2008)表1中3类标准；</w:t>
            </w:r>
          </w:p>
          <w:p w14:paraId="39776FE1">
            <w:pPr>
              <w:keepNext/>
              <w:keepLines/>
              <w:pageBreakBefore w:val="0"/>
              <w:widowControl w:val="0"/>
              <w:numPr>
                <w:ilvl w:val="7"/>
                <w:numId w:val="0"/>
              </w:numPr>
              <w:tabs>
                <w:tab w:val="left" w:pos="0"/>
                <w:tab w:val="left" w:pos="420"/>
              </w:tabs>
              <w:kinsoku/>
              <w:wordWrap/>
              <w:overflowPunct/>
              <w:topLinePunct w:val="0"/>
              <w:autoSpaceDE/>
              <w:autoSpaceDN/>
              <w:bidi w:val="0"/>
              <w:adjustRightInd/>
              <w:snapToGrid/>
              <w:spacing w:before="0" w:after="0" w:line="240" w:lineRule="auto"/>
              <w:ind w:left="630" w:leftChars="0" w:firstLine="0" w:firstLineChars="0"/>
              <w:jc w:val="center"/>
              <w:textAlignment w:val="auto"/>
              <w:rPr>
                <w:rFonts w:hint="eastAsia"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宋体"/>
                <w:b/>
                <w:bCs/>
                <w:color w:val="auto"/>
                <w:kern w:val="2"/>
                <w:sz w:val="24"/>
                <w:szCs w:val="21"/>
                <w:lang w:val="en-US" w:eastAsia="zh-CN" w:bidi="ar-SA"/>
              </w:rPr>
              <w:t>表1.1-5</w:t>
            </w:r>
            <w:r>
              <w:rPr>
                <w:rFonts w:hint="eastAsia" w:ascii="Times New Roman" w:hAnsi="Times New Roman" w:eastAsia="宋体" w:cs="Times New Roman"/>
                <w:b/>
                <w:bCs/>
                <w:color w:val="auto"/>
                <w:kern w:val="2"/>
                <w:sz w:val="24"/>
                <w:szCs w:val="21"/>
                <w:highlight w:val="none"/>
                <w:lang w:val="en-US" w:eastAsia="zh-CN" w:bidi="ar-SA"/>
              </w:rPr>
              <w:t>《声环境质量标准》(GB3096-2008)(摘录)</w:t>
            </w:r>
          </w:p>
          <w:tbl>
            <w:tblPr>
              <w:tblStyle w:val="23"/>
              <w:tblW w:w="5073" w:type="pct"/>
              <w:tblInd w:w="-79" w:type="dxa"/>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Layout w:type="autofit"/>
              <w:tblCellMar>
                <w:top w:w="0" w:type="dxa"/>
                <w:left w:w="0" w:type="dxa"/>
                <w:bottom w:w="0" w:type="dxa"/>
                <w:right w:w="0" w:type="dxa"/>
              </w:tblCellMar>
            </w:tblPr>
            <w:tblGrid>
              <w:gridCol w:w="1018"/>
              <w:gridCol w:w="4636"/>
              <w:gridCol w:w="1531"/>
              <w:gridCol w:w="1561"/>
            </w:tblGrid>
            <w:tr w14:paraId="7024279B">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397" w:hRule="atLeast"/>
              </w:trPr>
              <w:tc>
                <w:tcPr>
                  <w:tcW w:w="582" w:type="pct"/>
                  <w:vMerge w:val="restart"/>
                  <w:tcBorders>
                    <w:bottom w:val="single" w:color="000000" w:sz="4" w:space="0"/>
                  </w:tcBorders>
                  <w:vAlign w:val="center"/>
                </w:tcPr>
                <w:p w14:paraId="34B74FC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6"/>
                      <w:kern w:val="2"/>
                      <w:sz w:val="21"/>
                      <w:szCs w:val="24"/>
                      <w:lang w:val="zh-CN" w:eastAsia="zh-CN" w:bidi="zh-CN"/>
                    </w:rPr>
                    <w:t>标准</w:t>
                  </w:r>
                  <w:r>
                    <w:rPr>
                      <w:rFonts w:ascii="Times New Roman" w:hAnsi="Times New Roman" w:eastAsia="宋体" w:cs="宋体"/>
                      <w:color w:val="auto"/>
                      <w:spacing w:val="-8"/>
                      <w:kern w:val="2"/>
                      <w:sz w:val="21"/>
                      <w:szCs w:val="24"/>
                      <w:lang w:val="zh-CN" w:eastAsia="zh-CN" w:bidi="zh-CN"/>
                    </w:rPr>
                    <w:t>类别</w:t>
                  </w:r>
                </w:p>
              </w:tc>
              <w:tc>
                <w:tcPr>
                  <w:tcW w:w="2650" w:type="pct"/>
                  <w:vMerge w:val="restart"/>
                  <w:tcBorders>
                    <w:bottom w:val="single" w:color="000000" w:sz="4" w:space="0"/>
                  </w:tcBorders>
                  <w:vAlign w:val="center"/>
                </w:tcPr>
                <w:p w14:paraId="1F5FDAA1">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7"/>
                      <w:kern w:val="2"/>
                      <w:sz w:val="21"/>
                      <w:szCs w:val="24"/>
                      <w:lang w:val="zh-CN" w:eastAsia="zh-CN" w:bidi="zh-CN"/>
                    </w:rPr>
                    <w:t>适用区域</w:t>
                  </w:r>
                </w:p>
              </w:tc>
              <w:tc>
                <w:tcPr>
                  <w:tcW w:w="1767" w:type="pct"/>
                  <w:gridSpan w:val="2"/>
                  <w:tcBorders>
                    <w:bottom w:val="single" w:color="000000" w:sz="4" w:space="0"/>
                  </w:tcBorders>
                  <w:vAlign w:val="center"/>
                </w:tcPr>
                <w:p w14:paraId="3641136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s="宋体"/>
                      <w:color w:val="auto"/>
                      <w:spacing w:val="-12"/>
                      <w:kern w:val="2"/>
                      <w:position w:val="2"/>
                      <w:sz w:val="21"/>
                      <w:szCs w:val="24"/>
                      <w:lang w:val="zh-CN" w:eastAsia="zh-CN" w:bidi="zh-CN"/>
                    </w:rPr>
                  </w:pPr>
                  <w:r>
                    <w:rPr>
                      <w:rFonts w:ascii="Times New Roman" w:hAnsi="Times New Roman" w:eastAsia="宋体" w:cs="宋体"/>
                      <w:color w:val="auto"/>
                      <w:spacing w:val="-12"/>
                      <w:kern w:val="2"/>
                      <w:position w:val="2"/>
                      <w:sz w:val="21"/>
                      <w:szCs w:val="24"/>
                      <w:lang w:val="zh-CN" w:eastAsia="zh-CN" w:bidi="zh-CN"/>
                    </w:rPr>
                    <w:t xml:space="preserve">等效声级 </w:t>
                  </w:r>
                  <w:r>
                    <w:rPr>
                      <w:rFonts w:ascii="Times New Roman" w:hAnsi="Times New Roman" w:eastAsia="宋体" w:cs="宋体"/>
                      <w:color w:val="auto"/>
                      <w:spacing w:val="-4"/>
                      <w:kern w:val="2"/>
                      <w:position w:val="2"/>
                      <w:sz w:val="21"/>
                      <w:szCs w:val="24"/>
                      <w:lang w:val="zh-CN" w:eastAsia="zh-CN" w:bidi="zh-CN"/>
                    </w:rPr>
                    <w:t>L</w:t>
                  </w:r>
                  <w:r>
                    <w:rPr>
                      <w:rFonts w:ascii="Times New Roman" w:hAnsi="Times New Roman" w:eastAsia="宋体" w:cs="宋体"/>
                      <w:color w:val="auto"/>
                      <w:spacing w:val="-4"/>
                      <w:kern w:val="2"/>
                      <w:sz w:val="13"/>
                      <w:szCs w:val="24"/>
                      <w:lang w:val="zh-CN" w:eastAsia="zh-CN" w:bidi="zh-CN"/>
                    </w:rPr>
                    <w:t>eq</w:t>
                  </w:r>
                  <w:r>
                    <w:rPr>
                      <w:rFonts w:ascii="Times New Roman" w:hAnsi="Times New Roman" w:eastAsia="宋体" w:cs="宋体"/>
                      <w:color w:val="auto"/>
                      <w:spacing w:val="-4"/>
                      <w:kern w:val="2"/>
                      <w:position w:val="2"/>
                      <w:sz w:val="21"/>
                      <w:szCs w:val="24"/>
                      <w:lang w:val="zh-CN" w:eastAsia="zh-CN" w:bidi="zh-CN"/>
                    </w:rPr>
                    <w:t>(dB(A))</w:t>
                  </w:r>
                </w:p>
              </w:tc>
            </w:tr>
            <w:tr w14:paraId="4D007BBA">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397" w:hRule="atLeast"/>
              </w:trPr>
              <w:tc>
                <w:tcPr>
                  <w:tcW w:w="582" w:type="pct"/>
                  <w:vMerge w:val="continue"/>
                  <w:tcBorders>
                    <w:top w:val="single" w:color="000000" w:sz="4" w:space="0"/>
                    <w:tl2br w:val="nil"/>
                    <w:tr2bl w:val="nil"/>
                  </w:tcBorders>
                  <w:vAlign w:val="center"/>
                </w:tcPr>
                <w:p w14:paraId="10D5427B">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s="Times New Roman"/>
                      <w:color w:val="auto"/>
                      <w:sz w:val="2"/>
                      <w:szCs w:val="2"/>
                    </w:rPr>
                  </w:pPr>
                </w:p>
              </w:tc>
              <w:tc>
                <w:tcPr>
                  <w:tcW w:w="2650" w:type="pct"/>
                  <w:vMerge w:val="continue"/>
                  <w:tcBorders>
                    <w:top w:val="single" w:color="000000" w:sz="4" w:space="0"/>
                    <w:tl2br w:val="nil"/>
                    <w:tr2bl w:val="nil"/>
                  </w:tcBorders>
                  <w:vAlign w:val="center"/>
                </w:tcPr>
                <w:p w14:paraId="5696F101">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s="Times New Roman"/>
                      <w:color w:val="auto"/>
                      <w:sz w:val="2"/>
                      <w:szCs w:val="2"/>
                    </w:rPr>
                  </w:pPr>
                </w:p>
              </w:tc>
              <w:tc>
                <w:tcPr>
                  <w:tcW w:w="875" w:type="pct"/>
                  <w:tcBorders>
                    <w:top w:val="single" w:color="000000" w:sz="4" w:space="0"/>
                    <w:tl2br w:val="nil"/>
                    <w:tr2bl w:val="nil"/>
                  </w:tcBorders>
                  <w:vAlign w:val="center"/>
                </w:tcPr>
                <w:p w14:paraId="78039B84">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s="宋体"/>
                      <w:color w:val="auto"/>
                      <w:kern w:val="2"/>
                      <w:sz w:val="21"/>
                      <w:szCs w:val="24"/>
                      <w:lang w:val="zh-CN" w:eastAsia="zh-CN" w:bidi="zh-CN"/>
                    </w:rPr>
                  </w:pPr>
                  <w:r>
                    <w:rPr>
                      <w:rFonts w:ascii="Times New Roman" w:hAnsi="Times New Roman" w:eastAsia="宋体" w:cs="宋体"/>
                      <w:color w:val="auto"/>
                      <w:spacing w:val="-8"/>
                      <w:kern w:val="2"/>
                      <w:sz w:val="21"/>
                      <w:szCs w:val="24"/>
                      <w:lang w:val="zh-CN" w:eastAsia="zh-CN" w:bidi="zh-CN"/>
                    </w:rPr>
                    <w:t>昼间</w:t>
                  </w:r>
                </w:p>
              </w:tc>
              <w:tc>
                <w:tcPr>
                  <w:tcW w:w="891" w:type="pct"/>
                  <w:tcBorders>
                    <w:top w:val="single" w:color="000000" w:sz="4" w:space="0"/>
                    <w:tl2br w:val="nil"/>
                    <w:tr2bl w:val="nil"/>
                  </w:tcBorders>
                  <w:vAlign w:val="center"/>
                </w:tcPr>
                <w:p w14:paraId="5FA2A9D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宋体"/>
                      <w:color w:val="auto"/>
                      <w:spacing w:val="-8"/>
                      <w:kern w:val="2"/>
                      <w:sz w:val="21"/>
                      <w:szCs w:val="24"/>
                      <w:lang w:val="en-US" w:eastAsia="zh-CN" w:bidi="zh-CN"/>
                    </w:rPr>
                  </w:pPr>
                  <w:r>
                    <w:rPr>
                      <w:rFonts w:hint="eastAsia" w:ascii="Times New Roman" w:hAnsi="Times New Roman" w:eastAsia="宋体" w:cs="宋体"/>
                      <w:color w:val="auto"/>
                      <w:spacing w:val="-8"/>
                      <w:kern w:val="2"/>
                      <w:sz w:val="21"/>
                      <w:szCs w:val="24"/>
                      <w:lang w:val="en-US" w:eastAsia="zh-CN" w:bidi="zh-CN"/>
                    </w:rPr>
                    <w:t>夜间</w:t>
                  </w:r>
                </w:p>
              </w:tc>
            </w:tr>
            <w:tr w14:paraId="67727932">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679" w:hRule="atLeast"/>
              </w:trPr>
              <w:tc>
                <w:tcPr>
                  <w:tcW w:w="582" w:type="pct"/>
                  <w:tcBorders>
                    <w:tl2br w:val="nil"/>
                    <w:tr2bl w:val="nil"/>
                  </w:tcBorders>
                  <w:vAlign w:val="center"/>
                </w:tcPr>
                <w:p w14:paraId="58E61FC4">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宋体"/>
                      <w:color w:val="auto"/>
                      <w:spacing w:val="-10"/>
                      <w:kern w:val="2"/>
                      <w:sz w:val="21"/>
                      <w:szCs w:val="24"/>
                      <w:lang w:val="en-US" w:eastAsia="zh-CN" w:bidi="zh-CN"/>
                    </w:rPr>
                  </w:pPr>
                  <w:r>
                    <w:rPr>
                      <w:rFonts w:hint="eastAsia" w:ascii="Times New Roman" w:hAnsi="Times New Roman" w:eastAsia="宋体" w:cs="宋体"/>
                      <w:color w:val="auto"/>
                      <w:spacing w:val="-10"/>
                      <w:kern w:val="2"/>
                      <w:sz w:val="21"/>
                      <w:szCs w:val="24"/>
                      <w:lang w:val="en-US" w:eastAsia="zh-CN" w:bidi="zh-CN"/>
                    </w:rPr>
                    <w:t>3</w:t>
                  </w:r>
                </w:p>
              </w:tc>
              <w:tc>
                <w:tcPr>
                  <w:tcW w:w="2650" w:type="pct"/>
                  <w:tcBorders>
                    <w:tl2br w:val="nil"/>
                    <w:tr2bl w:val="nil"/>
                  </w:tcBorders>
                  <w:vAlign w:val="center"/>
                </w:tcPr>
                <w:p w14:paraId="597E36F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s="宋体"/>
                      <w:color w:val="auto"/>
                      <w:spacing w:val="-3"/>
                      <w:kern w:val="2"/>
                      <w:sz w:val="21"/>
                      <w:szCs w:val="24"/>
                      <w:lang w:val="zh-CN" w:eastAsia="zh-CN" w:bidi="zh-CN"/>
                    </w:rPr>
                  </w:pPr>
                  <w:r>
                    <w:rPr>
                      <w:rFonts w:hint="eastAsia" w:ascii="Times New Roman" w:hAnsi="Times New Roman" w:eastAsia="宋体" w:cs="宋体"/>
                      <w:color w:val="auto"/>
                      <w:spacing w:val="-3"/>
                      <w:kern w:val="2"/>
                      <w:sz w:val="21"/>
                      <w:szCs w:val="24"/>
                      <w:lang w:val="zh-CN" w:eastAsia="zh-CN" w:bidi="zh-CN"/>
                    </w:rPr>
                    <w:t>指</w:t>
                  </w:r>
                  <w:r>
                    <w:rPr>
                      <w:rFonts w:hint="eastAsia" w:ascii="Times New Roman" w:hAnsi="Times New Roman" w:eastAsia="宋体" w:cs="宋体"/>
                      <w:color w:val="auto"/>
                      <w:spacing w:val="-3"/>
                      <w:kern w:val="2"/>
                      <w:sz w:val="21"/>
                      <w:szCs w:val="24"/>
                      <w:lang w:val="en-US" w:eastAsia="zh-CN" w:bidi="zh-CN"/>
                    </w:rPr>
                    <w:t>以工业生产、仓储物流为主要功能，需要防止工业噪声对周围环境产生严重影响的区域。</w:t>
                  </w:r>
                </w:p>
              </w:tc>
              <w:tc>
                <w:tcPr>
                  <w:tcW w:w="875" w:type="pct"/>
                  <w:tcBorders>
                    <w:tl2br w:val="nil"/>
                    <w:tr2bl w:val="nil"/>
                  </w:tcBorders>
                  <w:vAlign w:val="center"/>
                </w:tcPr>
                <w:p w14:paraId="319715A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宋体"/>
                      <w:color w:val="auto"/>
                      <w:spacing w:val="-5"/>
                      <w:kern w:val="2"/>
                      <w:sz w:val="21"/>
                      <w:szCs w:val="24"/>
                      <w:lang w:val="zh-CN" w:eastAsia="zh-CN" w:bidi="zh-CN"/>
                    </w:rPr>
                  </w:pPr>
                  <w:r>
                    <w:rPr>
                      <w:rFonts w:ascii="Times New Roman" w:hAnsi="Times New Roman" w:eastAsia="宋体" w:cs="宋体"/>
                      <w:color w:val="auto"/>
                      <w:spacing w:val="-5"/>
                      <w:kern w:val="2"/>
                      <w:sz w:val="21"/>
                      <w:szCs w:val="24"/>
                      <w:lang w:val="zh-CN" w:eastAsia="zh-CN" w:bidi="zh-CN"/>
                    </w:rPr>
                    <w:t>≤6</w:t>
                  </w:r>
                  <w:r>
                    <w:rPr>
                      <w:rFonts w:hint="eastAsia" w:ascii="Times New Roman" w:hAnsi="Times New Roman" w:eastAsia="宋体" w:cs="宋体"/>
                      <w:color w:val="auto"/>
                      <w:spacing w:val="-5"/>
                      <w:kern w:val="2"/>
                      <w:sz w:val="21"/>
                      <w:szCs w:val="24"/>
                      <w:lang w:val="en-US" w:eastAsia="zh-CN" w:bidi="zh-CN"/>
                    </w:rPr>
                    <w:t>5</w:t>
                  </w:r>
                </w:p>
              </w:tc>
              <w:tc>
                <w:tcPr>
                  <w:tcW w:w="891" w:type="pct"/>
                  <w:tcBorders>
                    <w:tl2br w:val="nil"/>
                    <w:tr2bl w:val="nil"/>
                  </w:tcBorders>
                  <w:vAlign w:val="center"/>
                </w:tcPr>
                <w:p w14:paraId="48B06C3B">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宋体"/>
                      <w:color w:val="auto"/>
                      <w:spacing w:val="-5"/>
                      <w:kern w:val="2"/>
                      <w:sz w:val="21"/>
                      <w:szCs w:val="24"/>
                      <w:lang w:val="en-US" w:eastAsia="zh-CN" w:bidi="zh-CN"/>
                    </w:rPr>
                  </w:pPr>
                  <w:r>
                    <w:rPr>
                      <w:rFonts w:ascii="Times New Roman" w:hAnsi="Times New Roman" w:eastAsia="宋体" w:cs="宋体"/>
                      <w:color w:val="auto"/>
                      <w:spacing w:val="-5"/>
                      <w:kern w:val="2"/>
                      <w:sz w:val="21"/>
                      <w:szCs w:val="24"/>
                      <w:lang w:val="zh-CN" w:eastAsia="zh-CN" w:bidi="zh-CN"/>
                    </w:rPr>
                    <w:t>≤</w:t>
                  </w:r>
                  <w:r>
                    <w:rPr>
                      <w:rFonts w:hint="eastAsia" w:ascii="Times New Roman" w:hAnsi="Times New Roman" w:eastAsia="宋体" w:cs="宋体"/>
                      <w:color w:val="auto"/>
                      <w:spacing w:val="-5"/>
                      <w:kern w:val="2"/>
                      <w:sz w:val="21"/>
                      <w:szCs w:val="24"/>
                      <w:lang w:val="en-US" w:eastAsia="zh-CN" w:bidi="zh-CN"/>
                    </w:rPr>
                    <w:t>55</w:t>
                  </w:r>
                </w:p>
              </w:tc>
            </w:tr>
          </w:tbl>
          <w:p w14:paraId="24DB56EE">
            <w:pPr>
              <w:widowControl w:val="0"/>
              <w:numPr>
                <w:ilvl w:val="0"/>
                <w:numId w:val="8"/>
              </w:numPr>
              <w:tabs>
                <w:tab w:val="left" w:pos="0"/>
              </w:tabs>
              <w:autoSpaceDE w:val="0"/>
              <w:autoSpaceDN w:val="0"/>
              <w:spacing w:before="120" w:beforeLines="50" w:line="360" w:lineRule="auto"/>
              <w:ind w:left="425" w:leftChars="0" w:hanging="425" w:firstLineChars="0"/>
              <w:jc w:val="both"/>
              <w:rPr>
                <w:rFonts w:hint="eastAsia" w:ascii="Times New Roman" w:hAnsi="Times New Roman" w:eastAsia="宋体" w:cs="宋体"/>
                <w:color w:val="auto"/>
                <w:kern w:val="0"/>
                <w:sz w:val="24"/>
                <w:szCs w:val="20"/>
                <w:highlight w:val="none"/>
                <w:lang w:val="zh-CN" w:eastAsia="zh-CN" w:bidi="ar-SA"/>
              </w:rPr>
            </w:pPr>
            <w:r>
              <w:rPr>
                <w:rFonts w:hint="eastAsia" w:ascii="Times New Roman" w:hAnsi="Times New Roman" w:eastAsia="宋体" w:cs="宋体"/>
                <w:color w:val="auto"/>
                <w:kern w:val="0"/>
                <w:sz w:val="24"/>
                <w:szCs w:val="20"/>
                <w:highlight w:val="none"/>
                <w:lang w:val="zh-CN" w:eastAsia="zh-CN" w:bidi="ar-SA"/>
              </w:rPr>
              <w:t>声环境质量现状</w:t>
            </w:r>
          </w:p>
          <w:p w14:paraId="56899798">
            <w:pPr>
              <w:widowControl w:val="0"/>
              <w:shd w:val="clear"/>
              <w:tabs>
                <w:tab w:val="left" w:pos="0"/>
              </w:tabs>
              <w:autoSpaceDE w:val="0"/>
              <w:autoSpaceDN w:val="0"/>
              <w:bidi w:val="0"/>
              <w:spacing w:line="360" w:lineRule="auto"/>
              <w:ind w:firstLine="480" w:firstLineChars="200"/>
              <w:jc w:val="both"/>
              <w:rPr>
                <w:rFonts w:hint="default" w:ascii="Times New Roman" w:hAnsi="Times New Roman" w:eastAsia="宋体" w:cs="宋体"/>
                <w:color w:val="auto"/>
                <w:kern w:val="0"/>
                <w:sz w:val="24"/>
                <w:szCs w:val="20"/>
                <w:highlight w:val="none"/>
                <w:lang w:val="en-US" w:eastAsia="zh-CN" w:bidi="ar-SA"/>
              </w:rPr>
            </w:pPr>
            <w:r>
              <w:rPr>
                <w:rFonts w:hint="default" w:ascii="Times New Roman" w:hAnsi="Times New Roman" w:eastAsia="宋体" w:cs="宋体"/>
                <w:color w:val="auto"/>
                <w:kern w:val="0"/>
                <w:sz w:val="24"/>
                <w:szCs w:val="20"/>
                <w:highlight w:val="none"/>
                <w:lang w:val="en-US" w:eastAsia="zh-CN" w:bidi="ar-SA"/>
              </w:rPr>
              <w:t>根据生态环境部环境工程评估中心《建设项目环境影响报告表》内容、格式及编制技术指南常见问题解答厂界外周边50米范围内存在声环境保护目标的建设项目，应监测声环境质量现状，监测点位为声环境保护目标处。厂界外周边50米范围内无声环境保护目标的建设项目，不再要求提供声环境质量现状监测数据。</w:t>
            </w:r>
          </w:p>
          <w:p w14:paraId="3B2BABC3">
            <w:pPr>
              <w:widowControl w:val="0"/>
              <w:shd w:val="clear"/>
              <w:tabs>
                <w:tab w:val="left" w:pos="0"/>
              </w:tabs>
              <w:autoSpaceDE w:val="0"/>
              <w:autoSpaceDN w:val="0"/>
              <w:bidi w:val="0"/>
              <w:spacing w:line="360" w:lineRule="auto"/>
              <w:ind w:firstLine="480" w:firstLineChars="200"/>
              <w:jc w:val="both"/>
              <w:rPr>
                <w:rFonts w:hint="default" w:ascii="Times New Roman" w:hAnsi="Times New Roman" w:eastAsia="宋体" w:cs="宋体"/>
                <w:color w:val="auto"/>
                <w:kern w:val="0"/>
                <w:sz w:val="24"/>
                <w:szCs w:val="20"/>
                <w:highlight w:val="none"/>
                <w:lang w:val="en-US" w:eastAsia="zh-CN" w:bidi="ar-SA"/>
              </w:rPr>
            </w:pPr>
            <w:r>
              <w:rPr>
                <w:rFonts w:hint="default" w:ascii="Times New Roman" w:hAnsi="Times New Roman" w:eastAsia="宋体" w:cs="宋体"/>
                <w:color w:val="auto"/>
                <w:kern w:val="0"/>
                <w:sz w:val="24"/>
                <w:szCs w:val="20"/>
                <w:highlight w:val="none"/>
                <w:lang w:val="en-US" w:eastAsia="zh-CN" w:bidi="ar-SA"/>
              </w:rPr>
              <w:t>根据现场踏勘可知，项目周边50米范围内无声环境保护目标，可不进行声环境质量现状的监测。</w:t>
            </w:r>
          </w:p>
          <w:p w14:paraId="5650E7E5">
            <w:pPr>
              <w:keepNext/>
              <w:keepLines/>
              <w:widowControl w:val="0"/>
              <w:numPr>
                <w:ilvl w:val="2"/>
                <w:numId w:val="0"/>
              </w:numPr>
              <w:tabs>
                <w:tab w:val="left" w:pos="0"/>
                <w:tab w:val="left" w:pos="420"/>
              </w:tabs>
              <w:bidi w:val="0"/>
              <w:spacing w:before="120" w:after="120" w:line="360" w:lineRule="auto"/>
              <w:ind w:left="720" w:leftChars="0" w:hanging="720" w:firstLineChars="0"/>
              <w:jc w:val="both"/>
              <w:outlineLvl w:val="2"/>
              <w:rPr>
                <w:rFonts w:hint="eastAsia" w:ascii="Times New Roman" w:hAnsi="Times New Roman" w:eastAsia="宋体" w:cs="Times New Roman"/>
                <w:b/>
                <w:bCs/>
                <w:color w:val="auto"/>
                <w:kern w:val="2"/>
                <w:sz w:val="24"/>
                <w:szCs w:val="32"/>
                <w:highlight w:val="none"/>
                <w:lang w:val="en-US" w:eastAsia="zh-CN" w:bidi="ar-SA"/>
              </w:rPr>
            </w:pPr>
            <w:r>
              <w:rPr>
                <w:rFonts w:hint="eastAsia" w:ascii="Times New Roman" w:hAnsi="Times New Roman" w:eastAsia="宋体" w:cs="Times New Roman"/>
                <w:b/>
                <w:bCs/>
                <w:color w:val="auto"/>
                <w:kern w:val="2"/>
                <w:sz w:val="24"/>
                <w:szCs w:val="28"/>
                <w:lang w:val="en-US" w:eastAsia="zh-CN" w:bidi="ar-SA"/>
              </w:rPr>
              <w:t>3</w:t>
            </w:r>
            <w:r>
              <w:rPr>
                <w:rFonts w:hint="default" w:ascii="Times New Roman" w:hAnsi="Times New Roman" w:eastAsia="宋体" w:cs="Times New Roman"/>
                <w:b/>
                <w:bCs/>
                <w:color w:val="auto"/>
                <w:kern w:val="2"/>
                <w:sz w:val="24"/>
                <w:szCs w:val="28"/>
                <w:lang w:val="en-US" w:eastAsia="zh-CN" w:bidi="ar-SA"/>
              </w:rPr>
              <w:t>.1.4</w:t>
            </w:r>
            <w:r>
              <w:rPr>
                <w:rFonts w:hint="eastAsia" w:ascii="Times New Roman" w:hAnsi="Times New Roman" w:eastAsia="宋体" w:cs="Times New Roman"/>
                <w:b/>
                <w:bCs/>
                <w:color w:val="auto"/>
                <w:kern w:val="2"/>
                <w:sz w:val="24"/>
                <w:szCs w:val="32"/>
                <w:highlight w:val="none"/>
                <w:lang w:val="en-US" w:eastAsia="zh-CN" w:bidi="ar-SA"/>
              </w:rPr>
              <w:t>生态环境</w:t>
            </w:r>
          </w:p>
          <w:p w14:paraId="57460F4A">
            <w:pPr>
              <w:keepNext w:val="0"/>
              <w:keepLines w:val="0"/>
              <w:pageBreakBefore w:val="0"/>
              <w:widowControl w:val="0"/>
              <w:tabs>
                <w:tab w:val="left" w:pos="0"/>
              </w:tabs>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eastAsia="宋体" w:cs="宋体"/>
                <w:color w:val="auto"/>
                <w:kern w:val="0"/>
                <w:sz w:val="24"/>
                <w:szCs w:val="20"/>
                <w:highlight w:val="none"/>
                <w:lang w:val="zh-CN" w:eastAsia="zh-CN" w:bidi="ar-SA"/>
              </w:rPr>
            </w:pPr>
            <w:r>
              <w:rPr>
                <w:rFonts w:hint="eastAsia" w:ascii="Times New Roman" w:hAnsi="Times New Roman" w:eastAsia="宋体" w:cs="宋体"/>
                <w:color w:val="auto"/>
                <w:kern w:val="0"/>
                <w:sz w:val="24"/>
                <w:szCs w:val="20"/>
                <w:highlight w:val="none"/>
                <w:lang w:val="zh-CN" w:eastAsia="zh-CN" w:bidi="ar-SA"/>
              </w:rPr>
              <w:t>根据《建设项目环境影响报告表编制技术指南（污染影响类）（试行）》，“产业园区外建设项目新增用地且用地范围内含生态环境保护目标时，应进行生态现状调查”。本项目位于福清市镜洋镇过洋39号，</w:t>
            </w:r>
            <w:r>
              <w:rPr>
                <w:rFonts w:hint="eastAsia" w:ascii="Times New Roman" w:hAnsi="Times New Roman" w:eastAsia="宋体" w:cs="宋体"/>
                <w:color w:val="auto"/>
                <w:kern w:val="0"/>
                <w:sz w:val="24"/>
                <w:szCs w:val="20"/>
                <w:highlight w:val="none"/>
                <w:lang w:val="en-US" w:eastAsia="zh-CN" w:bidi="ar-SA"/>
              </w:rPr>
              <w:t>厂房已建设，</w:t>
            </w:r>
            <w:r>
              <w:rPr>
                <w:rFonts w:hint="eastAsia" w:ascii="Times New Roman" w:hAnsi="Times New Roman" w:eastAsia="宋体" w:cs="宋体"/>
                <w:color w:val="auto"/>
                <w:kern w:val="0"/>
                <w:sz w:val="24"/>
                <w:szCs w:val="20"/>
                <w:highlight w:val="none"/>
                <w:lang w:val="zh-CN" w:eastAsia="zh-CN" w:bidi="ar-SA"/>
              </w:rPr>
              <w:t>用地范围内无生态环境保护目标，无需进行生态现状调查。</w:t>
            </w:r>
          </w:p>
          <w:p w14:paraId="197D37F6">
            <w:pPr>
              <w:keepNext/>
              <w:keepLines/>
              <w:widowControl w:val="0"/>
              <w:numPr>
                <w:ilvl w:val="2"/>
                <w:numId w:val="0"/>
              </w:numPr>
              <w:tabs>
                <w:tab w:val="left" w:pos="0"/>
                <w:tab w:val="left" w:pos="420"/>
              </w:tabs>
              <w:bidi w:val="0"/>
              <w:spacing w:before="120" w:after="120" w:line="360" w:lineRule="auto"/>
              <w:ind w:left="720" w:leftChars="0" w:hanging="720" w:firstLineChars="0"/>
              <w:jc w:val="both"/>
              <w:outlineLvl w:val="2"/>
              <w:rPr>
                <w:rFonts w:hint="eastAsia" w:ascii="Times New Roman" w:hAnsi="Times New Roman" w:eastAsia="宋体" w:cs="Times New Roman"/>
                <w:b/>
                <w:bCs/>
                <w:color w:val="auto"/>
                <w:kern w:val="2"/>
                <w:sz w:val="24"/>
                <w:szCs w:val="32"/>
                <w:highlight w:val="none"/>
                <w:lang w:val="en-US" w:eastAsia="zh-CN" w:bidi="ar-SA"/>
              </w:rPr>
            </w:pPr>
            <w:r>
              <w:rPr>
                <w:rFonts w:hint="eastAsia" w:ascii="Times New Roman" w:hAnsi="Times New Roman" w:eastAsia="宋体" w:cs="Times New Roman"/>
                <w:b/>
                <w:bCs/>
                <w:color w:val="auto"/>
                <w:kern w:val="2"/>
                <w:sz w:val="24"/>
                <w:szCs w:val="28"/>
                <w:lang w:val="en-US" w:eastAsia="zh-CN" w:bidi="ar-SA"/>
              </w:rPr>
              <w:t>3</w:t>
            </w:r>
            <w:r>
              <w:rPr>
                <w:rFonts w:hint="default" w:ascii="Times New Roman" w:hAnsi="Times New Roman" w:eastAsia="宋体" w:cs="Times New Roman"/>
                <w:b/>
                <w:bCs/>
                <w:color w:val="auto"/>
                <w:kern w:val="2"/>
                <w:sz w:val="24"/>
                <w:szCs w:val="28"/>
                <w:lang w:val="en-US" w:eastAsia="zh-CN" w:bidi="ar-SA"/>
              </w:rPr>
              <w:t>.1.5</w:t>
            </w:r>
            <w:r>
              <w:rPr>
                <w:rFonts w:hint="eastAsia" w:ascii="Times New Roman" w:hAnsi="Times New Roman" w:eastAsia="宋体" w:cs="Times New Roman"/>
                <w:b/>
                <w:bCs/>
                <w:color w:val="auto"/>
                <w:kern w:val="2"/>
                <w:sz w:val="24"/>
                <w:szCs w:val="32"/>
                <w:highlight w:val="none"/>
                <w:lang w:val="en-US" w:eastAsia="zh-CN" w:bidi="ar-SA"/>
              </w:rPr>
              <w:t>地下水、土壤环境</w:t>
            </w:r>
          </w:p>
          <w:p w14:paraId="5EAD7237">
            <w:pPr>
              <w:widowControl/>
              <w:spacing w:line="360" w:lineRule="auto"/>
              <w:ind w:firstLine="480" w:firstLineChars="200"/>
              <w:jc w:val="left"/>
              <w:rPr>
                <w:rFonts w:hint="eastAsia"/>
                <w:vertAlign w:val="baseline"/>
                <w:lang w:eastAsia="zh-CN"/>
              </w:rPr>
            </w:pPr>
            <w:r>
              <w:rPr>
                <w:rFonts w:hint="eastAsia" w:ascii="Times New Roman" w:hAnsi="Times New Roman" w:eastAsia="宋体" w:cs="宋体"/>
                <w:b w:val="0"/>
                <w:bCs w:val="0"/>
                <w:color w:val="auto"/>
                <w:kern w:val="0"/>
                <w:sz w:val="24"/>
                <w:szCs w:val="20"/>
                <w:highlight w:val="none"/>
                <w:lang w:val="zh-CN" w:eastAsia="zh-CN" w:bidi="ar-SA"/>
              </w:rPr>
              <w:t>根据《建设项目环境影响报告表编制技术指南（污染影响类）（试行）》中表明：原则上不开展地下水、土壤环境质量现状调查。本项目厂区车间经分区防渗后，项目基本不会对土壤、地下水产生影响</w:t>
            </w:r>
            <w:r>
              <w:rPr>
                <w:rFonts w:hint="eastAsia" w:cs="宋体"/>
                <w:b w:val="0"/>
                <w:bCs w:val="0"/>
                <w:color w:val="auto"/>
                <w:kern w:val="0"/>
                <w:sz w:val="24"/>
                <w:szCs w:val="20"/>
                <w:highlight w:val="none"/>
                <w:lang w:val="zh-CN" w:eastAsia="zh-CN" w:bidi="ar-SA"/>
              </w:rPr>
              <w:t>且</w:t>
            </w:r>
            <w:r>
              <w:rPr>
                <w:rFonts w:hint="eastAsia" w:ascii="Times New Roman" w:hAnsi="Times New Roman" w:eastAsia="宋体" w:cs="宋体"/>
                <w:b w:val="0"/>
                <w:bCs w:val="0"/>
                <w:color w:val="auto"/>
                <w:kern w:val="0"/>
                <w:sz w:val="24"/>
                <w:szCs w:val="20"/>
                <w:highlight w:val="none"/>
                <w:lang w:val="zh-CN" w:eastAsia="zh-CN" w:bidi="ar-SA"/>
              </w:rPr>
              <w:t>项目厂界外500m范围内无地下水集中式饮用水水源和热水、矿泉水、泉水等特殊地下水资源。因此，本项目不开展地下水、土壤环境质量现状调查。</w:t>
            </w:r>
            <w:bookmarkEnd w:id="41"/>
          </w:p>
        </w:tc>
      </w:tr>
      <w:tr w14:paraId="42EB8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2" w:hRule="atLeast"/>
        </w:trPr>
        <w:tc>
          <w:tcPr>
            <w:tcW w:w="456" w:type="dxa"/>
            <w:vAlign w:val="center"/>
          </w:tcPr>
          <w:p w14:paraId="786291D9">
            <w:pPr>
              <w:jc w:val="center"/>
              <w:rPr>
                <w:rFonts w:hint="eastAsia"/>
                <w:vertAlign w:val="baseline"/>
                <w:lang w:eastAsia="zh-CN"/>
              </w:rPr>
            </w:pPr>
            <w:r>
              <w:rPr>
                <w:rFonts w:hint="eastAsia"/>
                <w:sz w:val="24"/>
                <w:szCs w:val="24"/>
                <w:vertAlign w:val="baseline"/>
                <w:lang w:eastAsia="zh-CN"/>
              </w:rPr>
              <w:t>环境保护目标</w:t>
            </w:r>
          </w:p>
        </w:tc>
        <w:tc>
          <w:tcPr>
            <w:tcW w:w="8749" w:type="dxa"/>
          </w:tcPr>
          <w:p w14:paraId="1A7E126E">
            <w:pPr>
              <w:pStyle w:val="47"/>
              <w:keepNext w:val="0"/>
              <w:keepLines w:val="0"/>
              <w:pageBreakBefore w:val="0"/>
              <w:widowControl w:val="0"/>
              <w:kinsoku/>
              <w:wordWrap/>
              <w:overflowPunct/>
              <w:topLinePunct w:val="0"/>
              <w:autoSpaceDE/>
              <w:autoSpaceDN/>
              <w:bidi w:val="0"/>
              <w:adjustRightInd w:val="0"/>
              <w:snapToGrid/>
              <w:textAlignment w:val="auto"/>
              <w:outlineLvl w:val="1"/>
              <w:rPr>
                <w:color w:val="auto"/>
                <w:szCs w:val="28"/>
              </w:rPr>
            </w:pPr>
            <w:bookmarkStart w:id="43" w:name="_Toc11230"/>
            <w:r>
              <w:rPr>
                <w:color w:val="auto"/>
                <w:szCs w:val="28"/>
              </w:rPr>
              <w:t>3.</w:t>
            </w:r>
            <w:r>
              <w:rPr>
                <w:rFonts w:hint="eastAsia"/>
                <w:color w:val="auto"/>
                <w:szCs w:val="28"/>
                <w:lang w:val="en-US" w:eastAsia="zh-CN"/>
              </w:rPr>
              <w:t>6</w:t>
            </w:r>
            <w:r>
              <w:rPr>
                <w:color w:val="auto"/>
                <w:szCs w:val="28"/>
              </w:rPr>
              <w:t>主要环境保护目标</w:t>
            </w:r>
            <w:bookmarkEnd w:id="43"/>
          </w:p>
          <w:p w14:paraId="5442EA35">
            <w:pPr>
              <w:spacing w:line="360" w:lineRule="auto"/>
              <w:ind w:firstLine="480" w:firstLineChars="200"/>
              <w:rPr>
                <w:color w:val="auto"/>
                <w:sz w:val="24"/>
              </w:rPr>
            </w:pPr>
            <w:r>
              <w:rPr>
                <w:rFonts w:hint="default" w:ascii="Times New Roman" w:hAnsi="Times New Roman" w:cs="Times New Roman"/>
                <w:color w:val="auto"/>
                <w:kern w:val="0"/>
                <w:sz w:val="24"/>
              </w:rPr>
              <w:t>根据《建设项目环境影响报告表编制技术指南</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污染影响类</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试行</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环办环评〔2020〕33号</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要求以及对项目周边环境的调查，本项目</w:t>
            </w:r>
            <w:r>
              <w:rPr>
                <w:rFonts w:hint="default" w:ascii="Times New Roman" w:hAnsi="Times New Roman" w:cs="Times New Roman"/>
                <w:color w:val="auto"/>
                <w:kern w:val="0"/>
                <w:sz w:val="24"/>
                <w:lang w:val="en-US" w:eastAsia="zh-CN"/>
              </w:rPr>
              <w:t>大气环境</w:t>
            </w:r>
            <w:r>
              <w:rPr>
                <w:rFonts w:hint="eastAsia" w:ascii="Times New Roman" w:hAnsi="Times New Roman" w:cs="Times New Roman"/>
                <w:color w:val="auto"/>
                <w:kern w:val="0"/>
                <w:sz w:val="24"/>
                <w:lang w:val="en-US" w:eastAsia="zh-CN"/>
              </w:rPr>
              <w:t>（厂界外500m）</w:t>
            </w:r>
            <w:r>
              <w:rPr>
                <w:rFonts w:hint="default" w:ascii="Times New Roman" w:hAnsi="Times New Roman" w:cs="Times New Roman"/>
                <w:color w:val="auto"/>
                <w:kern w:val="0"/>
                <w:sz w:val="24"/>
                <w:lang w:val="en-US" w:eastAsia="zh-CN"/>
              </w:rPr>
              <w:t>、地表水环境、声环境</w:t>
            </w:r>
            <w:r>
              <w:rPr>
                <w:rFonts w:hint="eastAsia" w:ascii="Times New Roman" w:hAnsi="Times New Roman" w:cs="Times New Roman"/>
                <w:color w:val="auto"/>
                <w:kern w:val="0"/>
                <w:sz w:val="24"/>
                <w:lang w:val="en-US" w:eastAsia="zh-CN"/>
              </w:rPr>
              <w:t>（厂界外50m）、地下水环境（厂界外50m）等环境保护目标详</w:t>
            </w:r>
            <w:r>
              <w:rPr>
                <w:rFonts w:hint="default" w:ascii="Times New Roman" w:hAnsi="Times New Roman" w:cs="Times New Roman"/>
                <w:color w:val="auto"/>
                <w:kern w:val="0"/>
                <w:sz w:val="24"/>
              </w:rPr>
              <w:t>见表3.</w:t>
            </w:r>
            <w:r>
              <w:rPr>
                <w:rFonts w:hint="eastAsia" w:ascii="Times New Roman" w:hAnsi="Times New Roman" w:cs="Times New Roman"/>
                <w:color w:val="auto"/>
                <w:kern w:val="0"/>
                <w:sz w:val="24"/>
                <w:lang w:val="en-US" w:eastAsia="zh-CN"/>
              </w:rPr>
              <w:t>6-1</w:t>
            </w:r>
            <w:r>
              <w:rPr>
                <w:rFonts w:hint="default" w:ascii="Times New Roman" w:hAnsi="Times New Roman" w:cs="Times New Roman"/>
                <w:color w:val="auto"/>
                <w:kern w:val="0"/>
                <w:sz w:val="24"/>
              </w:rPr>
              <w:t>和</w:t>
            </w:r>
            <w:r>
              <w:rPr>
                <w:rFonts w:hint="default" w:ascii="Times New Roman" w:hAnsi="Times New Roman" w:cs="Times New Roman"/>
                <w:b/>
                <w:bCs/>
                <w:color w:val="auto"/>
                <w:kern w:val="0"/>
                <w:sz w:val="24"/>
                <w:highlight w:val="none"/>
              </w:rPr>
              <w:t>附图</w:t>
            </w:r>
            <w:r>
              <w:rPr>
                <w:rFonts w:hint="eastAsia" w:cs="Times New Roman"/>
                <w:b/>
                <w:bCs/>
                <w:color w:val="auto"/>
                <w:kern w:val="0"/>
                <w:sz w:val="24"/>
                <w:highlight w:val="none"/>
                <w:lang w:val="en-US" w:eastAsia="zh-CN"/>
              </w:rPr>
              <w:t>二</w:t>
            </w:r>
            <w:r>
              <w:rPr>
                <w:color w:val="auto"/>
                <w:sz w:val="24"/>
              </w:rPr>
              <w:t>。</w:t>
            </w:r>
          </w:p>
          <w:p w14:paraId="1B37BF86">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表3.6-1项目主要环境保护目标一览表</w:t>
            </w:r>
          </w:p>
          <w:tbl>
            <w:tblPr>
              <w:tblStyle w:val="23"/>
              <w:tblW w:w="499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26"/>
              <w:gridCol w:w="1118"/>
              <w:gridCol w:w="1631"/>
              <w:gridCol w:w="1051"/>
              <w:gridCol w:w="3584"/>
            </w:tblGrid>
            <w:tr w14:paraId="4C54E8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77" w:hRule="atLeast"/>
                <w:jc w:val="center"/>
              </w:trPr>
              <w:tc>
                <w:tcPr>
                  <w:tcW w:w="712" w:type="pct"/>
                  <w:noWrap w:val="0"/>
                  <w:vAlign w:val="center"/>
                </w:tcPr>
                <w:p w14:paraId="7F1430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649" w:type="pct"/>
                  <w:noWrap w:val="0"/>
                  <w:vAlign w:val="center"/>
                </w:tcPr>
                <w:p w14:paraId="635C3C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环境保护对象名称</w:t>
                  </w:r>
                </w:p>
              </w:tc>
              <w:tc>
                <w:tcPr>
                  <w:tcW w:w="947" w:type="pct"/>
                  <w:noWrap w:val="0"/>
                  <w:vAlign w:val="center"/>
                </w:tcPr>
                <w:p w14:paraId="79B061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相对项目的方</w:t>
                  </w:r>
                </w:p>
                <w:p w14:paraId="288EA1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位和最近距离</w:t>
                  </w:r>
                </w:p>
              </w:tc>
              <w:tc>
                <w:tcPr>
                  <w:tcW w:w="610" w:type="pct"/>
                  <w:noWrap w:val="0"/>
                  <w:vAlign w:val="center"/>
                </w:tcPr>
                <w:p w14:paraId="4AC4C1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目标规模</w:t>
                  </w:r>
                </w:p>
              </w:tc>
              <w:tc>
                <w:tcPr>
                  <w:tcW w:w="2079" w:type="pct"/>
                  <w:noWrap w:val="0"/>
                  <w:vAlign w:val="center"/>
                </w:tcPr>
                <w:p w14:paraId="2329F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环境功能</w:t>
                  </w:r>
                </w:p>
              </w:tc>
            </w:tr>
            <w:tr w14:paraId="011AEA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8" w:hRule="atLeast"/>
                <w:jc w:val="center"/>
              </w:trPr>
              <w:tc>
                <w:tcPr>
                  <w:tcW w:w="712" w:type="pct"/>
                  <w:noWrap w:val="0"/>
                  <w:vAlign w:val="center"/>
                </w:tcPr>
                <w:p w14:paraId="43CD3F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w:t>
                  </w:r>
                </w:p>
              </w:tc>
              <w:tc>
                <w:tcPr>
                  <w:tcW w:w="649" w:type="pct"/>
                  <w:noWrap w:val="0"/>
                  <w:vAlign w:val="center"/>
                </w:tcPr>
                <w:p w14:paraId="27BD4D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下田村</w:t>
                  </w:r>
                </w:p>
              </w:tc>
              <w:tc>
                <w:tcPr>
                  <w:tcW w:w="947" w:type="pct"/>
                  <w:noWrap w:val="0"/>
                  <w:vAlign w:val="center"/>
                </w:tcPr>
                <w:p w14:paraId="5015C2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西南侧约</w:t>
                  </w:r>
                  <w:r>
                    <w:rPr>
                      <w:rFonts w:hint="eastAsia" w:cs="Times New Roman"/>
                      <w:color w:val="auto"/>
                      <w:sz w:val="21"/>
                      <w:szCs w:val="21"/>
                      <w:lang w:val="en-US" w:eastAsia="zh-CN"/>
                    </w:rPr>
                    <w:t>177</w:t>
                  </w:r>
                  <w:r>
                    <w:rPr>
                      <w:rFonts w:hint="default" w:ascii="Times New Roman" w:hAnsi="Times New Roman" w:eastAsia="宋体" w:cs="Times New Roman"/>
                      <w:color w:val="auto"/>
                      <w:sz w:val="21"/>
                      <w:szCs w:val="21"/>
                      <w:lang w:val="en-US" w:eastAsia="zh-CN"/>
                    </w:rPr>
                    <w:t>m</w:t>
                  </w:r>
                </w:p>
              </w:tc>
              <w:tc>
                <w:tcPr>
                  <w:tcW w:w="610" w:type="pct"/>
                  <w:noWrap w:val="0"/>
                  <w:vAlign w:val="center"/>
                </w:tcPr>
                <w:p w14:paraId="5CE0EB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约30户/120人</w:t>
                  </w:r>
                </w:p>
              </w:tc>
              <w:tc>
                <w:tcPr>
                  <w:tcW w:w="2079" w:type="pct"/>
                  <w:noWrap w:val="0"/>
                  <w:vAlign w:val="center"/>
                </w:tcPr>
                <w:p w14:paraId="6EE474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w:t>
                  </w:r>
                  <w:r>
                    <w:rPr>
                      <w:rFonts w:hint="eastAsia" w:cs="Times New Roman"/>
                      <w:color w:val="auto"/>
                      <w:sz w:val="21"/>
                      <w:szCs w:val="21"/>
                      <w:lang w:eastAsia="zh-CN"/>
                    </w:rPr>
                    <w:t>）</w:t>
                  </w:r>
                  <w:r>
                    <w:rPr>
                      <w:rFonts w:hint="default" w:ascii="Times New Roman" w:hAnsi="Times New Roman" w:eastAsia="宋体" w:cs="Times New Roman"/>
                      <w:color w:val="auto"/>
                      <w:sz w:val="21"/>
                      <w:szCs w:val="21"/>
                      <w:lang w:val="zh-CN"/>
                    </w:rPr>
                    <w:t>及</w:t>
                  </w:r>
                  <w:r>
                    <w:rPr>
                      <w:rFonts w:hint="default" w:ascii="Times New Roman" w:hAnsi="Times New Roman" w:eastAsia="宋体" w:cs="Times New Roman"/>
                      <w:color w:val="auto"/>
                      <w:sz w:val="21"/>
                      <w:szCs w:val="21"/>
                    </w:rPr>
                    <w:t>其修改单二级标准</w:t>
                  </w:r>
                </w:p>
              </w:tc>
            </w:tr>
            <w:tr w14:paraId="2EA685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3" w:hRule="atLeast"/>
                <w:jc w:val="center"/>
              </w:trPr>
              <w:tc>
                <w:tcPr>
                  <w:tcW w:w="712" w:type="pct"/>
                  <w:noWrap w:val="0"/>
                  <w:vAlign w:val="center"/>
                </w:tcPr>
                <w:p w14:paraId="73E96B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地表水</w:t>
                  </w:r>
                </w:p>
              </w:tc>
              <w:tc>
                <w:tcPr>
                  <w:tcW w:w="649" w:type="pct"/>
                  <w:noWrap w:val="0"/>
                  <w:vAlign w:val="center"/>
                </w:tcPr>
                <w:p w14:paraId="7872E6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罗汉溪</w:t>
                  </w:r>
                </w:p>
              </w:tc>
              <w:tc>
                <w:tcPr>
                  <w:tcW w:w="947" w:type="pct"/>
                  <w:noWrap w:val="0"/>
                  <w:vAlign w:val="center"/>
                </w:tcPr>
                <w:p w14:paraId="2D792B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西北侧约</w:t>
                  </w:r>
                  <w:r>
                    <w:rPr>
                      <w:rFonts w:hint="eastAsia" w:cs="Times New Roman"/>
                      <w:color w:val="auto"/>
                      <w:sz w:val="21"/>
                      <w:szCs w:val="21"/>
                      <w:lang w:val="en-US" w:eastAsia="zh-CN"/>
                    </w:rPr>
                    <w:t>330</w:t>
                  </w:r>
                  <w:r>
                    <w:rPr>
                      <w:rFonts w:hint="default" w:ascii="Times New Roman" w:hAnsi="Times New Roman" w:eastAsia="宋体" w:cs="Times New Roman"/>
                      <w:color w:val="auto"/>
                      <w:sz w:val="21"/>
                      <w:szCs w:val="21"/>
                      <w:lang w:val="en-US" w:eastAsia="zh-CN"/>
                    </w:rPr>
                    <w:t>m</w:t>
                  </w:r>
                </w:p>
              </w:tc>
              <w:tc>
                <w:tcPr>
                  <w:tcW w:w="610" w:type="pct"/>
                  <w:noWrap w:val="0"/>
                  <w:vAlign w:val="center"/>
                </w:tcPr>
                <w:p w14:paraId="48FB00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河流</w:t>
                  </w:r>
                </w:p>
              </w:tc>
              <w:tc>
                <w:tcPr>
                  <w:tcW w:w="2079" w:type="pct"/>
                  <w:noWrap w:val="0"/>
                  <w:vAlign w:val="center"/>
                </w:tcPr>
                <w:p w14:paraId="0028CC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《地表水环境质量标准》</w:t>
                  </w:r>
                  <w:r>
                    <w:rPr>
                      <w:rFonts w:hint="eastAsia" w:cs="Times New Roman"/>
                      <w:color w:val="auto"/>
                      <w:sz w:val="21"/>
                      <w:szCs w:val="21"/>
                      <w:lang w:eastAsia="zh-CN"/>
                    </w:rPr>
                    <w:t>（</w:t>
                  </w:r>
                  <w:r>
                    <w:rPr>
                      <w:rFonts w:hint="default" w:ascii="Times New Roman" w:hAnsi="Times New Roman" w:eastAsia="宋体" w:cs="Times New Roman"/>
                      <w:color w:val="auto"/>
                      <w:sz w:val="21"/>
                      <w:szCs w:val="21"/>
                      <w:lang w:eastAsia="zh-CN"/>
                    </w:rPr>
                    <w:t>GB3838-2002)Ⅲ类标准</w:t>
                  </w:r>
                </w:p>
              </w:tc>
            </w:tr>
            <w:tr w14:paraId="751257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712" w:type="pct"/>
                  <w:noWrap w:val="0"/>
                  <w:vAlign w:val="center"/>
                </w:tcPr>
                <w:p w14:paraId="1CFA47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地下水环境</w:t>
                  </w:r>
                </w:p>
              </w:tc>
              <w:tc>
                <w:tcPr>
                  <w:tcW w:w="4287" w:type="pct"/>
                  <w:gridSpan w:val="4"/>
                  <w:noWrap w:val="0"/>
                  <w:vAlign w:val="center"/>
                </w:tcPr>
                <w:p w14:paraId="3F9468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500米范围内无地下水集中式饮用水水源和热水、矿泉水、温泉等特殊地下水资源</w:t>
                  </w:r>
                </w:p>
              </w:tc>
            </w:tr>
            <w:tr w14:paraId="36ECCE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712" w:type="pct"/>
                  <w:noWrap w:val="0"/>
                  <w:vAlign w:val="center"/>
                </w:tcPr>
                <w:p w14:paraId="1177DD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4287" w:type="pct"/>
                  <w:gridSpan w:val="4"/>
                  <w:noWrap w:val="0"/>
                  <w:vAlign w:val="center"/>
                </w:tcPr>
                <w:p w14:paraId="6F8A4C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项目厂界外50m无声环境保护目标</w:t>
                  </w:r>
                </w:p>
              </w:tc>
            </w:tr>
            <w:tr w14:paraId="7C90BD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712" w:type="pct"/>
                  <w:noWrap w:val="0"/>
                  <w:vAlign w:val="center"/>
                </w:tcPr>
                <w:p w14:paraId="05D52A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生态环境</w:t>
                  </w:r>
                </w:p>
              </w:tc>
              <w:tc>
                <w:tcPr>
                  <w:tcW w:w="4287" w:type="pct"/>
                  <w:gridSpan w:val="4"/>
                  <w:noWrap w:val="0"/>
                  <w:vAlign w:val="center"/>
                </w:tcPr>
                <w:p w14:paraId="5560A9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本项目位于园区内，无生态环境保护目标</w:t>
                  </w:r>
                </w:p>
              </w:tc>
            </w:tr>
          </w:tbl>
          <w:p w14:paraId="1C14C79D">
            <w:pPr>
              <w:rPr>
                <w:rFonts w:hint="eastAsia"/>
                <w:vertAlign w:val="baseline"/>
                <w:lang w:eastAsia="zh-CN"/>
              </w:rPr>
            </w:pPr>
          </w:p>
        </w:tc>
      </w:tr>
      <w:tr w14:paraId="6F873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64" w:hRule="atLeast"/>
        </w:trPr>
        <w:tc>
          <w:tcPr>
            <w:tcW w:w="456" w:type="dxa"/>
            <w:vAlign w:val="center"/>
          </w:tcPr>
          <w:p w14:paraId="4A4FF1C9">
            <w:pPr>
              <w:jc w:val="center"/>
              <w:rPr>
                <w:rFonts w:hint="eastAsia"/>
                <w:vertAlign w:val="baseline"/>
                <w:lang w:eastAsia="zh-CN"/>
              </w:rPr>
            </w:pPr>
            <w:r>
              <w:rPr>
                <w:rFonts w:hint="default" w:ascii="Times New Roman" w:hAnsi="Times New Roman" w:eastAsia="宋体" w:cs="Times New Roman"/>
                <w:color w:val="auto"/>
                <w:kern w:val="0"/>
                <w:sz w:val="24"/>
                <w:szCs w:val="24"/>
              </w:rPr>
              <w:t>污染物排放控制标准</w:t>
            </w:r>
          </w:p>
        </w:tc>
        <w:tc>
          <w:tcPr>
            <w:tcW w:w="8749" w:type="dxa"/>
          </w:tcPr>
          <w:p w14:paraId="16EA5CB8">
            <w:pPr>
              <w:pStyle w:val="47"/>
              <w:keepNext w:val="0"/>
              <w:keepLines w:val="0"/>
              <w:pageBreakBefore w:val="0"/>
              <w:widowControl w:val="0"/>
              <w:kinsoku/>
              <w:wordWrap/>
              <w:overflowPunct/>
              <w:topLinePunct w:val="0"/>
              <w:autoSpaceDE/>
              <w:autoSpaceDN/>
              <w:bidi w:val="0"/>
              <w:adjustRightInd w:val="0"/>
              <w:snapToGrid/>
              <w:textAlignment w:val="auto"/>
              <w:outlineLvl w:val="1"/>
              <w:rPr>
                <w:rFonts w:hint="default"/>
                <w:color w:val="auto"/>
                <w:szCs w:val="28"/>
                <w:lang w:val="en-US" w:eastAsia="zh-CN"/>
              </w:rPr>
            </w:pPr>
            <w:bookmarkStart w:id="44" w:name="_Toc10339"/>
            <w:bookmarkStart w:id="45" w:name="_Toc4178"/>
            <w:bookmarkStart w:id="46" w:name="_Toc10661"/>
            <w:bookmarkStart w:id="47" w:name="_Toc5981"/>
            <w:bookmarkStart w:id="48" w:name="_Toc15260"/>
            <w:r>
              <w:rPr>
                <w:rFonts w:hint="default"/>
                <w:color w:val="auto"/>
                <w:szCs w:val="28"/>
                <w:lang w:val="en-US" w:eastAsia="zh-CN"/>
              </w:rPr>
              <w:t>3.7 污染物排放标准</w:t>
            </w:r>
            <w:bookmarkEnd w:id="44"/>
            <w:bookmarkEnd w:id="45"/>
            <w:bookmarkEnd w:id="46"/>
            <w:bookmarkEnd w:id="47"/>
            <w:bookmarkEnd w:id="48"/>
          </w:p>
          <w:p w14:paraId="75E1ADAB">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Times New Roman"/>
                <w:b/>
                <w:bCs/>
                <w:color w:val="auto"/>
                <w:sz w:val="24"/>
                <w:szCs w:val="24"/>
                <w:u w:val="none"/>
                <w:lang w:val="en-US" w:eastAsia="zh-CN"/>
              </w:rPr>
            </w:pPr>
            <w:bookmarkStart w:id="49" w:name="_Toc31771"/>
            <w:r>
              <w:rPr>
                <w:rFonts w:hint="eastAsia" w:ascii="Times New Roman" w:hAnsi="Times New Roman" w:eastAsia="宋体" w:cs="Times New Roman"/>
                <w:b/>
                <w:bCs/>
                <w:color w:val="auto"/>
                <w:sz w:val="24"/>
                <w:szCs w:val="24"/>
                <w:u w:val="none"/>
                <w:lang w:val="en-US" w:eastAsia="zh-CN"/>
              </w:rPr>
              <w:t xml:space="preserve">3.7.1 </w:t>
            </w:r>
            <w:r>
              <w:rPr>
                <w:rFonts w:hint="default" w:ascii="Times New Roman" w:hAnsi="Times New Roman" w:eastAsia="宋体" w:cs="Times New Roman"/>
                <w:b/>
                <w:bCs/>
                <w:color w:val="auto"/>
                <w:sz w:val="24"/>
                <w:szCs w:val="24"/>
                <w:u w:val="none"/>
                <w:lang w:val="en-US" w:eastAsia="zh-CN"/>
              </w:rPr>
              <w:t>废水</w:t>
            </w:r>
            <w:bookmarkEnd w:id="49"/>
          </w:p>
          <w:p w14:paraId="65DB6CC9">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（1）项目水污染物排放标准</w:t>
            </w:r>
          </w:p>
          <w:p w14:paraId="598F8698">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bCs/>
                <w:color w:val="auto"/>
                <w:kern w:val="2"/>
                <w:sz w:val="24"/>
                <w:szCs w:val="24"/>
                <w:lang w:val="en-US" w:eastAsia="zh-CN" w:bidi="ar-SA"/>
              </w:rPr>
              <w:t>项目</w:t>
            </w:r>
            <w:r>
              <w:rPr>
                <w:rFonts w:hint="eastAsia" w:ascii="Times New Roman" w:hAnsi="Times New Roman" w:eastAsia="宋体" w:cs="Times New Roman"/>
                <w:bCs/>
                <w:color w:val="auto"/>
                <w:kern w:val="2"/>
                <w:sz w:val="24"/>
                <w:szCs w:val="24"/>
                <w:lang w:val="en-US" w:eastAsia="zh-CN" w:bidi="ar-SA"/>
              </w:rPr>
              <w:t>运营期不产生生产废水排放，冷却水为间接冷却，不接触物料且循环使用不外排，因此不产生生产废水；仅产生职工生活污水</w:t>
            </w:r>
            <w:r>
              <w:rPr>
                <w:rFonts w:hint="default" w:ascii="Times New Roman" w:hAnsi="Times New Roman" w:eastAsia="宋体" w:cs="Times New Roman"/>
                <w:bCs/>
                <w:color w:val="auto"/>
                <w:kern w:val="2"/>
                <w:sz w:val="24"/>
                <w:szCs w:val="24"/>
                <w:lang w:val="en-US" w:eastAsia="zh-CN" w:bidi="ar-SA"/>
              </w:rPr>
              <w:t>，</w:t>
            </w:r>
            <w:r>
              <w:rPr>
                <w:rFonts w:hint="default" w:ascii="Times New Roman" w:hAnsi="Times New Roman" w:cs="Times New Roman"/>
                <w:color w:val="auto"/>
                <w:sz w:val="24"/>
                <w:szCs w:val="24"/>
              </w:rPr>
              <w:t>根据现场勘查，</w:t>
            </w:r>
            <w:r>
              <w:rPr>
                <w:rFonts w:hint="eastAsia" w:ascii="Times New Roman" w:hAnsi="Times New Roman" w:cs="Times New Roman"/>
                <w:color w:val="auto"/>
                <w:sz w:val="24"/>
                <w:szCs w:val="24"/>
                <w:highlight w:val="none"/>
                <w:lang w:val="en-US" w:eastAsia="zh-CN"/>
              </w:rPr>
              <w:t>项目生活污水依托</w:t>
            </w:r>
            <w:r>
              <w:rPr>
                <w:rFonts w:hint="eastAsia" w:ascii="Times New Roman" w:hAnsi="Times New Roman" w:eastAsia="宋体" w:cs="Times New Roman"/>
                <w:color w:val="auto"/>
                <w:sz w:val="24"/>
                <w:szCs w:val="24"/>
                <w:highlight w:val="none"/>
                <w:lang w:val="en-US" w:eastAsia="zh-CN"/>
              </w:rPr>
              <w:t>园区内已建化粪池预处理后，接入市政污水管网，纳入福清融元污水处理厂统一处理，尾水排入龙江。</w:t>
            </w:r>
            <w:r>
              <w:rPr>
                <w:rFonts w:hint="default" w:ascii="Times New Roman" w:hAnsi="Times New Roman" w:cs="Times New Roman"/>
                <w:color w:val="auto"/>
                <w:sz w:val="24"/>
                <w:szCs w:val="24"/>
                <w:highlight w:val="none"/>
                <w:lang w:eastAsia="zh-CN"/>
              </w:rPr>
              <w:t>项目</w:t>
            </w:r>
            <w:r>
              <w:rPr>
                <w:rFonts w:hint="default" w:ascii="Times New Roman" w:hAnsi="Times New Roman" w:cs="Times New Roman"/>
                <w:color w:val="auto"/>
                <w:sz w:val="24"/>
                <w:szCs w:val="24"/>
                <w:highlight w:val="none"/>
              </w:rPr>
              <w:t>属于</w:t>
            </w:r>
            <w:r>
              <w:rPr>
                <w:rFonts w:hint="default" w:ascii="Times New Roman" w:hAnsi="Times New Roman" w:cs="Times New Roman"/>
                <w:color w:val="auto"/>
                <w:sz w:val="24"/>
                <w:szCs w:val="24"/>
                <w:highlight w:val="none"/>
                <w:lang w:eastAsia="zh-CN"/>
              </w:rPr>
              <w:t>福清市融元污水处理厂</w:t>
            </w:r>
            <w:r>
              <w:rPr>
                <w:rFonts w:hint="default" w:ascii="Times New Roman" w:hAnsi="Times New Roman" w:cs="Times New Roman"/>
                <w:color w:val="auto"/>
                <w:sz w:val="24"/>
                <w:szCs w:val="24"/>
                <w:highlight w:val="none"/>
              </w:rPr>
              <w:t>服务范围</w:t>
            </w:r>
            <w:r>
              <w:rPr>
                <w:rFonts w:hint="eastAsia" w:cs="Times New Roman"/>
                <w:color w:val="auto"/>
                <w:sz w:val="24"/>
                <w:szCs w:val="24"/>
                <w:highlight w:val="none"/>
                <w:lang w:eastAsia="zh-CN"/>
              </w:rPr>
              <w:t>且</w:t>
            </w:r>
            <w:r>
              <w:rPr>
                <w:rFonts w:hint="default" w:ascii="Times New Roman" w:hAnsi="Times New Roman" w:cs="Times New Roman"/>
                <w:color w:val="auto"/>
                <w:sz w:val="24"/>
                <w:szCs w:val="24"/>
                <w:highlight w:val="none"/>
              </w:rPr>
              <w:t>污水管网已铺设到位，项目生活污水经</w:t>
            </w:r>
            <w:r>
              <w:rPr>
                <w:rFonts w:hint="eastAsia" w:ascii="Times New Roman" w:hAnsi="Times New Roman" w:cs="Times New Roman"/>
                <w:color w:val="auto"/>
                <w:sz w:val="24"/>
                <w:szCs w:val="24"/>
                <w:highlight w:val="none"/>
                <w:lang w:val="en-US" w:eastAsia="zh-CN"/>
              </w:rPr>
              <w:t>园区</w:t>
            </w:r>
            <w:r>
              <w:rPr>
                <w:rFonts w:hint="default" w:ascii="Times New Roman" w:hAnsi="Times New Roman" w:cs="Times New Roman"/>
                <w:color w:val="auto"/>
                <w:sz w:val="24"/>
                <w:szCs w:val="24"/>
                <w:highlight w:val="none"/>
              </w:rPr>
              <w:t>已建的化粪池预处理</w:t>
            </w:r>
            <w:r>
              <w:rPr>
                <w:rFonts w:hint="default" w:ascii="Times New Roman" w:hAnsi="Times New Roman" w:cs="Times New Roman"/>
                <w:color w:val="auto"/>
                <w:sz w:val="24"/>
                <w:szCs w:val="24"/>
                <w:highlight w:val="none"/>
                <w:lang w:val="en-US" w:eastAsia="zh-CN"/>
              </w:rPr>
              <w:t>后接入市政污水管网，外</w:t>
            </w:r>
            <w:r>
              <w:rPr>
                <w:rFonts w:hint="default" w:ascii="Times New Roman" w:hAnsi="Times New Roman" w:cs="Times New Roman"/>
                <w:color w:val="auto"/>
                <w:sz w:val="24"/>
                <w:szCs w:val="24"/>
                <w:lang w:val="en-US" w:eastAsia="zh-CN"/>
              </w:rPr>
              <w:t>排废水需</w:t>
            </w:r>
            <w:r>
              <w:rPr>
                <w:rFonts w:hint="default" w:ascii="Times New Roman" w:hAnsi="Times New Roman" w:cs="Times New Roman"/>
                <w:color w:val="auto"/>
                <w:sz w:val="24"/>
                <w:szCs w:val="24"/>
              </w:rPr>
              <w:t>达到《污水综合排放标准》</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GB8978-1996</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表4中的三级标准后排入市政污水管网送往</w:t>
            </w:r>
            <w:r>
              <w:rPr>
                <w:rFonts w:hint="default" w:ascii="Times New Roman" w:hAnsi="Times New Roman" w:cs="Times New Roman"/>
                <w:color w:val="auto"/>
                <w:sz w:val="24"/>
                <w:szCs w:val="24"/>
                <w:lang w:eastAsia="zh-CN"/>
              </w:rPr>
              <w:t>福清市融元污水处理厂</w:t>
            </w:r>
            <w:r>
              <w:rPr>
                <w:rFonts w:hint="default" w:ascii="Times New Roman" w:hAnsi="Times New Roman" w:cs="Times New Roman"/>
                <w:color w:val="auto"/>
                <w:sz w:val="24"/>
                <w:szCs w:val="24"/>
              </w:rPr>
              <w:t>集中处理，</w:t>
            </w:r>
            <w:r>
              <w:rPr>
                <w:rFonts w:hint="default" w:ascii="Times New Roman" w:hAnsi="Times New Roman" w:cs="Times New Roman"/>
                <w:color w:val="auto"/>
                <w:sz w:val="24"/>
                <w:szCs w:val="24"/>
                <w:lang w:val="en-US" w:eastAsia="zh-CN"/>
              </w:rPr>
              <w:t>NH</w:t>
            </w:r>
            <w:r>
              <w:rPr>
                <w:rFonts w:hint="default" w:ascii="Times New Roman" w:hAnsi="Times New Roman" w:cs="Times New Roman"/>
                <w:color w:val="auto"/>
                <w:sz w:val="24"/>
                <w:szCs w:val="24"/>
                <w:vertAlign w:val="subscript"/>
                <w:lang w:val="en-US" w:eastAsia="zh-CN"/>
              </w:rPr>
              <w:t>3</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rPr>
              <w:t>参照执行《污水排入城镇下水道水质标准》</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GB/T 31962-2015</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表1中B级标准，详见表3.7-1。</w:t>
            </w:r>
          </w:p>
          <w:p w14:paraId="0A4DC809">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表3.7-1</w:t>
            </w:r>
            <w:r>
              <w:rPr>
                <w:rFonts w:hint="default" w:ascii="Times New Roman" w:hAnsi="Times New Roman" w:eastAsia="宋体" w:cs="Times New Roman"/>
                <w:b/>
                <w:bCs/>
                <w:color w:val="auto"/>
                <w:sz w:val="24"/>
                <w:szCs w:val="24"/>
                <w:u w:val="none"/>
                <w:lang w:val="en-US" w:eastAsia="zh-CN"/>
              </w:rPr>
              <w:t>项目污水排放标准限值一览表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422"/>
              <w:gridCol w:w="3948"/>
              <w:gridCol w:w="1527"/>
              <w:gridCol w:w="1718"/>
            </w:tblGrid>
            <w:tr w14:paraId="38EF9C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16" w:hRule="exact"/>
                <w:jc w:val="center"/>
              </w:trPr>
              <w:tc>
                <w:tcPr>
                  <w:tcW w:w="825" w:type="pct"/>
                  <w:tcBorders>
                    <w:top w:val="single" w:color="auto" w:sz="12" w:space="0"/>
                  </w:tcBorders>
                  <w:noWrap w:val="0"/>
                  <w:vAlign w:val="center"/>
                </w:tcPr>
                <w:p w14:paraId="166C1B4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类别</w:t>
                  </w:r>
                </w:p>
              </w:tc>
              <w:tc>
                <w:tcPr>
                  <w:tcW w:w="2291" w:type="pct"/>
                  <w:tcBorders>
                    <w:top w:val="single" w:color="auto" w:sz="12" w:space="0"/>
                  </w:tcBorders>
                  <w:noWrap w:val="0"/>
                  <w:vAlign w:val="center"/>
                </w:tcPr>
                <w:p w14:paraId="025A5AF2">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标准名称</w:t>
                  </w:r>
                </w:p>
              </w:tc>
              <w:tc>
                <w:tcPr>
                  <w:tcW w:w="886" w:type="pct"/>
                  <w:tcBorders>
                    <w:top w:val="single" w:color="auto" w:sz="12" w:space="0"/>
                  </w:tcBorders>
                  <w:noWrap w:val="0"/>
                  <w:vAlign w:val="center"/>
                </w:tcPr>
                <w:p w14:paraId="767C4BD9">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997" w:type="pct"/>
                  <w:tcBorders>
                    <w:top w:val="single" w:color="auto" w:sz="12" w:space="0"/>
                  </w:tcBorders>
                  <w:noWrap w:val="0"/>
                  <w:vAlign w:val="center"/>
                </w:tcPr>
                <w:p w14:paraId="13B1D10D">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标准限值</w:t>
                  </w:r>
                </w:p>
              </w:tc>
            </w:tr>
            <w:tr w14:paraId="112CF2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09" w:hRule="exact"/>
                <w:jc w:val="center"/>
              </w:trPr>
              <w:tc>
                <w:tcPr>
                  <w:tcW w:w="825" w:type="pct"/>
                  <w:vMerge w:val="restart"/>
                  <w:noWrap w:val="0"/>
                  <w:vAlign w:val="center"/>
                </w:tcPr>
                <w:p w14:paraId="7999417C">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w:t>
                  </w:r>
                </w:p>
              </w:tc>
              <w:tc>
                <w:tcPr>
                  <w:tcW w:w="2291" w:type="pct"/>
                  <w:vMerge w:val="restart"/>
                  <w:noWrap w:val="0"/>
                  <w:vAlign w:val="center"/>
                </w:tcPr>
                <w:p w14:paraId="506386DE">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《污水综合排放标准》</w:t>
                  </w:r>
                </w:p>
                <w:p w14:paraId="36CC1C8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(GB8978-1996</w:t>
                  </w:r>
                  <w:r>
                    <w:rPr>
                      <w:rFonts w:hint="eastAsia" w:cs="Times New Roman"/>
                      <w:sz w:val="21"/>
                      <w:szCs w:val="21"/>
                      <w:lang w:eastAsia="zh-CN"/>
                    </w:rPr>
                    <w:t>）</w:t>
                  </w:r>
                  <w:r>
                    <w:rPr>
                      <w:rFonts w:hint="default" w:ascii="Times New Roman" w:hAnsi="Times New Roman" w:eastAsia="宋体" w:cs="Times New Roman"/>
                      <w:sz w:val="21"/>
                      <w:szCs w:val="21"/>
                    </w:rPr>
                    <w:t>表4三级标准</w:t>
                  </w:r>
                </w:p>
              </w:tc>
              <w:tc>
                <w:tcPr>
                  <w:tcW w:w="886" w:type="pct"/>
                  <w:noWrap w:val="0"/>
                  <w:vAlign w:val="center"/>
                </w:tcPr>
                <w:p w14:paraId="0A9F3DC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w:t>
                  </w:r>
                </w:p>
              </w:tc>
              <w:tc>
                <w:tcPr>
                  <w:tcW w:w="997" w:type="pct"/>
                  <w:noWrap w:val="0"/>
                  <w:vAlign w:val="center"/>
                </w:tcPr>
                <w:p w14:paraId="201D4E5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r>
                    <w:rPr>
                      <w:rFonts w:hint="eastAsia" w:cs="Times New Roman"/>
                      <w:sz w:val="21"/>
                      <w:szCs w:val="21"/>
                      <w:lang w:eastAsia="zh-CN"/>
                    </w:rPr>
                    <w:t>~</w:t>
                  </w:r>
                  <w:r>
                    <w:rPr>
                      <w:rFonts w:hint="default" w:ascii="Times New Roman" w:hAnsi="Times New Roman" w:eastAsia="宋体" w:cs="Times New Roman"/>
                      <w:sz w:val="21"/>
                      <w:szCs w:val="21"/>
                    </w:rPr>
                    <w:t>9</w:t>
                  </w:r>
                </w:p>
              </w:tc>
            </w:tr>
            <w:tr w14:paraId="5AF8FA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82" w:hRule="exact"/>
                <w:jc w:val="center"/>
              </w:trPr>
              <w:tc>
                <w:tcPr>
                  <w:tcW w:w="825" w:type="pct"/>
                  <w:vMerge w:val="continue"/>
                  <w:noWrap w:val="0"/>
                  <w:vAlign w:val="center"/>
                </w:tcPr>
                <w:p w14:paraId="2DB3B92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2291" w:type="pct"/>
                  <w:vMerge w:val="continue"/>
                  <w:noWrap w:val="0"/>
                  <w:vAlign w:val="center"/>
                </w:tcPr>
                <w:p w14:paraId="3B17024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886" w:type="pct"/>
                  <w:noWrap w:val="0"/>
                  <w:vAlign w:val="center"/>
                </w:tcPr>
                <w:p w14:paraId="048C1781">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997" w:type="pct"/>
                  <w:noWrap w:val="0"/>
                  <w:vAlign w:val="center"/>
                </w:tcPr>
                <w:p w14:paraId="4C0B7CFD">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500mg/L</w:t>
                  </w:r>
                </w:p>
              </w:tc>
            </w:tr>
            <w:tr w14:paraId="0C1C8E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28" w:hRule="exact"/>
                <w:jc w:val="center"/>
              </w:trPr>
              <w:tc>
                <w:tcPr>
                  <w:tcW w:w="825" w:type="pct"/>
                  <w:vMerge w:val="continue"/>
                  <w:noWrap w:val="0"/>
                  <w:vAlign w:val="center"/>
                </w:tcPr>
                <w:p w14:paraId="7D5510B1">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2291" w:type="pct"/>
                  <w:vMerge w:val="continue"/>
                  <w:noWrap w:val="0"/>
                  <w:vAlign w:val="center"/>
                </w:tcPr>
                <w:p w14:paraId="0980151E">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886" w:type="pct"/>
                  <w:noWrap w:val="0"/>
                  <w:vAlign w:val="center"/>
                </w:tcPr>
                <w:p w14:paraId="5537C3FD">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BOD</w:t>
                  </w:r>
                  <w:r>
                    <w:rPr>
                      <w:rFonts w:hint="default" w:ascii="Times New Roman" w:hAnsi="Times New Roman" w:eastAsia="宋体" w:cs="Times New Roman"/>
                      <w:sz w:val="21"/>
                      <w:szCs w:val="21"/>
                      <w:vertAlign w:val="subscript"/>
                    </w:rPr>
                    <w:t>5</w:t>
                  </w:r>
                </w:p>
              </w:tc>
              <w:tc>
                <w:tcPr>
                  <w:tcW w:w="997" w:type="pct"/>
                  <w:noWrap w:val="0"/>
                  <w:vAlign w:val="center"/>
                </w:tcPr>
                <w:p w14:paraId="283A0F6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300mg/L</w:t>
                  </w:r>
                </w:p>
              </w:tc>
            </w:tr>
            <w:tr w14:paraId="47234E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5" w:hRule="exact"/>
                <w:jc w:val="center"/>
              </w:trPr>
              <w:tc>
                <w:tcPr>
                  <w:tcW w:w="825" w:type="pct"/>
                  <w:vMerge w:val="continue"/>
                  <w:noWrap w:val="0"/>
                  <w:vAlign w:val="center"/>
                </w:tcPr>
                <w:p w14:paraId="1166289A">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2291" w:type="pct"/>
                  <w:vMerge w:val="continue"/>
                  <w:noWrap w:val="0"/>
                  <w:vAlign w:val="center"/>
                </w:tcPr>
                <w:p w14:paraId="3D34DDA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886" w:type="pct"/>
                  <w:noWrap w:val="0"/>
                  <w:vAlign w:val="center"/>
                </w:tcPr>
                <w:p w14:paraId="77C0F61C">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SS</w:t>
                  </w:r>
                </w:p>
              </w:tc>
              <w:tc>
                <w:tcPr>
                  <w:tcW w:w="997" w:type="pct"/>
                  <w:noWrap w:val="0"/>
                  <w:vAlign w:val="center"/>
                </w:tcPr>
                <w:p w14:paraId="2B103B3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400mg/L</w:t>
                  </w:r>
                </w:p>
              </w:tc>
            </w:tr>
            <w:tr w14:paraId="570BCF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720" w:hRule="exact"/>
                <w:jc w:val="center"/>
              </w:trPr>
              <w:tc>
                <w:tcPr>
                  <w:tcW w:w="825" w:type="pct"/>
                  <w:vMerge w:val="continue"/>
                  <w:noWrap w:val="0"/>
                  <w:vAlign w:val="center"/>
                </w:tcPr>
                <w:p w14:paraId="7ED33001">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p>
              </w:tc>
              <w:tc>
                <w:tcPr>
                  <w:tcW w:w="2291" w:type="pct"/>
                  <w:noWrap w:val="0"/>
                  <w:vAlign w:val="center"/>
                </w:tcPr>
                <w:p w14:paraId="13F75E3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《污水排入城镇下水道水质标准》</w:t>
                  </w:r>
                </w:p>
                <w:p w14:paraId="1E2BACA9">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（GB/T31962-2015）</w:t>
                  </w:r>
                  <w:r>
                    <w:rPr>
                      <w:rFonts w:hint="default" w:ascii="Times New Roman" w:hAnsi="Times New Roman" w:eastAsia="宋体" w:cs="Times New Roman"/>
                      <w:sz w:val="21"/>
                      <w:szCs w:val="21"/>
                      <w:lang w:val="en-US" w:eastAsia="zh-CN"/>
                    </w:rPr>
                    <w:t>表1中B级标准</w:t>
                  </w:r>
                </w:p>
              </w:tc>
              <w:tc>
                <w:tcPr>
                  <w:tcW w:w="886" w:type="pct"/>
                  <w:noWrap w:val="0"/>
                  <w:vAlign w:val="center"/>
                </w:tcPr>
                <w:p w14:paraId="08288D15">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rPr>
                    <w:t>-N</w:t>
                  </w:r>
                </w:p>
              </w:tc>
              <w:tc>
                <w:tcPr>
                  <w:tcW w:w="997" w:type="pct"/>
                  <w:noWrap w:val="0"/>
                  <w:vAlign w:val="center"/>
                </w:tcPr>
                <w:p w14:paraId="131A8A4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45mg/L</w:t>
                  </w:r>
                </w:p>
              </w:tc>
            </w:tr>
          </w:tbl>
          <w:p w14:paraId="2FA0C7AF">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（2）污水处理厂尾水排放标准</w:t>
            </w:r>
          </w:p>
          <w:p w14:paraId="46CD4FFE">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根据调查，</w:t>
            </w:r>
            <w:r>
              <w:rPr>
                <w:rFonts w:hint="eastAsia" w:ascii="Times New Roman" w:hAnsi="Times New Roman" w:eastAsia="宋体" w:cs="Times New Roman"/>
                <w:bCs/>
                <w:color w:val="auto"/>
                <w:kern w:val="2"/>
                <w:sz w:val="24"/>
                <w:szCs w:val="24"/>
                <w:lang w:val="en-US" w:eastAsia="zh-CN" w:bidi="ar-SA"/>
              </w:rPr>
              <w:t>福清市融元污水处理厂</w:t>
            </w:r>
            <w:r>
              <w:rPr>
                <w:rFonts w:hint="default" w:ascii="Times New Roman" w:hAnsi="Times New Roman" w:eastAsia="宋体" w:cs="Times New Roman"/>
                <w:bCs/>
                <w:color w:val="auto"/>
                <w:kern w:val="2"/>
                <w:sz w:val="24"/>
                <w:szCs w:val="24"/>
                <w:lang w:val="en-US" w:eastAsia="zh-CN" w:bidi="ar-SA"/>
              </w:rPr>
              <w:t>尾水</w:t>
            </w:r>
            <w:r>
              <w:rPr>
                <w:rFonts w:hint="eastAsia" w:ascii="Times New Roman" w:hAnsi="Times New Roman" w:eastAsia="宋体" w:cs="Times New Roman"/>
                <w:bCs/>
                <w:color w:val="auto"/>
                <w:kern w:val="2"/>
                <w:sz w:val="24"/>
                <w:szCs w:val="24"/>
                <w:lang w:val="en-US" w:eastAsia="zh-CN" w:bidi="ar-SA"/>
              </w:rPr>
              <w:t>目前</w:t>
            </w:r>
            <w:r>
              <w:rPr>
                <w:rFonts w:hint="default" w:ascii="Times New Roman" w:hAnsi="Times New Roman" w:eastAsia="宋体" w:cs="Times New Roman"/>
                <w:bCs/>
                <w:color w:val="auto"/>
                <w:kern w:val="2"/>
                <w:sz w:val="24"/>
                <w:szCs w:val="24"/>
                <w:lang w:val="en-US" w:eastAsia="zh-CN" w:bidi="ar-SA"/>
              </w:rPr>
              <w:t>排放执行《城镇污水处理厂污染物排放标准》</w:t>
            </w:r>
            <w:r>
              <w:rPr>
                <w:rFonts w:hint="eastAsia" w:ascii="Times New Roman" w:hAnsi="Times New Roman" w:eastAsia="宋体" w:cs="Times New Roman"/>
                <w:bCs/>
                <w:color w:val="auto"/>
                <w:kern w:val="2"/>
                <w:sz w:val="24"/>
                <w:szCs w:val="24"/>
                <w:lang w:val="en-US" w:eastAsia="zh-CN" w:bidi="ar-SA"/>
              </w:rPr>
              <w:t>（</w:t>
            </w:r>
            <w:r>
              <w:rPr>
                <w:rFonts w:hint="default" w:ascii="Times New Roman" w:hAnsi="Times New Roman" w:eastAsia="宋体" w:cs="Times New Roman"/>
                <w:bCs/>
                <w:color w:val="auto"/>
                <w:kern w:val="2"/>
                <w:sz w:val="24"/>
                <w:szCs w:val="24"/>
                <w:lang w:val="en-US" w:eastAsia="zh-CN" w:bidi="ar-SA"/>
              </w:rPr>
              <w:t>GB18918-2002</w:t>
            </w:r>
            <w:r>
              <w:rPr>
                <w:rFonts w:hint="eastAsia" w:ascii="Times New Roman" w:hAnsi="Times New Roman" w:eastAsia="宋体" w:cs="Times New Roman"/>
                <w:bCs/>
                <w:color w:val="auto"/>
                <w:kern w:val="2"/>
                <w:sz w:val="24"/>
                <w:szCs w:val="24"/>
                <w:lang w:val="en-US" w:eastAsia="zh-CN" w:bidi="ar-SA"/>
              </w:rPr>
              <w:t>）</w:t>
            </w:r>
            <w:r>
              <w:rPr>
                <w:rFonts w:hint="default" w:ascii="Times New Roman" w:hAnsi="Times New Roman" w:eastAsia="宋体" w:cs="Times New Roman"/>
                <w:bCs/>
                <w:color w:val="auto"/>
                <w:kern w:val="2"/>
                <w:sz w:val="24"/>
                <w:szCs w:val="24"/>
                <w:lang w:val="en-US" w:eastAsia="zh-CN" w:bidi="ar-SA"/>
              </w:rPr>
              <w:t>及其修改单表1的一级</w:t>
            </w:r>
            <w:r>
              <w:rPr>
                <w:rFonts w:hint="eastAsia" w:ascii="Times New Roman" w:hAnsi="Times New Roman" w:eastAsia="宋体" w:cs="Times New Roman"/>
                <w:bCs/>
                <w:color w:val="auto"/>
                <w:kern w:val="2"/>
                <w:sz w:val="24"/>
                <w:szCs w:val="24"/>
                <w:lang w:val="en-US" w:eastAsia="zh-CN" w:bidi="ar-SA"/>
              </w:rPr>
              <w:t>标准A</w:t>
            </w:r>
            <w:r>
              <w:rPr>
                <w:rFonts w:hint="default" w:ascii="Times New Roman" w:hAnsi="Times New Roman" w:eastAsia="宋体" w:cs="Times New Roman"/>
                <w:bCs/>
                <w:color w:val="auto"/>
                <w:kern w:val="2"/>
                <w:sz w:val="24"/>
                <w:szCs w:val="24"/>
                <w:lang w:val="en-US" w:eastAsia="zh-CN" w:bidi="ar-SA"/>
              </w:rPr>
              <w:t>标准，具体详见表3.</w:t>
            </w:r>
            <w:r>
              <w:rPr>
                <w:rFonts w:hint="eastAsia" w:ascii="Times New Roman" w:hAnsi="Times New Roman" w:eastAsia="宋体" w:cs="Times New Roman"/>
                <w:bCs/>
                <w:color w:val="auto"/>
                <w:kern w:val="2"/>
                <w:sz w:val="24"/>
                <w:szCs w:val="24"/>
                <w:lang w:val="en-US" w:eastAsia="zh-CN" w:bidi="ar-SA"/>
              </w:rPr>
              <w:t>7</w:t>
            </w:r>
            <w:r>
              <w:rPr>
                <w:rFonts w:hint="default" w:ascii="Times New Roman" w:hAnsi="Times New Roman" w:eastAsia="宋体" w:cs="Times New Roman"/>
                <w:bCs/>
                <w:color w:val="auto"/>
                <w:kern w:val="2"/>
                <w:sz w:val="24"/>
                <w:szCs w:val="24"/>
                <w:lang w:val="en-US" w:eastAsia="zh-CN" w:bidi="ar-SA"/>
              </w:rPr>
              <w:t>-</w:t>
            </w:r>
            <w:r>
              <w:rPr>
                <w:rFonts w:hint="eastAsia" w:ascii="Times New Roman" w:hAnsi="Times New Roman" w:eastAsia="宋体" w:cs="Times New Roman"/>
                <w:bCs/>
                <w:color w:val="auto"/>
                <w:kern w:val="2"/>
                <w:sz w:val="24"/>
                <w:szCs w:val="24"/>
                <w:lang w:val="en-US" w:eastAsia="zh-CN" w:bidi="ar-SA"/>
              </w:rPr>
              <w:t>2</w:t>
            </w:r>
            <w:r>
              <w:rPr>
                <w:rFonts w:hint="default" w:ascii="Times New Roman" w:hAnsi="Times New Roman" w:eastAsia="宋体" w:cs="Times New Roman"/>
                <w:bCs/>
                <w:color w:val="auto"/>
                <w:kern w:val="2"/>
                <w:sz w:val="24"/>
                <w:szCs w:val="24"/>
                <w:lang w:val="en-US" w:eastAsia="zh-CN" w:bidi="ar-SA"/>
              </w:rPr>
              <w:t>。</w:t>
            </w:r>
          </w:p>
          <w:p w14:paraId="6ACFC982">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表3.</w:t>
            </w:r>
            <w:r>
              <w:rPr>
                <w:rFonts w:hint="eastAsia" w:ascii="Times New Roman" w:hAnsi="Times New Roman" w:eastAsia="宋体" w:cs="Times New Roman"/>
                <w:b/>
                <w:bCs/>
                <w:color w:val="auto"/>
                <w:sz w:val="24"/>
                <w:szCs w:val="24"/>
                <w:u w:val="none"/>
                <w:lang w:val="en-US" w:eastAsia="zh-CN"/>
              </w:rPr>
              <w:t>7-2福清市融元</w:t>
            </w:r>
            <w:r>
              <w:rPr>
                <w:rFonts w:hint="default" w:ascii="Times New Roman" w:hAnsi="Times New Roman" w:eastAsia="宋体" w:cs="Times New Roman"/>
                <w:b/>
                <w:bCs/>
                <w:color w:val="auto"/>
                <w:sz w:val="24"/>
                <w:szCs w:val="24"/>
                <w:u w:val="none"/>
                <w:lang w:val="en-US" w:eastAsia="zh-CN"/>
              </w:rPr>
              <w:t>污水处理厂尾水排放标准一览表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1"/>
              <w:gridCol w:w="1415"/>
              <w:gridCol w:w="2728"/>
              <w:gridCol w:w="3431"/>
            </w:tblGrid>
            <w:tr w14:paraId="6B4B2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604" w:type="pct"/>
                  <w:noWrap w:val="0"/>
                  <w:vAlign w:val="center"/>
                </w:tcPr>
                <w:p w14:paraId="2485B6E5">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序号</w:t>
                  </w:r>
                </w:p>
              </w:tc>
              <w:tc>
                <w:tcPr>
                  <w:tcW w:w="821" w:type="pct"/>
                  <w:noWrap w:val="0"/>
                  <w:vAlign w:val="center"/>
                </w:tcPr>
                <w:p w14:paraId="5B591264">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污染物名称</w:t>
                  </w:r>
                </w:p>
              </w:tc>
              <w:tc>
                <w:tcPr>
                  <w:tcW w:w="1583" w:type="pct"/>
                  <w:noWrap w:val="0"/>
                  <w:vAlign w:val="center"/>
                </w:tcPr>
                <w:p w14:paraId="04118965">
                  <w:pPr>
                    <w:spacing w:line="3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一级标准</w:t>
                  </w:r>
                  <w:r>
                    <w:rPr>
                      <w:rFonts w:hint="default" w:ascii="Times New Roman" w:hAnsi="Times New Roman" w:eastAsia="宋体" w:cs="Times New Roman"/>
                      <w:color w:val="auto"/>
                      <w:sz w:val="21"/>
                      <w:szCs w:val="21"/>
                      <w:lang w:val="en-US" w:eastAsia="zh-CN"/>
                    </w:rPr>
                    <w:t>A</w:t>
                  </w:r>
                  <w:r>
                    <w:rPr>
                      <w:rFonts w:hint="default" w:ascii="Times New Roman" w:hAnsi="Times New Roman" w:eastAsia="宋体" w:cs="Times New Roman"/>
                      <w:color w:val="auto"/>
                      <w:sz w:val="21"/>
                      <w:szCs w:val="21"/>
                    </w:rPr>
                    <w:t>标准</w:t>
                  </w:r>
                </w:p>
              </w:tc>
              <w:tc>
                <w:tcPr>
                  <w:tcW w:w="1990" w:type="pct"/>
                  <w:noWrap w:val="0"/>
                  <w:vAlign w:val="center"/>
                </w:tcPr>
                <w:p w14:paraId="00A46E3D">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标准来源</w:t>
                  </w:r>
                </w:p>
              </w:tc>
            </w:tr>
            <w:tr w14:paraId="6A1010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604" w:type="pct"/>
                  <w:noWrap w:val="0"/>
                  <w:vAlign w:val="center"/>
                </w:tcPr>
                <w:p w14:paraId="30BB5E98">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1</w:t>
                  </w:r>
                </w:p>
              </w:tc>
              <w:tc>
                <w:tcPr>
                  <w:tcW w:w="821" w:type="pct"/>
                  <w:noWrap w:val="0"/>
                  <w:vAlign w:val="center"/>
                </w:tcPr>
                <w:p w14:paraId="20087DE0">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pH</w:t>
                  </w:r>
                </w:p>
              </w:tc>
              <w:tc>
                <w:tcPr>
                  <w:tcW w:w="1583" w:type="pct"/>
                  <w:noWrap w:val="0"/>
                  <w:vAlign w:val="center"/>
                </w:tcPr>
                <w:p w14:paraId="1EFAE122">
                  <w:pPr>
                    <w:spacing w:line="340" w:lineRule="exact"/>
                    <w:jc w:val="center"/>
                    <w:rPr>
                      <w:rFonts w:hint="default" w:ascii="Times New Roman" w:hAnsi="Times New Roman" w:eastAsia="宋体" w:cs="Times New Roman"/>
                      <w:color w:val="auto"/>
                      <w:kern w:val="18"/>
                      <w:sz w:val="21"/>
                      <w:szCs w:val="21"/>
                      <w:lang w:val="en-US" w:eastAsia="zh-CN" w:bidi="ar-SA"/>
                    </w:rPr>
                  </w:pPr>
                  <w:r>
                    <w:rPr>
                      <w:rFonts w:hint="default" w:ascii="Times New Roman" w:hAnsi="Times New Roman" w:eastAsia="宋体" w:cs="Times New Roman"/>
                      <w:color w:val="auto"/>
                      <w:kern w:val="18"/>
                      <w:sz w:val="21"/>
                      <w:szCs w:val="21"/>
                    </w:rPr>
                    <w:t xml:space="preserve">6～9 </w:t>
                  </w:r>
                  <w:r>
                    <w:rPr>
                      <w:rFonts w:hint="eastAsia" w:cs="Times New Roman"/>
                      <w:color w:val="auto"/>
                      <w:kern w:val="18"/>
                      <w:sz w:val="21"/>
                      <w:szCs w:val="21"/>
                      <w:lang w:eastAsia="zh-CN"/>
                    </w:rPr>
                    <w:t>（</w:t>
                  </w:r>
                  <w:r>
                    <w:rPr>
                      <w:rFonts w:hint="default" w:ascii="Times New Roman" w:hAnsi="Times New Roman" w:eastAsia="宋体" w:cs="Times New Roman"/>
                      <w:color w:val="auto"/>
                      <w:sz w:val="21"/>
                      <w:szCs w:val="21"/>
                    </w:rPr>
                    <w:t>无量纲</w:t>
                  </w:r>
                  <w:r>
                    <w:rPr>
                      <w:rFonts w:hint="eastAsia" w:cs="Times New Roman"/>
                      <w:color w:val="auto"/>
                      <w:sz w:val="21"/>
                      <w:szCs w:val="21"/>
                      <w:lang w:eastAsia="zh-CN"/>
                    </w:rPr>
                    <w:t>）</w:t>
                  </w:r>
                </w:p>
              </w:tc>
              <w:tc>
                <w:tcPr>
                  <w:tcW w:w="1990" w:type="pct"/>
                  <w:vMerge w:val="restart"/>
                  <w:noWrap w:val="0"/>
                  <w:vAlign w:val="center"/>
                </w:tcPr>
                <w:p w14:paraId="4655D1C5">
                  <w:pPr>
                    <w:widowControl/>
                    <w:spacing w:line="3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《城镇污水处理厂污染物排放标准》</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GB18918-2002</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及其修改单表1</w:t>
                  </w:r>
                </w:p>
              </w:tc>
            </w:tr>
            <w:tr w14:paraId="2C8AE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pct"/>
                  <w:noWrap w:val="0"/>
                  <w:vAlign w:val="center"/>
                </w:tcPr>
                <w:p w14:paraId="6FB734C3">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2</w:t>
                  </w:r>
                </w:p>
              </w:tc>
              <w:tc>
                <w:tcPr>
                  <w:tcW w:w="821" w:type="pct"/>
                  <w:noWrap w:val="0"/>
                  <w:vAlign w:val="center"/>
                </w:tcPr>
                <w:p w14:paraId="17F5532D">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COD</w:t>
                  </w:r>
                  <w:r>
                    <w:rPr>
                      <w:rFonts w:hint="default" w:ascii="Times New Roman" w:hAnsi="Times New Roman" w:eastAsia="宋体" w:cs="Times New Roman"/>
                      <w:color w:val="auto"/>
                      <w:kern w:val="18"/>
                      <w:sz w:val="21"/>
                      <w:szCs w:val="21"/>
                      <w:highlight w:val="none"/>
                      <w:lang w:val="en-US" w:eastAsia="zh-CN"/>
                    </w:rPr>
                    <w:t>cr</w:t>
                  </w:r>
                </w:p>
              </w:tc>
              <w:tc>
                <w:tcPr>
                  <w:tcW w:w="1583" w:type="pct"/>
                  <w:noWrap w:val="0"/>
                  <w:vAlign w:val="center"/>
                </w:tcPr>
                <w:p w14:paraId="7412B7AF">
                  <w:pPr>
                    <w:spacing w:line="340" w:lineRule="exact"/>
                    <w:jc w:val="center"/>
                    <w:rPr>
                      <w:rFonts w:hint="default" w:ascii="Times New Roman" w:hAnsi="Times New Roman" w:eastAsia="宋体" w:cs="Times New Roman"/>
                      <w:color w:val="auto"/>
                      <w:kern w:val="18"/>
                      <w:sz w:val="21"/>
                      <w:szCs w:val="21"/>
                      <w:lang w:val="en-US" w:eastAsia="zh-CN" w:bidi="ar-SA"/>
                    </w:rPr>
                  </w:pPr>
                  <w:r>
                    <w:rPr>
                      <w:rFonts w:hint="default" w:ascii="Times New Roman" w:hAnsi="Times New Roman" w:eastAsia="宋体" w:cs="Times New Roman"/>
                      <w:color w:val="auto"/>
                      <w:kern w:val="18"/>
                      <w:sz w:val="21"/>
                      <w:szCs w:val="21"/>
                      <w:lang w:val="en-US" w:eastAsia="zh-CN"/>
                    </w:rPr>
                    <w:t>5</w:t>
                  </w:r>
                  <w:r>
                    <w:rPr>
                      <w:rFonts w:hint="default" w:ascii="Times New Roman" w:hAnsi="Times New Roman" w:eastAsia="宋体" w:cs="Times New Roman"/>
                      <w:color w:val="auto"/>
                      <w:kern w:val="18"/>
                      <w:sz w:val="21"/>
                      <w:szCs w:val="21"/>
                    </w:rPr>
                    <w:t>0mg/L</w:t>
                  </w:r>
                </w:p>
              </w:tc>
              <w:tc>
                <w:tcPr>
                  <w:tcW w:w="1990" w:type="pct"/>
                  <w:vMerge w:val="continue"/>
                  <w:noWrap w:val="0"/>
                  <w:vAlign w:val="center"/>
                </w:tcPr>
                <w:p w14:paraId="6848B943">
                  <w:pPr>
                    <w:widowControl/>
                    <w:spacing w:line="340" w:lineRule="exact"/>
                    <w:jc w:val="left"/>
                    <w:rPr>
                      <w:rFonts w:hint="default" w:ascii="Times New Roman" w:hAnsi="Times New Roman" w:eastAsia="宋体" w:cs="Times New Roman"/>
                      <w:color w:val="auto"/>
                      <w:kern w:val="18"/>
                      <w:sz w:val="21"/>
                      <w:szCs w:val="21"/>
                    </w:rPr>
                  </w:pPr>
                </w:p>
              </w:tc>
            </w:tr>
            <w:tr w14:paraId="09BB6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pct"/>
                  <w:noWrap w:val="0"/>
                  <w:vAlign w:val="center"/>
                </w:tcPr>
                <w:p w14:paraId="127FC7B6">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3</w:t>
                  </w:r>
                </w:p>
              </w:tc>
              <w:tc>
                <w:tcPr>
                  <w:tcW w:w="821" w:type="pct"/>
                  <w:noWrap w:val="0"/>
                  <w:vAlign w:val="center"/>
                </w:tcPr>
                <w:p w14:paraId="39688BD4">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BOD</w:t>
                  </w:r>
                  <w:r>
                    <w:rPr>
                      <w:rFonts w:hint="default" w:ascii="Times New Roman" w:hAnsi="Times New Roman" w:eastAsia="宋体" w:cs="Times New Roman"/>
                      <w:color w:val="auto"/>
                      <w:kern w:val="18"/>
                      <w:sz w:val="21"/>
                      <w:szCs w:val="21"/>
                      <w:vertAlign w:val="subscript"/>
                    </w:rPr>
                    <w:t>5</w:t>
                  </w:r>
                </w:p>
              </w:tc>
              <w:tc>
                <w:tcPr>
                  <w:tcW w:w="1583" w:type="pct"/>
                  <w:noWrap w:val="0"/>
                  <w:vAlign w:val="center"/>
                </w:tcPr>
                <w:p w14:paraId="180E36D7">
                  <w:pPr>
                    <w:spacing w:line="340" w:lineRule="exact"/>
                    <w:jc w:val="center"/>
                    <w:rPr>
                      <w:rFonts w:hint="default" w:ascii="Times New Roman" w:hAnsi="Times New Roman" w:eastAsia="宋体" w:cs="Times New Roman"/>
                      <w:color w:val="auto"/>
                      <w:kern w:val="18"/>
                      <w:sz w:val="21"/>
                      <w:szCs w:val="21"/>
                      <w:lang w:val="en-US" w:eastAsia="zh-CN" w:bidi="ar-SA"/>
                    </w:rPr>
                  </w:pPr>
                  <w:r>
                    <w:rPr>
                      <w:rFonts w:hint="default" w:ascii="Times New Roman" w:hAnsi="Times New Roman" w:eastAsia="宋体" w:cs="Times New Roman"/>
                      <w:color w:val="auto"/>
                      <w:kern w:val="18"/>
                      <w:sz w:val="21"/>
                      <w:szCs w:val="21"/>
                      <w:lang w:val="en-US" w:eastAsia="zh-CN"/>
                    </w:rPr>
                    <w:t>1</w:t>
                  </w:r>
                  <w:r>
                    <w:rPr>
                      <w:rFonts w:hint="default" w:ascii="Times New Roman" w:hAnsi="Times New Roman" w:eastAsia="宋体" w:cs="Times New Roman"/>
                      <w:color w:val="auto"/>
                      <w:kern w:val="18"/>
                      <w:sz w:val="21"/>
                      <w:szCs w:val="21"/>
                    </w:rPr>
                    <w:t>0mg/L</w:t>
                  </w:r>
                </w:p>
              </w:tc>
              <w:tc>
                <w:tcPr>
                  <w:tcW w:w="1990" w:type="pct"/>
                  <w:vMerge w:val="continue"/>
                  <w:noWrap w:val="0"/>
                  <w:vAlign w:val="center"/>
                </w:tcPr>
                <w:p w14:paraId="0B3B5193">
                  <w:pPr>
                    <w:widowControl/>
                    <w:spacing w:line="340" w:lineRule="exact"/>
                    <w:jc w:val="left"/>
                    <w:rPr>
                      <w:rFonts w:hint="default" w:ascii="Times New Roman" w:hAnsi="Times New Roman" w:eastAsia="宋体" w:cs="Times New Roman"/>
                      <w:color w:val="auto"/>
                      <w:kern w:val="18"/>
                      <w:sz w:val="21"/>
                      <w:szCs w:val="21"/>
                    </w:rPr>
                  </w:pPr>
                </w:p>
              </w:tc>
            </w:tr>
            <w:tr w14:paraId="009D0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pct"/>
                  <w:noWrap w:val="0"/>
                  <w:vAlign w:val="center"/>
                </w:tcPr>
                <w:p w14:paraId="538B5E72">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4</w:t>
                  </w:r>
                </w:p>
              </w:tc>
              <w:tc>
                <w:tcPr>
                  <w:tcW w:w="821" w:type="pct"/>
                  <w:noWrap w:val="0"/>
                  <w:vAlign w:val="center"/>
                </w:tcPr>
                <w:p w14:paraId="4428C2B5">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SS</w:t>
                  </w:r>
                </w:p>
              </w:tc>
              <w:tc>
                <w:tcPr>
                  <w:tcW w:w="1583" w:type="pct"/>
                  <w:noWrap w:val="0"/>
                  <w:vAlign w:val="center"/>
                </w:tcPr>
                <w:p w14:paraId="496D5FF2">
                  <w:pPr>
                    <w:spacing w:line="340" w:lineRule="exact"/>
                    <w:jc w:val="center"/>
                    <w:rPr>
                      <w:rFonts w:hint="default" w:ascii="Times New Roman" w:hAnsi="Times New Roman" w:eastAsia="宋体" w:cs="Times New Roman"/>
                      <w:color w:val="auto"/>
                      <w:kern w:val="18"/>
                      <w:sz w:val="21"/>
                      <w:szCs w:val="21"/>
                      <w:lang w:val="en-US" w:eastAsia="zh-CN" w:bidi="ar-SA"/>
                    </w:rPr>
                  </w:pPr>
                  <w:r>
                    <w:rPr>
                      <w:rFonts w:hint="default" w:ascii="Times New Roman" w:hAnsi="Times New Roman" w:eastAsia="宋体" w:cs="Times New Roman"/>
                      <w:color w:val="auto"/>
                      <w:kern w:val="18"/>
                      <w:sz w:val="21"/>
                      <w:szCs w:val="21"/>
                      <w:lang w:val="en-US" w:eastAsia="zh-CN"/>
                    </w:rPr>
                    <w:t>1</w:t>
                  </w:r>
                  <w:r>
                    <w:rPr>
                      <w:rFonts w:hint="default" w:ascii="Times New Roman" w:hAnsi="Times New Roman" w:eastAsia="宋体" w:cs="Times New Roman"/>
                      <w:color w:val="auto"/>
                      <w:kern w:val="18"/>
                      <w:sz w:val="21"/>
                      <w:szCs w:val="21"/>
                    </w:rPr>
                    <w:t>0mg/L</w:t>
                  </w:r>
                </w:p>
              </w:tc>
              <w:tc>
                <w:tcPr>
                  <w:tcW w:w="1990" w:type="pct"/>
                  <w:vMerge w:val="continue"/>
                  <w:noWrap w:val="0"/>
                  <w:vAlign w:val="center"/>
                </w:tcPr>
                <w:p w14:paraId="406B35F6">
                  <w:pPr>
                    <w:widowControl/>
                    <w:spacing w:line="340" w:lineRule="exact"/>
                    <w:jc w:val="left"/>
                    <w:rPr>
                      <w:rFonts w:hint="default" w:ascii="Times New Roman" w:hAnsi="Times New Roman" w:eastAsia="宋体" w:cs="Times New Roman"/>
                      <w:color w:val="auto"/>
                      <w:kern w:val="18"/>
                      <w:sz w:val="21"/>
                      <w:szCs w:val="21"/>
                    </w:rPr>
                  </w:pPr>
                </w:p>
              </w:tc>
            </w:tr>
            <w:tr w14:paraId="13A19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pct"/>
                  <w:noWrap w:val="0"/>
                  <w:vAlign w:val="center"/>
                </w:tcPr>
                <w:p w14:paraId="6B828654">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5</w:t>
                  </w:r>
                </w:p>
              </w:tc>
              <w:tc>
                <w:tcPr>
                  <w:tcW w:w="821" w:type="pct"/>
                  <w:noWrap w:val="0"/>
                  <w:vAlign w:val="center"/>
                </w:tcPr>
                <w:p w14:paraId="5B5D755A">
                  <w:pPr>
                    <w:spacing w:line="340" w:lineRule="exact"/>
                    <w:jc w:val="center"/>
                    <w:rPr>
                      <w:rFonts w:hint="default" w:ascii="Times New Roman" w:hAnsi="Times New Roman" w:eastAsia="宋体" w:cs="Times New Roman"/>
                      <w:color w:val="auto"/>
                      <w:kern w:val="18"/>
                      <w:sz w:val="21"/>
                      <w:szCs w:val="21"/>
                    </w:rPr>
                  </w:pPr>
                  <w:r>
                    <w:rPr>
                      <w:rFonts w:hint="default" w:ascii="Times New Roman" w:hAnsi="Times New Roman" w:eastAsia="宋体" w:cs="Times New Roman"/>
                      <w:color w:val="auto"/>
                      <w:kern w:val="18"/>
                      <w:sz w:val="21"/>
                      <w:szCs w:val="21"/>
                    </w:rPr>
                    <w:t>NH</w:t>
                  </w:r>
                  <w:r>
                    <w:rPr>
                      <w:rFonts w:hint="default" w:ascii="Times New Roman" w:hAnsi="Times New Roman" w:eastAsia="宋体" w:cs="Times New Roman"/>
                      <w:color w:val="auto"/>
                      <w:kern w:val="18"/>
                      <w:sz w:val="21"/>
                      <w:szCs w:val="21"/>
                      <w:vertAlign w:val="subscript"/>
                    </w:rPr>
                    <w:t>3</w:t>
                  </w:r>
                  <w:r>
                    <w:rPr>
                      <w:rFonts w:hint="default" w:ascii="Times New Roman" w:hAnsi="Times New Roman" w:eastAsia="宋体" w:cs="Times New Roman"/>
                      <w:color w:val="auto"/>
                      <w:kern w:val="18"/>
                      <w:sz w:val="21"/>
                      <w:szCs w:val="21"/>
                    </w:rPr>
                    <w:t>-N</w:t>
                  </w:r>
                </w:p>
              </w:tc>
              <w:tc>
                <w:tcPr>
                  <w:tcW w:w="1583" w:type="pct"/>
                  <w:noWrap w:val="0"/>
                  <w:vAlign w:val="center"/>
                </w:tcPr>
                <w:p w14:paraId="3466C271">
                  <w:pPr>
                    <w:spacing w:line="340" w:lineRule="exact"/>
                    <w:jc w:val="center"/>
                    <w:rPr>
                      <w:rFonts w:hint="default" w:ascii="Times New Roman" w:hAnsi="Times New Roman" w:eastAsia="宋体" w:cs="Times New Roman"/>
                      <w:color w:val="auto"/>
                      <w:kern w:val="18"/>
                      <w:sz w:val="21"/>
                      <w:szCs w:val="21"/>
                      <w:lang w:val="en-US" w:eastAsia="zh-CN" w:bidi="ar-SA"/>
                    </w:rPr>
                  </w:pPr>
                  <w:r>
                    <w:rPr>
                      <w:rFonts w:hint="default" w:ascii="Times New Roman" w:hAnsi="Times New Roman" w:eastAsia="宋体" w:cs="Times New Roman"/>
                      <w:color w:val="auto"/>
                      <w:kern w:val="18"/>
                      <w:sz w:val="21"/>
                      <w:szCs w:val="21"/>
                      <w:lang w:val="en-US" w:eastAsia="zh-CN"/>
                    </w:rPr>
                    <w:t>5</w:t>
                  </w:r>
                  <w:r>
                    <w:rPr>
                      <w:rFonts w:hint="default" w:ascii="Times New Roman" w:hAnsi="Times New Roman" w:eastAsia="宋体" w:cs="Times New Roman"/>
                      <w:color w:val="auto"/>
                      <w:kern w:val="18"/>
                      <w:sz w:val="21"/>
                      <w:szCs w:val="21"/>
                    </w:rPr>
                    <w:t>mg/L</w:t>
                  </w:r>
                </w:p>
              </w:tc>
              <w:tc>
                <w:tcPr>
                  <w:tcW w:w="1990" w:type="pct"/>
                  <w:vMerge w:val="continue"/>
                  <w:noWrap w:val="0"/>
                  <w:vAlign w:val="center"/>
                </w:tcPr>
                <w:p w14:paraId="43252C4F">
                  <w:pPr>
                    <w:widowControl/>
                    <w:spacing w:line="340" w:lineRule="exact"/>
                    <w:jc w:val="center"/>
                    <w:rPr>
                      <w:rFonts w:hint="default" w:ascii="Times New Roman" w:hAnsi="Times New Roman" w:eastAsia="宋体" w:cs="Times New Roman"/>
                      <w:color w:val="auto"/>
                      <w:kern w:val="18"/>
                      <w:sz w:val="21"/>
                      <w:szCs w:val="21"/>
                    </w:rPr>
                  </w:pPr>
                </w:p>
              </w:tc>
            </w:tr>
          </w:tbl>
          <w:p w14:paraId="00860788">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50" w:name="_Toc28740"/>
            <w:r>
              <w:rPr>
                <w:rFonts w:hint="eastAsia" w:ascii="Times New Roman" w:hAnsi="Times New Roman" w:eastAsia="宋体" w:cs="Times New Roman"/>
                <w:b/>
                <w:bCs/>
                <w:color w:val="auto"/>
                <w:sz w:val="24"/>
                <w:szCs w:val="24"/>
                <w:u w:val="none"/>
                <w:lang w:val="en-US" w:eastAsia="zh-CN"/>
              </w:rPr>
              <w:t>3.7.2 废气</w:t>
            </w:r>
            <w:bookmarkEnd w:id="50"/>
          </w:p>
          <w:p w14:paraId="6597508B">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（1）项目有组织废气污染物排放标准</w:t>
            </w:r>
          </w:p>
          <w:p w14:paraId="45B690D8">
            <w:pPr>
              <w:pStyle w:val="48"/>
              <w:keepNext w:val="0"/>
              <w:keepLines w:val="0"/>
              <w:pageBreakBefore w:val="0"/>
              <w:widowControl w:val="0"/>
              <w:kinsoku/>
              <w:wordWrap/>
              <w:overflowPunct/>
              <w:bidi w:val="0"/>
              <w:snapToGrid/>
              <w:ind w:firstLine="480"/>
              <w:rPr>
                <w:rFonts w:hint="default"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①</w:t>
            </w:r>
            <w:r>
              <w:rPr>
                <w:rFonts w:hint="eastAsia" w:cs="Times New Roman"/>
                <w:bCs/>
                <w:color w:val="auto"/>
                <w:kern w:val="2"/>
                <w:sz w:val="24"/>
                <w:szCs w:val="24"/>
                <w:lang w:val="en-US" w:eastAsia="zh-CN" w:bidi="ar-SA"/>
              </w:rPr>
              <w:t>工业连接器和工业线缆</w:t>
            </w:r>
            <w:r>
              <w:rPr>
                <w:rFonts w:hint="eastAsia" w:ascii="Times New Roman" w:hAnsi="Times New Roman" w:eastAsia="宋体" w:cs="Times New Roman"/>
                <w:bCs/>
                <w:color w:val="auto"/>
                <w:kern w:val="2"/>
                <w:sz w:val="24"/>
                <w:szCs w:val="24"/>
                <w:lang w:val="en-US" w:eastAsia="zh-CN" w:bidi="ar-SA"/>
              </w:rPr>
              <w:t>生产：</w:t>
            </w:r>
            <w:r>
              <w:rPr>
                <w:rFonts w:hint="eastAsia"/>
                <w:color w:val="262626"/>
                <w:sz w:val="24"/>
                <w:lang w:val="en-US" w:eastAsia="zh-CN"/>
              </w:rPr>
              <w:t>工业连接器和工业线缆生产时产生的</w:t>
            </w:r>
            <w:r>
              <w:rPr>
                <w:rFonts w:hint="eastAsia"/>
                <w:color w:val="262626"/>
                <w:sz w:val="24"/>
              </w:rPr>
              <w:t>注塑加热有机废气</w:t>
            </w:r>
            <w:r>
              <w:rPr>
                <w:rFonts w:hint="eastAsia"/>
                <w:color w:val="262626"/>
                <w:sz w:val="24"/>
                <w:lang w:eastAsia="zh-CN"/>
              </w:rPr>
              <w:t>（</w:t>
            </w:r>
            <w:r>
              <w:rPr>
                <w:color w:val="262626"/>
                <w:sz w:val="24"/>
              </w:rPr>
              <w:t>以非甲烷</w:t>
            </w:r>
            <w:r>
              <w:rPr>
                <w:rFonts w:hint="eastAsia"/>
                <w:color w:val="262626"/>
                <w:sz w:val="24"/>
              </w:rPr>
              <w:t>总烃</w:t>
            </w:r>
            <w:r>
              <w:rPr>
                <w:rFonts w:hint="eastAsia"/>
                <w:color w:val="262626"/>
                <w:sz w:val="24"/>
                <w:lang w:val="en-US" w:eastAsia="zh-CN"/>
              </w:rPr>
              <w:t>计）</w:t>
            </w:r>
            <w:r>
              <w:rPr>
                <w:rFonts w:hint="eastAsia"/>
                <w:color w:val="262626"/>
                <w:sz w:val="24"/>
                <w:lang w:eastAsia="zh-CN"/>
              </w:rPr>
              <w:t>、</w:t>
            </w:r>
            <w:r>
              <w:rPr>
                <w:rFonts w:hint="eastAsia"/>
                <w:color w:val="262626"/>
                <w:sz w:val="24"/>
              </w:rPr>
              <w:t>臭气</w:t>
            </w:r>
            <w:r>
              <w:rPr>
                <w:rFonts w:hint="eastAsia"/>
                <w:color w:val="262626"/>
                <w:sz w:val="24"/>
                <w:lang w:eastAsia="zh-CN"/>
              </w:rPr>
              <w:t>；</w:t>
            </w:r>
            <w:r>
              <w:rPr>
                <w:rFonts w:hint="eastAsia"/>
                <w:color w:val="262626"/>
                <w:sz w:val="24"/>
                <w:lang w:val="en-US" w:eastAsia="zh-CN"/>
              </w:rPr>
              <w:t>料头粉碎</w:t>
            </w:r>
            <w:r>
              <w:rPr>
                <w:rFonts w:hint="eastAsia"/>
                <w:color w:val="262626"/>
                <w:sz w:val="24"/>
                <w:lang w:eastAsia="zh-CN"/>
              </w:rPr>
              <w:t>过程中产生的粉尘废气（颗粒物）；</w:t>
            </w:r>
            <w:r>
              <w:rPr>
                <w:rFonts w:hint="eastAsia"/>
                <w:color w:val="262626"/>
                <w:sz w:val="24"/>
                <w:lang w:val="en-US" w:eastAsia="zh-CN"/>
              </w:rPr>
              <w:t>喷粉前除油废气、喷粉废气以及喷粉后烘烤废气。</w:t>
            </w:r>
            <w:r>
              <w:rPr>
                <w:rFonts w:hint="eastAsia" w:ascii="Times New Roman" w:hAnsi="Times New Roman" w:eastAsia="宋体" w:cs="Times New Roman"/>
                <w:bCs/>
                <w:color w:val="auto"/>
                <w:kern w:val="2"/>
                <w:sz w:val="24"/>
                <w:szCs w:val="24"/>
                <w:lang w:val="en-US" w:eastAsia="zh-CN" w:bidi="ar-SA"/>
              </w:rPr>
              <w:t>注塑废气（非甲烷总烃、臭气浓度）、脱模废气（非甲烷总烃、臭气浓度</w:t>
            </w:r>
            <w:r>
              <w:rPr>
                <w:rFonts w:hint="eastAsia" w:cs="Times New Roman"/>
                <w:bCs/>
                <w:color w:val="auto"/>
                <w:kern w:val="2"/>
                <w:sz w:val="24"/>
                <w:szCs w:val="24"/>
                <w:lang w:val="en-US" w:eastAsia="zh-CN" w:bidi="ar-SA"/>
              </w:rPr>
              <w:t>、苯乙烯</w:t>
            </w:r>
            <w:r>
              <w:rPr>
                <w:rFonts w:hint="eastAsia" w:ascii="Times New Roman" w:hAnsi="Times New Roman" w:eastAsia="宋体" w:cs="Times New Roman"/>
                <w:bCs/>
                <w:color w:val="auto"/>
                <w:kern w:val="2"/>
                <w:sz w:val="24"/>
                <w:szCs w:val="24"/>
                <w:lang w:val="en-US" w:eastAsia="zh-CN" w:bidi="ar-SA"/>
              </w:rPr>
              <w:t>）</w:t>
            </w:r>
            <w:r>
              <w:rPr>
                <w:rFonts w:hint="eastAsia" w:cs="Times New Roman"/>
                <w:bCs/>
                <w:color w:val="auto"/>
                <w:kern w:val="2"/>
                <w:sz w:val="24"/>
                <w:szCs w:val="24"/>
                <w:lang w:val="en-US" w:eastAsia="zh-CN" w:bidi="ar-SA"/>
              </w:rPr>
              <w:t>、破碎粉尘（颗粒物）。颗粒物、</w:t>
            </w:r>
            <w:r>
              <w:rPr>
                <w:rFonts w:hint="eastAsia" w:ascii="Times New Roman" w:hAnsi="Times New Roman" w:eastAsia="宋体" w:cs="Times New Roman"/>
                <w:bCs/>
                <w:color w:val="auto"/>
                <w:kern w:val="2"/>
                <w:sz w:val="24"/>
                <w:szCs w:val="24"/>
                <w:lang w:val="en-US" w:eastAsia="zh-CN" w:bidi="ar-SA"/>
              </w:rPr>
              <w:t>非甲烷总烃</w:t>
            </w:r>
            <w:r>
              <w:rPr>
                <w:rFonts w:hint="eastAsia" w:cs="Times New Roman"/>
                <w:bCs/>
                <w:color w:val="auto"/>
                <w:kern w:val="2"/>
                <w:sz w:val="24"/>
                <w:szCs w:val="24"/>
                <w:lang w:val="en-US" w:eastAsia="zh-CN" w:bidi="ar-SA"/>
              </w:rPr>
              <w:t>、苯乙烯</w:t>
            </w:r>
            <w:r>
              <w:rPr>
                <w:rFonts w:hint="eastAsia" w:ascii="Times New Roman" w:hAnsi="Times New Roman" w:eastAsia="宋体" w:cs="Times New Roman"/>
                <w:bCs/>
                <w:color w:val="auto"/>
                <w:kern w:val="2"/>
                <w:sz w:val="24"/>
                <w:szCs w:val="24"/>
                <w:lang w:val="en-US" w:eastAsia="zh-CN" w:bidi="ar-SA"/>
              </w:rPr>
              <w:t>执行</w:t>
            </w:r>
            <w:r>
              <w:rPr>
                <w:rFonts w:hint="eastAsia" w:ascii="Times New Roman" w:hAnsi="Times New Roman" w:eastAsia="宋体" w:cs="Times New Roman"/>
                <w:color w:val="auto"/>
                <w:sz w:val="24"/>
                <w:u w:val="none"/>
                <w:lang w:eastAsia="zh-CN"/>
              </w:rPr>
              <w:t>《合成树脂工业污染物排放标准》</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lang w:eastAsia="zh-CN"/>
              </w:rPr>
              <w:t>GB31572-2015</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lang w:eastAsia="zh-CN"/>
              </w:rPr>
              <w:t>及修改单</w:t>
            </w:r>
            <w:r>
              <w:rPr>
                <w:rFonts w:hint="eastAsia" w:ascii="Times New Roman" w:hAnsi="Times New Roman" w:cs="Times New Roman"/>
                <w:color w:val="auto"/>
                <w:sz w:val="24"/>
                <w:u w:val="none"/>
                <w:lang w:val="en-US" w:eastAsia="zh-CN"/>
              </w:rPr>
              <w:t>（</w:t>
            </w:r>
            <w:r>
              <w:rPr>
                <w:rFonts w:ascii="Times New Roman" w:hAnsi="Times New Roman" w:eastAsia="宋体" w:cs="Times New Roman"/>
                <w:color w:val="auto"/>
                <w:kern w:val="0"/>
                <w:sz w:val="24"/>
                <w:szCs w:val="24"/>
                <w:u w:val="none"/>
                <w:lang w:val="en-US" w:eastAsia="zh-CN" w:bidi="ar"/>
              </w:rPr>
              <w:t>2024年7月1日起实施</w:t>
            </w:r>
            <w:r>
              <w:rPr>
                <w:rFonts w:hint="eastAsia" w:ascii="Times New Roman" w:hAnsi="Times New Roman" w:cs="Times New Roman"/>
                <w:color w:val="auto"/>
                <w:sz w:val="24"/>
                <w:u w:val="none"/>
                <w:lang w:val="en-US" w:eastAsia="zh-CN"/>
              </w:rPr>
              <w:t>）</w:t>
            </w:r>
            <w:r>
              <w:rPr>
                <w:rFonts w:hint="eastAsia" w:ascii="Times New Roman" w:hAnsi="Times New Roman" w:eastAsia="宋体" w:cs="Times New Roman"/>
                <w:color w:val="auto"/>
                <w:sz w:val="24"/>
                <w:u w:val="none"/>
                <w:lang w:eastAsia="zh-CN"/>
              </w:rPr>
              <w:t>的表</w:t>
            </w:r>
            <w:r>
              <w:rPr>
                <w:rFonts w:hint="eastAsia" w:ascii="Times New Roman" w:hAnsi="Times New Roman" w:eastAsia="宋体" w:cs="Times New Roman"/>
                <w:color w:val="auto"/>
                <w:sz w:val="24"/>
                <w:u w:val="none"/>
                <w:lang w:val="en-US" w:eastAsia="zh-CN"/>
              </w:rPr>
              <w:t>5</w:t>
            </w:r>
            <w:r>
              <w:rPr>
                <w:rFonts w:hint="eastAsia" w:ascii="Times New Roman" w:hAnsi="Times New Roman" w:eastAsia="宋体" w:cs="Times New Roman"/>
                <w:color w:val="auto"/>
                <w:sz w:val="24"/>
                <w:u w:val="none"/>
                <w:lang w:eastAsia="zh-CN"/>
              </w:rPr>
              <w:t>的</w:t>
            </w:r>
            <w:r>
              <w:rPr>
                <w:rFonts w:hint="default" w:ascii="Times New Roman" w:hAnsi="Times New Roman" w:eastAsia="宋体" w:cs="Times New Roman"/>
                <w:bCs/>
                <w:color w:val="auto"/>
                <w:kern w:val="2"/>
                <w:sz w:val="24"/>
                <w:szCs w:val="24"/>
                <w:u w:val="none"/>
                <w:lang w:val="en-US" w:eastAsia="zh-CN" w:bidi="ar-SA"/>
              </w:rPr>
              <w:t>大气污染物特别排放限值</w:t>
            </w:r>
            <w:r>
              <w:rPr>
                <w:rFonts w:hint="eastAsia" w:ascii="Times New Roman" w:hAnsi="Times New Roman" w:cs="Times New Roman"/>
                <w:bCs/>
                <w:color w:val="auto"/>
                <w:kern w:val="2"/>
                <w:sz w:val="24"/>
                <w:szCs w:val="24"/>
                <w:u w:val="none"/>
                <w:lang w:val="en-US" w:eastAsia="zh-CN" w:bidi="ar-SA"/>
              </w:rPr>
              <w:t>，臭气浓度执行</w:t>
            </w:r>
            <w:r>
              <w:rPr>
                <w:rFonts w:hint="eastAsia" w:ascii="Times New Roman" w:hAnsi="Times New Roman" w:eastAsia="宋体" w:cs="Times New Roman"/>
                <w:color w:val="auto"/>
                <w:sz w:val="24"/>
                <w:u w:val="none"/>
                <w:lang w:eastAsia="zh-CN"/>
              </w:rPr>
              <w:t>《恶臭污染物排放标准》</w:t>
            </w:r>
            <w:r>
              <w:rPr>
                <w:rFonts w:hint="eastAsia" w:cs="Times New Roman"/>
                <w:color w:val="auto"/>
                <w:sz w:val="24"/>
                <w:u w:val="none"/>
                <w:lang w:eastAsia="zh-CN"/>
              </w:rPr>
              <w:t>（</w:t>
            </w:r>
            <w:r>
              <w:rPr>
                <w:rFonts w:hint="eastAsia" w:ascii="Times New Roman" w:hAnsi="Times New Roman" w:eastAsia="宋体" w:cs="Times New Roman"/>
                <w:color w:val="auto"/>
                <w:sz w:val="24"/>
                <w:u w:val="none"/>
                <w:lang w:eastAsia="zh-CN"/>
              </w:rPr>
              <w:t>GB14554-93</w:t>
            </w:r>
            <w:r>
              <w:rPr>
                <w:rFonts w:hint="eastAsia" w:cs="Times New Roman"/>
                <w:color w:val="auto"/>
                <w:sz w:val="24"/>
                <w:u w:val="none"/>
                <w:lang w:eastAsia="zh-CN"/>
              </w:rPr>
              <w:t>）</w:t>
            </w:r>
            <w:r>
              <w:rPr>
                <w:rFonts w:hint="eastAsia" w:ascii="Times New Roman" w:hAnsi="Times New Roman" w:eastAsia="宋体" w:cs="Times New Roman"/>
                <w:color w:val="auto"/>
                <w:sz w:val="24"/>
                <w:u w:val="none"/>
                <w:lang w:eastAsia="zh-CN"/>
              </w:rPr>
              <w:t>表2标准限值</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lang w:eastAsia="zh-CN"/>
              </w:rPr>
              <w:t>上述标准具体详见表3.7-3。</w:t>
            </w:r>
          </w:p>
          <w:p w14:paraId="31E0F824">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highlight w:val="none"/>
                <w:u w:val="none"/>
                <w:lang w:val="en-US" w:eastAsia="zh-CN"/>
              </w:rPr>
            </w:pPr>
            <w:r>
              <w:rPr>
                <w:rFonts w:hint="eastAsia" w:ascii="Times New Roman" w:hAnsi="Times New Roman" w:eastAsia="宋体" w:cs="Times New Roman"/>
                <w:b/>
                <w:bCs/>
                <w:color w:val="auto"/>
                <w:sz w:val="24"/>
                <w:szCs w:val="24"/>
                <w:highlight w:val="none"/>
                <w:u w:val="none"/>
                <w:lang w:val="en-US" w:eastAsia="zh-CN"/>
              </w:rPr>
              <w:t>表3.7-3 有组织废气污染物排放标准</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369"/>
              <w:gridCol w:w="1162"/>
              <w:gridCol w:w="945"/>
              <w:gridCol w:w="962"/>
              <w:gridCol w:w="3224"/>
            </w:tblGrid>
            <w:tr w14:paraId="3CDF3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54" w:type="pct"/>
                  <w:tcBorders>
                    <w:tl2br w:val="nil"/>
                    <w:tr2bl w:val="nil"/>
                  </w:tcBorders>
                  <w:vAlign w:val="center"/>
                </w:tcPr>
                <w:p w14:paraId="4925A6F6">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污染物产生工段</w:t>
                  </w:r>
                </w:p>
              </w:tc>
              <w:tc>
                <w:tcPr>
                  <w:tcW w:w="794" w:type="pct"/>
                  <w:tcBorders>
                    <w:tl2br w:val="nil"/>
                    <w:tr2bl w:val="nil"/>
                  </w:tcBorders>
                  <w:vAlign w:val="center"/>
                </w:tcPr>
                <w:p w14:paraId="04E5BA77">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污染物名称</w:t>
                  </w:r>
                </w:p>
              </w:tc>
              <w:tc>
                <w:tcPr>
                  <w:tcW w:w="674" w:type="pct"/>
                  <w:tcBorders>
                    <w:tl2br w:val="nil"/>
                    <w:tr2bl w:val="nil"/>
                  </w:tcBorders>
                  <w:vAlign w:val="center"/>
                </w:tcPr>
                <w:p w14:paraId="24A345E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最高允许排放浓度</w:t>
                  </w:r>
                  <w:r>
                    <w:rPr>
                      <w:rFonts w:hint="default" w:ascii="Times New Roman" w:hAnsi="Times New Roman" w:eastAsia="宋体" w:cs="Times New Roman"/>
                      <w:b w:val="0"/>
                      <w:bCs w:val="0"/>
                      <w:color w:val="auto"/>
                      <w:sz w:val="21"/>
                      <w:szCs w:val="21"/>
                      <w:u w:val="none"/>
                      <w:lang w:val="en-US" w:eastAsia="zh-CN"/>
                    </w:rPr>
                    <w:t>mg/m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548" w:type="pct"/>
                  <w:tcBorders>
                    <w:tl2br w:val="nil"/>
                    <w:tr2bl w:val="nil"/>
                  </w:tcBorders>
                  <w:vAlign w:val="center"/>
                </w:tcPr>
                <w:p w14:paraId="2F3BC585">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排气筒编号</w:t>
                  </w:r>
                </w:p>
              </w:tc>
              <w:tc>
                <w:tcPr>
                  <w:tcW w:w="558" w:type="pct"/>
                  <w:tcBorders>
                    <w:tl2br w:val="nil"/>
                    <w:tr2bl w:val="nil"/>
                  </w:tcBorders>
                  <w:vAlign w:val="center"/>
                </w:tcPr>
                <w:p w14:paraId="361DCCBA">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排气筒高度</w:t>
                  </w:r>
                </w:p>
                <w:p w14:paraId="093FCF7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m</w:t>
                  </w:r>
                </w:p>
              </w:tc>
              <w:tc>
                <w:tcPr>
                  <w:tcW w:w="1870" w:type="pct"/>
                  <w:tcBorders>
                    <w:tl2br w:val="nil"/>
                    <w:tr2bl w:val="nil"/>
                  </w:tcBorders>
                  <w:vAlign w:val="center"/>
                </w:tcPr>
                <w:p w14:paraId="60CB8EDA">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执行标准</w:t>
                  </w:r>
                </w:p>
              </w:tc>
            </w:tr>
            <w:tr w14:paraId="3E84F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54" w:type="pct"/>
                  <w:vMerge w:val="restart"/>
                  <w:tcBorders>
                    <w:tl2br w:val="nil"/>
                    <w:tr2bl w:val="nil"/>
                  </w:tcBorders>
                  <w:vAlign w:val="center"/>
                </w:tcPr>
                <w:p w14:paraId="2BF6EB58">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注塑</w:t>
                  </w:r>
                  <w:r>
                    <w:rPr>
                      <w:rFonts w:hint="eastAsia" w:cs="Times New Roman"/>
                      <w:b w:val="0"/>
                      <w:bCs w:val="0"/>
                      <w:sz w:val="21"/>
                      <w:szCs w:val="21"/>
                      <w:vertAlign w:val="baseline"/>
                      <w:lang w:val="en-US" w:eastAsia="zh-CN"/>
                    </w:rPr>
                    <w:t>、包胶、烘烤、除油</w:t>
                  </w:r>
                </w:p>
              </w:tc>
              <w:tc>
                <w:tcPr>
                  <w:tcW w:w="794" w:type="pct"/>
                  <w:tcBorders>
                    <w:tl2br w:val="nil"/>
                    <w:tr2bl w:val="nil"/>
                  </w:tcBorders>
                  <w:vAlign w:val="center"/>
                </w:tcPr>
                <w:p w14:paraId="5F55181D">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非甲烷总烃</w:t>
                  </w:r>
                </w:p>
              </w:tc>
              <w:tc>
                <w:tcPr>
                  <w:tcW w:w="674" w:type="pct"/>
                  <w:tcBorders>
                    <w:tl2br w:val="nil"/>
                    <w:tr2bl w:val="nil"/>
                  </w:tcBorders>
                  <w:vAlign w:val="center"/>
                </w:tcPr>
                <w:p w14:paraId="75165E97">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60</w:t>
                  </w:r>
                </w:p>
              </w:tc>
              <w:tc>
                <w:tcPr>
                  <w:tcW w:w="548" w:type="pct"/>
                  <w:tcBorders>
                    <w:tl2br w:val="nil"/>
                    <w:tr2bl w:val="nil"/>
                  </w:tcBorders>
                  <w:shd w:val="clear" w:color="auto" w:fill="auto"/>
                  <w:vAlign w:val="center"/>
                </w:tcPr>
                <w:p w14:paraId="0D51B9E4">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default" w:ascii="Times New Roman" w:hAnsi="Times New Roman" w:eastAsia="宋体" w:cs="Times New Roman"/>
                      <w:b w:val="0"/>
                      <w:bCs w:val="0"/>
                      <w:sz w:val="21"/>
                      <w:szCs w:val="21"/>
                      <w:vertAlign w:val="baseline"/>
                      <w:lang w:val="en-US" w:eastAsia="zh-CN"/>
                    </w:rPr>
                    <w:t>DA001</w:t>
                  </w:r>
                </w:p>
              </w:tc>
              <w:tc>
                <w:tcPr>
                  <w:tcW w:w="558" w:type="pct"/>
                  <w:tcBorders>
                    <w:tl2br w:val="nil"/>
                    <w:tr2bl w:val="nil"/>
                  </w:tcBorders>
                  <w:shd w:val="clear" w:color="auto" w:fill="auto"/>
                  <w:vAlign w:val="center"/>
                </w:tcPr>
                <w:p w14:paraId="57DD5664">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default" w:ascii="Times New Roman" w:hAnsi="Times New Roman" w:eastAsia="宋体" w:cs="Times New Roman"/>
                      <w:b w:val="0"/>
                      <w:bCs w:val="0"/>
                      <w:sz w:val="21"/>
                      <w:szCs w:val="21"/>
                      <w:vertAlign w:val="baseline"/>
                      <w:lang w:val="en-US" w:eastAsia="zh-CN"/>
                    </w:rPr>
                    <w:t>15</w:t>
                  </w:r>
                </w:p>
              </w:tc>
              <w:tc>
                <w:tcPr>
                  <w:tcW w:w="1870" w:type="pct"/>
                  <w:tcBorders>
                    <w:tl2br w:val="nil"/>
                    <w:tr2bl w:val="nil"/>
                  </w:tcBorders>
                  <w:vAlign w:val="center"/>
                </w:tcPr>
                <w:p w14:paraId="795D7CA6">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《合成树脂工业污染物排放标准》（GB31572-2015）及修改单（2024年7月1日起实施）的表5的大气污染物特别排放限值</w:t>
                  </w:r>
                </w:p>
              </w:tc>
            </w:tr>
            <w:tr w14:paraId="0C529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554" w:type="pct"/>
                  <w:vMerge w:val="continue"/>
                  <w:tcBorders>
                    <w:tl2br w:val="nil"/>
                    <w:tr2bl w:val="nil"/>
                  </w:tcBorders>
                  <w:vAlign w:val="center"/>
                </w:tcPr>
                <w:p w14:paraId="1DD1AB76">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p>
              </w:tc>
              <w:tc>
                <w:tcPr>
                  <w:tcW w:w="794" w:type="pct"/>
                  <w:tcBorders>
                    <w:tl2br w:val="nil"/>
                    <w:tr2bl w:val="nil"/>
                  </w:tcBorders>
                  <w:vAlign w:val="center"/>
                </w:tcPr>
                <w:p w14:paraId="26737B3A">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臭气浓度</w:t>
                  </w:r>
                </w:p>
              </w:tc>
              <w:tc>
                <w:tcPr>
                  <w:tcW w:w="674" w:type="pct"/>
                  <w:tcBorders>
                    <w:tl2br w:val="nil"/>
                    <w:tr2bl w:val="nil"/>
                  </w:tcBorders>
                  <w:vAlign w:val="center"/>
                </w:tcPr>
                <w:p w14:paraId="069400EF">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2000</w:t>
                  </w:r>
                </w:p>
                <w:p w14:paraId="4AAD15F5">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无量纲</w:t>
                  </w:r>
                </w:p>
              </w:tc>
              <w:tc>
                <w:tcPr>
                  <w:tcW w:w="548" w:type="pct"/>
                  <w:tcBorders>
                    <w:tl2br w:val="nil"/>
                    <w:tr2bl w:val="nil"/>
                  </w:tcBorders>
                  <w:vAlign w:val="center"/>
                </w:tcPr>
                <w:p w14:paraId="23CF8C39">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DA001</w:t>
                  </w:r>
                </w:p>
              </w:tc>
              <w:tc>
                <w:tcPr>
                  <w:tcW w:w="558" w:type="pct"/>
                  <w:tcBorders>
                    <w:tl2br w:val="nil"/>
                    <w:tr2bl w:val="nil"/>
                  </w:tcBorders>
                  <w:vAlign w:val="center"/>
                </w:tcPr>
                <w:p w14:paraId="60B1223E">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15</w:t>
                  </w:r>
                </w:p>
              </w:tc>
              <w:tc>
                <w:tcPr>
                  <w:tcW w:w="1870" w:type="pct"/>
                  <w:tcBorders>
                    <w:tl2br w:val="nil"/>
                    <w:tr2bl w:val="nil"/>
                  </w:tcBorders>
                  <w:vAlign w:val="center"/>
                </w:tcPr>
                <w:p w14:paraId="666EC86A">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《恶臭污染物排放标准》</w:t>
                  </w:r>
                  <w:r>
                    <w:rPr>
                      <w:rFonts w:hint="eastAsia"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val="en-US" w:eastAsia="zh-CN"/>
                    </w:rPr>
                    <w:t>GB14554-93</w:t>
                  </w:r>
                  <w:r>
                    <w:rPr>
                      <w:rFonts w:hint="eastAsia"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val="en-US" w:eastAsia="zh-CN"/>
                    </w:rPr>
                    <w:t>表2标准限值</w:t>
                  </w:r>
                </w:p>
              </w:tc>
            </w:tr>
            <w:tr w14:paraId="4008C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554" w:type="pct"/>
                  <w:tcBorders>
                    <w:tl2br w:val="nil"/>
                    <w:tr2bl w:val="nil"/>
                  </w:tcBorders>
                  <w:vAlign w:val="center"/>
                </w:tcPr>
                <w:p w14:paraId="2C6A986B">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喷粉</w:t>
                  </w:r>
                </w:p>
              </w:tc>
              <w:tc>
                <w:tcPr>
                  <w:tcW w:w="794" w:type="pct"/>
                  <w:tcBorders>
                    <w:tl2br w:val="nil"/>
                    <w:tr2bl w:val="nil"/>
                  </w:tcBorders>
                  <w:vAlign w:val="center"/>
                </w:tcPr>
                <w:p w14:paraId="2D4DA338">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颗粒物</w:t>
                  </w:r>
                </w:p>
              </w:tc>
              <w:tc>
                <w:tcPr>
                  <w:tcW w:w="674" w:type="pct"/>
                  <w:tcBorders>
                    <w:tl2br w:val="nil"/>
                    <w:tr2bl w:val="nil"/>
                  </w:tcBorders>
                  <w:vAlign w:val="center"/>
                </w:tcPr>
                <w:p w14:paraId="1404BB3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20</w:t>
                  </w:r>
                </w:p>
              </w:tc>
              <w:tc>
                <w:tcPr>
                  <w:tcW w:w="548" w:type="pct"/>
                  <w:tcBorders>
                    <w:tl2br w:val="nil"/>
                    <w:tr2bl w:val="nil"/>
                  </w:tcBorders>
                  <w:shd w:val="clear" w:color="auto" w:fill="auto"/>
                  <w:vAlign w:val="center"/>
                </w:tcPr>
                <w:p w14:paraId="5D84ABAC">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default" w:ascii="Times New Roman" w:hAnsi="Times New Roman" w:eastAsia="宋体" w:cs="Times New Roman"/>
                      <w:b w:val="0"/>
                      <w:bCs w:val="0"/>
                      <w:sz w:val="21"/>
                      <w:szCs w:val="21"/>
                      <w:vertAlign w:val="baseline"/>
                      <w:lang w:val="en-US" w:eastAsia="zh-CN"/>
                    </w:rPr>
                    <w:t>DA001</w:t>
                  </w:r>
                </w:p>
              </w:tc>
              <w:tc>
                <w:tcPr>
                  <w:tcW w:w="558" w:type="pct"/>
                  <w:tcBorders>
                    <w:tl2br w:val="nil"/>
                    <w:tr2bl w:val="nil"/>
                  </w:tcBorders>
                  <w:shd w:val="clear" w:color="auto" w:fill="auto"/>
                  <w:vAlign w:val="center"/>
                </w:tcPr>
                <w:p w14:paraId="60360FC9">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eastAsia" w:cs="Times New Roman"/>
                      <w:b w:val="0"/>
                      <w:bCs w:val="0"/>
                      <w:sz w:val="21"/>
                      <w:szCs w:val="21"/>
                      <w:vertAlign w:val="baseline"/>
                      <w:lang w:val="en-US" w:eastAsia="zh-CN"/>
                    </w:rPr>
                    <w:t>120</w:t>
                  </w:r>
                </w:p>
              </w:tc>
              <w:tc>
                <w:tcPr>
                  <w:tcW w:w="1870" w:type="pct"/>
                  <w:tcBorders>
                    <w:tl2br w:val="nil"/>
                    <w:tr2bl w:val="nil"/>
                  </w:tcBorders>
                  <w:vAlign w:val="center"/>
                </w:tcPr>
                <w:p w14:paraId="4CA2ED51">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color w:val="auto"/>
                      <w:spacing w:val="0"/>
                      <w:sz w:val="21"/>
                      <w:szCs w:val="21"/>
                      <w:highlight w:val="none"/>
                      <w:lang w:val="en-US" w:eastAsia="zh-CN" w:bidi="he-IL"/>
                    </w:rPr>
                    <w:t>《大气污染物综合排放标准》(GB16297－1996)表2标准</w:t>
                  </w:r>
                </w:p>
              </w:tc>
            </w:tr>
          </w:tbl>
          <w:p w14:paraId="513E7D93">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（2）项目无组织废气污染物排放标准</w:t>
            </w:r>
          </w:p>
          <w:p w14:paraId="079A8EFC">
            <w:pPr>
              <w:pStyle w:val="48"/>
              <w:keepNext w:val="0"/>
              <w:keepLines w:val="0"/>
              <w:pageBreakBefore w:val="0"/>
              <w:widowControl w:val="0"/>
              <w:kinsoku/>
              <w:wordWrap/>
              <w:overflowPunct/>
              <w:bidi w:val="0"/>
              <w:snapToGrid/>
              <w:ind w:firstLine="480"/>
              <w:rPr>
                <w:rFonts w:hint="default" w:ascii="Times New Roman" w:hAnsi="Times New Roman" w:eastAsia="宋体" w:cs="Times New Roman"/>
                <w:sz w:val="24"/>
                <w:szCs w:val="22"/>
                <w:lang w:val="en-US" w:eastAsia="zh-CN"/>
              </w:rPr>
            </w:pPr>
            <w:r>
              <w:rPr>
                <w:rFonts w:hint="default" w:ascii="Times New Roman" w:hAnsi="Times New Roman" w:eastAsia="宋体" w:cs="Times New Roman"/>
                <w:bCs/>
                <w:color w:val="auto"/>
                <w:kern w:val="2"/>
                <w:sz w:val="24"/>
                <w:szCs w:val="24"/>
                <w:lang w:val="en-US" w:eastAsia="zh-CN" w:bidi="ar-SA"/>
              </w:rPr>
              <w:t>项目所使用的塑料颗粒均为颗粒状，塑料颗粒直径范围在2-5mm之间，粒径较大</w:t>
            </w:r>
            <w:r>
              <w:rPr>
                <w:rFonts w:hint="eastAsia" w:cs="Times New Roman"/>
                <w:bCs/>
                <w:color w:val="auto"/>
                <w:kern w:val="2"/>
                <w:sz w:val="24"/>
                <w:szCs w:val="24"/>
                <w:lang w:val="en-US" w:eastAsia="zh-CN" w:bidi="ar-SA"/>
              </w:rPr>
              <w:t>，</w:t>
            </w:r>
            <w:r>
              <w:rPr>
                <w:rFonts w:hint="default" w:ascii="Times New Roman" w:hAnsi="Times New Roman" w:eastAsia="宋体" w:cs="Times New Roman"/>
                <w:bCs/>
                <w:color w:val="auto"/>
                <w:kern w:val="2"/>
                <w:sz w:val="24"/>
                <w:szCs w:val="24"/>
                <w:lang w:val="en-US" w:eastAsia="zh-CN" w:bidi="ar-SA"/>
              </w:rPr>
              <w:t>因此投料工序无粉尘产生。</w:t>
            </w:r>
            <w:r>
              <w:rPr>
                <w:rFonts w:hint="eastAsia" w:cs="Times New Roman"/>
                <w:bCs/>
                <w:color w:val="auto"/>
                <w:kern w:val="2"/>
                <w:sz w:val="24"/>
                <w:szCs w:val="24"/>
                <w:lang w:val="en-US" w:eastAsia="zh-CN" w:bidi="ar-SA"/>
              </w:rPr>
              <w:t>料头经过粉碎后外售，此过程会产生粉碎粉尘（颗粒物）。</w:t>
            </w:r>
            <w:r>
              <w:rPr>
                <w:rFonts w:hint="default" w:ascii="Times New Roman" w:hAnsi="Times New Roman" w:eastAsia="宋体" w:cs="Times New Roman"/>
                <w:bCs/>
                <w:color w:val="auto"/>
                <w:kern w:val="2"/>
                <w:sz w:val="24"/>
                <w:szCs w:val="24"/>
                <w:lang w:val="en-US" w:eastAsia="zh-CN" w:bidi="ar-SA"/>
              </w:rPr>
              <w:t>注塑</w:t>
            </w:r>
            <w:r>
              <w:rPr>
                <w:rFonts w:hint="eastAsia" w:cs="Times New Roman"/>
                <w:bCs/>
                <w:color w:val="auto"/>
                <w:kern w:val="2"/>
                <w:sz w:val="24"/>
                <w:szCs w:val="24"/>
                <w:lang w:val="en-US" w:eastAsia="zh-CN" w:bidi="ar-SA"/>
              </w:rPr>
              <w:t>、包胶烘烤、除油</w:t>
            </w:r>
            <w:r>
              <w:rPr>
                <w:rFonts w:hint="default" w:ascii="Times New Roman" w:hAnsi="Times New Roman" w:eastAsia="宋体" w:cs="Times New Roman"/>
                <w:bCs/>
                <w:color w:val="auto"/>
                <w:kern w:val="2"/>
                <w:sz w:val="24"/>
                <w:szCs w:val="24"/>
                <w:lang w:val="en-US" w:eastAsia="zh-CN" w:bidi="ar-SA"/>
              </w:rPr>
              <w:t>工序未收集到的废气（非甲烷总烃、臭气浓度）车间内无组织排放执行</w:t>
            </w:r>
            <w:r>
              <w:rPr>
                <w:rFonts w:hint="default" w:ascii="Times New Roman" w:hAnsi="Times New Roman" w:eastAsia="宋体" w:cs="Times New Roman"/>
                <w:sz w:val="24"/>
                <w:szCs w:val="22"/>
              </w:rPr>
              <w:t>《合成树脂工业污染物排放标准》</w:t>
            </w:r>
            <w:r>
              <w:rPr>
                <w:rFonts w:hint="eastAsia" w:cs="Times New Roman"/>
                <w:sz w:val="24"/>
                <w:szCs w:val="22"/>
                <w:lang w:eastAsia="zh-CN"/>
              </w:rPr>
              <w:t>（</w:t>
            </w:r>
            <w:r>
              <w:rPr>
                <w:rFonts w:hint="default" w:ascii="Times New Roman" w:hAnsi="Times New Roman" w:eastAsia="宋体" w:cs="Times New Roman"/>
                <w:sz w:val="24"/>
                <w:szCs w:val="22"/>
              </w:rPr>
              <w:t>GB 31572—2015，含2024年修改单</w:t>
            </w:r>
            <w:r>
              <w:rPr>
                <w:rFonts w:hint="eastAsia" w:cs="Times New Roman"/>
                <w:sz w:val="24"/>
                <w:szCs w:val="22"/>
                <w:lang w:eastAsia="zh-CN"/>
              </w:rPr>
              <w:t>）</w:t>
            </w:r>
            <w:r>
              <w:rPr>
                <w:rFonts w:hint="default" w:ascii="Times New Roman" w:hAnsi="Times New Roman" w:eastAsia="宋体" w:cs="Times New Roman"/>
                <w:sz w:val="24"/>
                <w:szCs w:val="22"/>
              </w:rPr>
              <w:t>中表9企业边界大气污染物浓度限值；非甲烷总烃无组织排放同时应符合《挥发性有机物无组织排放控制标准》（GB 37822-2019）表A.1标准特别排放限值</w:t>
            </w:r>
            <w:r>
              <w:rPr>
                <w:rFonts w:hint="eastAsia" w:ascii="Times New Roman" w:hAnsi="Times New Roman" w:eastAsia="宋体" w:cs="Times New Roman"/>
                <w:sz w:val="24"/>
                <w:szCs w:val="22"/>
                <w:lang w:eastAsia="zh-CN"/>
              </w:rPr>
              <w:t>；</w:t>
            </w:r>
            <w:r>
              <w:rPr>
                <w:rFonts w:hint="eastAsia" w:ascii="Times New Roman" w:hAnsi="Times New Roman" w:eastAsia="宋体" w:cs="Times New Roman"/>
                <w:sz w:val="24"/>
                <w:szCs w:val="22"/>
                <w:lang w:val="en-US" w:eastAsia="zh-CN"/>
              </w:rPr>
              <w:t>臭气浓度执行《恶臭污染物排放标准》</w:t>
            </w:r>
            <w:r>
              <w:rPr>
                <w:rFonts w:hint="eastAsia" w:cs="Times New Roman"/>
                <w:sz w:val="24"/>
                <w:szCs w:val="22"/>
                <w:lang w:val="en-US" w:eastAsia="zh-CN"/>
              </w:rPr>
              <w:t>（</w:t>
            </w:r>
            <w:r>
              <w:rPr>
                <w:rFonts w:hint="eastAsia" w:ascii="Times New Roman" w:hAnsi="Times New Roman" w:eastAsia="宋体" w:cs="Times New Roman"/>
                <w:sz w:val="24"/>
                <w:szCs w:val="22"/>
                <w:lang w:val="en-US" w:eastAsia="zh-CN"/>
              </w:rPr>
              <w:t>GB14554-93</w:t>
            </w:r>
            <w:r>
              <w:rPr>
                <w:rFonts w:hint="eastAsia" w:cs="Times New Roman"/>
                <w:sz w:val="24"/>
                <w:szCs w:val="22"/>
                <w:lang w:val="en-US" w:eastAsia="zh-CN"/>
              </w:rPr>
              <w:t>）</w:t>
            </w:r>
            <w:r>
              <w:rPr>
                <w:rFonts w:hint="eastAsia" w:ascii="Times New Roman" w:hAnsi="Times New Roman" w:eastAsia="宋体" w:cs="Times New Roman"/>
                <w:sz w:val="24"/>
                <w:szCs w:val="22"/>
                <w:lang w:val="en-US" w:eastAsia="zh-CN"/>
              </w:rPr>
              <w:t>表1标准限值</w:t>
            </w:r>
            <w:r>
              <w:rPr>
                <w:rFonts w:hint="eastAsia" w:cs="Times New Roman"/>
                <w:sz w:val="24"/>
                <w:szCs w:val="22"/>
                <w:lang w:val="en-US" w:eastAsia="zh-CN"/>
              </w:rPr>
              <w:t>；</w:t>
            </w:r>
            <w:r>
              <w:rPr>
                <w:rFonts w:hint="eastAsia" w:cs="Times New Roman"/>
                <w:sz w:val="24"/>
                <w:szCs w:val="22"/>
                <w:highlight w:val="none"/>
                <w:lang w:val="en-US" w:eastAsia="zh-CN"/>
              </w:rPr>
              <w:t>破碎工序未收集到的粉尘（颗粒物）车间内无组织排放执行</w:t>
            </w:r>
            <w:r>
              <w:rPr>
                <w:rFonts w:hint="eastAsia"/>
              </w:rPr>
              <w:t>《合成树脂工业污染物排放标准》（GB 31572-2015）（含2024年修改单）表9企业边界大气污染物浓度限值</w:t>
            </w:r>
            <w:r>
              <w:rPr>
                <w:rFonts w:hint="eastAsia" w:ascii="Times New Roman" w:hAnsi="Times New Roman" w:eastAsia="宋体" w:cs="Times New Roman"/>
                <w:sz w:val="24"/>
                <w:szCs w:val="22"/>
                <w:lang w:val="en-US" w:eastAsia="zh-CN"/>
              </w:rPr>
              <w:t>；</w:t>
            </w:r>
            <w:r>
              <w:rPr>
                <w:rFonts w:hint="eastAsia" w:ascii="Times New Roman" w:hAnsi="Times New Roman" w:eastAsia="宋体" w:cs="Times New Roman"/>
                <w:sz w:val="24"/>
                <w:szCs w:val="22"/>
                <w:lang w:eastAsia="zh-CN"/>
              </w:rPr>
              <w:t>上述标准具体详见表3.7-</w:t>
            </w:r>
            <w:r>
              <w:rPr>
                <w:rFonts w:hint="eastAsia" w:ascii="Times New Roman" w:hAnsi="Times New Roman" w:eastAsia="宋体" w:cs="Times New Roman"/>
                <w:sz w:val="24"/>
                <w:szCs w:val="22"/>
                <w:lang w:val="en-US" w:eastAsia="zh-CN"/>
              </w:rPr>
              <w:t>4</w:t>
            </w:r>
            <w:r>
              <w:rPr>
                <w:rFonts w:hint="eastAsia" w:ascii="Times New Roman" w:hAnsi="Times New Roman" w:eastAsia="宋体" w:cs="Times New Roman"/>
                <w:sz w:val="24"/>
                <w:szCs w:val="22"/>
                <w:lang w:eastAsia="zh-CN"/>
              </w:rPr>
              <w:t>。</w:t>
            </w:r>
          </w:p>
          <w:p w14:paraId="5010DA70">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表3.7-4 无组织废气污染物排放标准</w:t>
            </w:r>
          </w:p>
          <w:tbl>
            <w:tblPr>
              <w:tblStyle w:val="24"/>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851"/>
              <w:gridCol w:w="1387"/>
              <w:gridCol w:w="4481"/>
            </w:tblGrid>
            <w:tr w14:paraId="4F04F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520" w:type="pct"/>
                  <w:vMerge w:val="restart"/>
                  <w:tcBorders>
                    <w:tl2br w:val="nil"/>
                    <w:tr2bl w:val="nil"/>
                  </w:tcBorders>
                  <w:vAlign w:val="center"/>
                </w:tcPr>
                <w:p w14:paraId="1BA52EB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污染物名称</w:t>
                  </w:r>
                </w:p>
              </w:tc>
              <w:tc>
                <w:tcPr>
                  <w:tcW w:w="1879" w:type="pct"/>
                  <w:gridSpan w:val="2"/>
                  <w:tcBorders>
                    <w:tl2br w:val="nil"/>
                    <w:tr2bl w:val="nil"/>
                  </w:tcBorders>
                  <w:vAlign w:val="center"/>
                </w:tcPr>
                <w:p w14:paraId="237B6CE1">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无组织排放浓度限值</w:t>
                  </w:r>
                </w:p>
              </w:tc>
              <w:tc>
                <w:tcPr>
                  <w:tcW w:w="2600" w:type="pct"/>
                  <w:vMerge w:val="restart"/>
                  <w:tcBorders>
                    <w:tl2br w:val="nil"/>
                    <w:tr2bl w:val="nil"/>
                  </w:tcBorders>
                  <w:vAlign w:val="center"/>
                </w:tcPr>
                <w:p w14:paraId="2018ABC4">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执行标准</w:t>
                  </w:r>
                </w:p>
              </w:tc>
            </w:tr>
            <w:tr w14:paraId="28994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520" w:type="pct"/>
                  <w:vMerge w:val="continue"/>
                  <w:tcBorders>
                    <w:tl2br w:val="nil"/>
                    <w:tr2bl w:val="nil"/>
                  </w:tcBorders>
                  <w:vAlign w:val="center"/>
                </w:tcPr>
                <w:p w14:paraId="626A0C8E">
                  <w:pPr>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074" w:type="pct"/>
                  <w:tcBorders>
                    <w:tl2br w:val="nil"/>
                    <w:tr2bl w:val="nil"/>
                  </w:tcBorders>
                  <w:vAlign w:val="center"/>
                </w:tcPr>
                <w:p w14:paraId="2BA18EC0">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监控点</w:t>
                  </w:r>
                </w:p>
              </w:tc>
              <w:tc>
                <w:tcPr>
                  <w:tcW w:w="804" w:type="pct"/>
                  <w:tcBorders>
                    <w:tl2br w:val="nil"/>
                    <w:tr2bl w:val="nil"/>
                  </w:tcBorders>
                  <w:vAlign w:val="center"/>
                </w:tcPr>
                <w:p w14:paraId="151C349F">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浓度mg/m</w:t>
                  </w:r>
                  <w:r>
                    <w:rPr>
                      <w:rFonts w:hint="eastAsia" w:ascii="Times New Roman" w:hAnsi="Times New Roman" w:eastAsia="宋体" w:cs="Times New Roman"/>
                      <w:b w:val="0"/>
                      <w:bCs w:val="0"/>
                      <w:sz w:val="21"/>
                      <w:szCs w:val="21"/>
                      <w:vertAlign w:val="superscript"/>
                      <w:lang w:val="en-US" w:eastAsia="zh-CN"/>
                    </w:rPr>
                    <w:t>3</w:t>
                  </w:r>
                </w:p>
              </w:tc>
              <w:tc>
                <w:tcPr>
                  <w:tcW w:w="2600" w:type="pct"/>
                  <w:vMerge w:val="continue"/>
                  <w:tcBorders>
                    <w:tl2br w:val="nil"/>
                    <w:tr2bl w:val="nil"/>
                  </w:tcBorders>
                  <w:vAlign w:val="center"/>
                </w:tcPr>
                <w:p w14:paraId="7E3199C4">
                  <w:pPr>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p>
              </w:tc>
            </w:tr>
            <w:tr w14:paraId="0DC5D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20" w:type="pct"/>
                  <w:vMerge w:val="restart"/>
                  <w:tcBorders>
                    <w:tl2br w:val="nil"/>
                    <w:tr2bl w:val="nil"/>
                  </w:tcBorders>
                  <w:vAlign w:val="center"/>
                </w:tcPr>
                <w:p w14:paraId="20D1BD4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非甲烷总烃</w:t>
                  </w:r>
                </w:p>
              </w:tc>
              <w:tc>
                <w:tcPr>
                  <w:tcW w:w="1074" w:type="pct"/>
                  <w:tcBorders>
                    <w:tl2br w:val="nil"/>
                    <w:tr2bl w:val="nil"/>
                  </w:tcBorders>
                  <w:vAlign w:val="center"/>
                </w:tcPr>
                <w:p w14:paraId="5538EC7E">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企业边界</w:t>
                  </w:r>
                </w:p>
              </w:tc>
              <w:tc>
                <w:tcPr>
                  <w:tcW w:w="804" w:type="pct"/>
                  <w:tcBorders>
                    <w:tl2br w:val="nil"/>
                    <w:tr2bl w:val="nil"/>
                  </w:tcBorders>
                  <w:vAlign w:val="center"/>
                </w:tcPr>
                <w:p w14:paraId="7C0BE52B">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4.0</w:t>
                  </w:r>
                </w:p>
              </w:tc>
              <w:tc>
                <w:tcPr>
                  <w:tcW w:w="2600" w:type="pct"/>
                  <w:tcBorders>
                    <w:tl2br w:val="nil"/>
                    <w:tr2bl w:val="nil"/>
                  </w:tcBorders>
                  <w:vAlign w:val="center"/>
                </w:tcPr>
                <w:p w14:paraId="0F6A3044">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sz w:val="21"/>
                      <w:szCs w:val="21"/>
                      <w:vertAlign w:val="baseline"/>
                      <w:lang w:val="en-US" w:eastAsia="zh-CN"/>
                    </w:rPr>
                  </w:pPr>
                  <w:r>
                    <w:rPr>
                      <w:rFonts w:ascii="Times New Roman"/>
                      <w:color w:val="auto"/>
                      <w:u w:val="none"/>
                      <w:lang w:bidi="he-IL"/>
                    </w:rPr>
                    <w:t>《合成树脂工业污染物排放标准》</w:t>
                  </w:r>
                  <w:r>
                    <w:rPr>
                      <w:rFonts w:hint="eastAsia"/>
                      <w:color w:val="auto"/>
                      <w:u w:val="none"/>
                      <w:lang w:eastAsia="zh-CN" w:bidi="he-IL"/>
                    </w:rPr>
                    <w:t>（</w:t>
                  </w:r>
                  <w:r>
                    <w:rPr>
                      <w:rFonts w:ascii="Times New Roman"/>
                      <w:color w:val="auto"/>
                      <w:u w:val="none"/>
                      <w:lang w:bidi="he-IL"/>
                    </w:rPr>
                    <w:t>GB31572-2015</w:t>
                  </w:r>
                  <w:r>
                    <w:rPr>
                      <w:rFonts w:hint="eastAsia"/>
                      <w:color w:val="auto"/>
                      <w:u w:val="none"/>
                      <w:lang w:eastAsia="zh-CN" w:bidi="he-IL"/>
                    </w:rPr>
                    <w:t>）</w:t>
                  </w:r>
                  <w:r>
                    <w:rPr>
                      <w:rFonts w:hint="eastAsia" w:ascii="Times New Roman"/>
                      <w:color w:val="auto"/>
                      <w:u w:val="none"/>
                      <w:lang w:eastAsia="zh-CN" w:bidi="he-IL"/>
                    </w:rPr>
                    <w:t>及修改单</w:t>
                  </w:r>
                  <w:r>
                    <w:rPr>
                      <w:rFonts w:hint="eastAsia" w:ascii="Times New Roman"/>
                      <w:color w:val="auto"/>
                      <w:u w:val="none"/>
                      <w:lang w:bidi="he-IL"/>
                    </w:rPr>
                    <w:t>表</w:t>
                  </w:r>
                  <w:r>
                    <w:rPr>
                      <w:rFonts w:hint="eastAsia" w:ascii="Times New Roman"/>
                      <w:color w:val="auto"/>
                      <w:u w:val="none"/>
                      <w:lang w:val="en-US" w:eastAsia="zh-CN" w:bidi="he-IL"/>
                    </w:rPr>
                    <w:t>9</w:t>
                  </w:r>
                </w:p>
              </w:tc>
            </w:tr>
            <w:tr w14:paraId="6BE0C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520" w:type="pct"/>
                  <w:vMerge w:val="continue"/>
                  <w:tcBorders>
                    <w:tl2br w:val="nil"/>
                    <w:tr2bl w:val="nil"/>
                  </w:tcBorders>
                  <w:vAlign w:val="center"/>
                </w:tcPr>
                <w:p w14:paraId="419DBFBC">
                  <w:pPr>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074" w:type="pct"/>
                  <w:tcBorders>
                    <w:tl2br w:val="nil"/>
                    <w:tr2bl w:val="nil"/>
                  </w:tcBorders>
                  <w:vAlign w:val="center"/>
                </w:tcPr>
                <w:p w14:paraId="341624A6">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厂区内监控点处1小时平均浓度值</w:t>
                  </w:r>
                </w:p>
              </w:tc>
              <w:tc>
                <w:tcPr>
                  <w:tcW w:w="804" w:type="pct"/>
                  <w:tcBorders>
                    <w:tl2br w:val="nil"/>
                    <w:tr2bl w:val="nil"/>
                  </w:tcBorders>
                  <w:vAlign w:val="center"/>
                </w:tcPr>
                <w:p w14:paraId="2655039C">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6</w:t>
                  </w:r>
                </w:p>
              </w:tc>
              <w:tc>
                <w:tcPr>
                  <w:tcW w:w="2600" w:type="pct"/>
                  <w:vMerge w:val="restart"/>
                  <w:tcBorders>
                    <w:tl2br w:val="nil"/>
                    <w:tr2bl w:val="nil"/>
                  </w:tcBorders>
                  <w:vAlign w:val="center"/>
                </w:tcPr>
                <w:p w14:paraId="3B4306B8">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color w:val="000000"/>
                      <w:highlight w:val="none"/>
                    </w:rPr>
                    <w:t>《挥发性有机物无组织排放控制标准》（GB37822-2019）附录A表A.1</w:t>
                  </w:r>
                  <w:r>
                    <w:rPr>
                      <w:rFonts w:hint="eastAsia"/>
                      <w:color w:val="000000"/>
                      <w:highlight w:val="none"/>
                      <w:lang w:val="en-US" w:eastAsia="zh-CN"/>
                    </w:rPr>
                    <w:t>标准特别排放限值</w:t>
                  </w:r>
                </w:p>
              </w:tc>
            </w:tr>
            <w:tr w14:paraId="55A0A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520" w:type="pct"/>
                  <w:vMerge w:val="continue"/>
                  <w:tcBorders>
                    <w:tl2br w:val="nil"/>
                    <w:tr2bl w:val="nil"/>
                  </w:tcBorders>
                  <w:vAlign w:val="center"/>
                </w:tcPr>
                <w:p w14:paraId="78B2D105">
                  <w:pPr>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sz w:val="21"/>
                      <w:szCs w:val="21"/>
                      <w:vertAlign w:val="baseline"/>
                      <w:lang w:val="en-US" w:eastAsia="zh-CN"/>
                    </w:rPr>
                  </w:pPr>
                </w:p>
              </w:tc>
              <w:tc>
                <w:tcPr>
                  <w:tcW w:w="1074" w:type="pct"/>
                  <w:tcBorders>
                    <w:tl2br w:val="nil"/>
                    <w:tr2bl w:val="nil"/>
                  </w:tcBorders>
                  <w:vAlign w:val="center"/>
                </w:tcPr>
                <w:p w14:paraId="523C8C86">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厂区内监控点处任意一次浓度值</w:t>
                  </w:r>
                </w:p>
              </w:tc>
              <w:tc>
                <w:tcPr>
                  <w:tcW w:w="804" w:type="pct"/>
                  <w:tcBorders>
                    <w:tl2br w:val="nil"/>
                    <w:tr2bl w:val="nil"/>
                  </w:tcBorders>
                  <w:vAlign w:val="center"/>
                </w:tcPr>
                <w:p w14:paraId="2D27DDFC">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20</w:t>
                  </w:r>
                </w:p>
              </w:tc>
              <w:tc>
                <w:tcPr>
                  <w:tcW w:w="2600" w:type="pct"/>
                  <w:vMerge w:val="continue"/>
                  <w:tcBorders>
                    <w:tl2br w:val="nil"/>
                    <w:tr2bl w:val="nil"/>
                  </w:tcBorders>
                  <w:vAlign w:val="center"/>
                </w:tcPr>
                <w:p w14:paraId="7C7F621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sz w:val="21"/>
                      <w:szCs w:val="21"/>
                      <w:vertAlign w:val="baseline"/>
                      <w:lang w:val="en-US" w:eastAsia="zh-CN"/>
                    </w:rPr>
                  </w:pPr>
                </w:p>
              </w:tc>
            </w:tr>
            <w:tr w14:paraId="401D1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0" w:type="pct"/>
                  <w:tcBorders>
                    <w:tl2br w:val="nil"/>
                    <w:tr2bl w:val="nil"/>
                  </w:tcBorders>
                  <w:shd w:val="clear" w:color="auto" w:fill="auto"/>
                  <w:vAlign w:val="center"/>
                </w:tcPr>
                <w:p w14:paraId="18A9F89A">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val="0"/>
                      <w:bCs w:val="0"/>
                      <w:kern w:val="2"/>
                      <w:sz w:val="21"/>
                      <w:szCs w:val="21"/>
                      <w:highlight w:val="none"/>
                      <w:vertAlign w:val="baseline"/>
                      <w:lang w:val="en-US" w:eastAsia="zh-CN" w:bidi="ar-SA"/>
                    </w:rPr>
                  </w:pPr>
                  <w:r>
                    <w:rPr>
                      <w:rFonts w:hint="eastAsia" w:ascii="Times New Roman" w:hAnsi="Times New Roman" w:eastAsia="宋体" w:cs="Times New Roman"/>
                      <w:b w:val="0"/>
                      <w:bCs w:val="0"/>
                      <w:sz w:val="21"/>
                      <w:szCs w:val="21"/>
                      <w:highlight w:val="none"/>
                      <w:vertAlign w:val="baseline"/>
                      <w:lang w:val="en-US" w:eastAsia="zh-CN"/>
                    </w:rPr>
                    <w:t>颗粒物</w:t>
                  </w:r>
                </w:p>
              </w:tc>
              <w:tc>
                <w:tcPr>
                  <w:tcW w:w="1074" w:type="pct"/>
                  <w:tcBorders>
                    <w:tl2br w:val="nil"/>
                    <w:tr2bl w:val="nil"/>
                  </w:tcBorders>
                  <w:shd w:val="clear" w:color="auto" w:fill="auto"/>
                  <w:vAlign w:val="center"/>
                </w:tcPr>
                <w:p w14:paraId="2FDF1799">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val="0"/>
                      <w:bCs w:val="0"/>
                      <w:kern w:val="2"/>
                      <w:sz w:val="21"/>
                      <w:szCs w:val="21"/>
                      <w:highlight w:val="none"/>
                      <w:vertAlign w:val="baseline"/>
                      <w:lang w:val="en-US" w:eastAsia="zh-CN" w:bidi="ar-SA"/>
                    </w:rPr>
                  </w:pPr>
                  <w:r>
                    <w:rPr>
                      <w:rFonts w:hint="eastAsia" w:ascii="Times New Roman" w:hAnsi="Times New Roman" w:eastAsia="宋体" w:cs="Times New Roman"/>
                      <w:b w:val="0"/>
                      <w:bCs w:val="0"/>
                      <w:sz w:val="21"/>
                      <w:szCs w:val="21"/>
                      <w:highlight w:val="none"/>
                      <w:vertAlign w:val="baseline"/>
                      <w:lang w:val="en-US" w:eastAsia="zh-CN"/>
                    </w:rPr>
                    <w:t>企业边界</w:t>
                  </w:r>
                </w:p>
              </w:tc>
              <w:tc>
                <w:tcPr>
                  <w:tcW w:w="804" w:type="pct"/>
                  <w:tcBorders>
                    <w:tl2br w:val="nil"/>
                    <w:tr2bl w:val="nil"/>
                  </w:tcBorders>
                  <w:shd w:val="clear" w:color="auto" w:fill="auto"/>
                  <w:vAlign w:val="center"/>
                </w:tcPr>
                <w:p w14:paraId="28CE3D52">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val="0"/>
                      <w:bCs w:val="0"/>
                      <w:kern w:val="2"/>
                      <w:sz w:val="21"/>
                      <w:szCs w:val="21"/>
                      <w:highlight w:val="none"/>
                      <w:vertAlign w:val="baseline"/>
                      <w:lang w:val="en-US" w:eastAsia="zh-CN" w:bidi="ar-SA"/>
                    </w:rPr>
                  </w:pPr>
                  <w:r>
                    <w:rPr>
                      <w:rFonts w:hint="eastAsia" w:ascii="Times New Roman" w:hAnsi="Times New Roman" w:eastAsia="宋体" w:cs="Times New Roman"/>
                      <w:b w:val="0"/>
                      <w:bCs w:val="0"/>
                      <w:sz w:val="21"/>
                      <w:szCs w:val="21"/>
                      <w:highlight w:val="none"/>
                      <w:vertAlign w:val="baseline"/>
                      <w:lang w:val="en-US" w:eastAsia="zh-CN"/>
                    </w:rPr>
                    <w:t>1.0</w:t>
                  </w:r>
                </w:p>
              </w:tc>
              <w:tc>
                <w:tcPr>
                  <w:tcW w:w="2600" w:type="pct"/>
                  <w:tcBorders>
                    <w:tl2br w:val="nil"/>
                    <w:tr2bl w:val="nil"/>
                  </w:tcBorders>
                  <w:shd w:val="clear" w:color="auto" w:fill="auto"/>
                  <w:vAlign w:val="center"/>
                </w:tcPr>
                <w:p w14:paraId="35C68A83">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rPr>
                  </w:pPr>
                  <w:r>
                    <w:rPr>
                      <w:rFonts w:hint="eastAsia"/>
                    </w:rPr>
                    <w:t>《合成树脂工业污染物排放标准》</w:t>
                  </w:r>
                </w:p>
                <w:p w14:paraId="50011A41">
                  <w:pPr>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val="0"/>
                      <w:bCs w:val="0"/>
                      <w:kern w:val="2"/>
                      <w:sz w:val="21"/>
                      <w:szCs w:val="21"/>
                      <w:highlight w:val="none"/>
                      <w:vertAlign w:val="baseline"/>
                      <w:lang w:val="en-US" w:eastAsia="zh-CN" w:bidi="ar-SA"/>
                    </w:rPr>
                  </w:pPr>
                  <w:r>
                    <w:rPr>
                      <w:rFonts w:hint="eastAsia"/>
                    </w:rPr>
                    <w:t>（GB 31572-2015）（含2024年修改单）表9企业边界大气污染物浓度限值</w:t>
                  </w:r>
                </w:p>
              </w:tc>
            </w:tr>
            <w:tr w14:paraId="77F7F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0" w:type="pct"/>
                  <w:tcBorders>
                    <w:tl2br w:val="nil"/>
                    <w:tr2bl w:val="nil"/>
                  </w:tcBorders>
                  <w:vAlign w:val="center"/>
                </w:tcPr>
                <w:p w14:paraId="629DF1F4">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臭气浓度</w:t>
                  </w:r>
                </w:p>
              </w:tc>
              <w:tc>
                <w:tcPr>
                  <w:tcW w:w="1074" w:type="pct"/>
                  <w:tcBorders>
                    <w:tl2br w:val="nil"/>
                    <w:tr2bl w:val="nil"/>
                  </w:tcBorders>
                  <w:vAlign w:val="center"/>
                </w:tcPr>
                <w:p w14:paraId="1FD47C21">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企业边界</w:t>
                  </w:r>
                </w:p>
              </w:tc>
              <w:tc>
                <w:tcPr>
                  <w:tcW w:w="804" w:type="pct"/>
                  <w:tcBorders>
                    <w:tl2br w:val="nil"/>
                    <w:tr2bl w:val="nil"/>
                  </w:tcBorders>
                  <w:vAlign w:val="center"/>
                </w:tcPr>
                <w:p w14:paraId="16D288AD">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20（无量纲）</w:t>
                  </w:r>
                </w:p>
              </w:tc>
              <w:tc>
                <w:tcPr>
                  <w:tcW w:w="2600" w:type="pct"/>
                  <w:tcBorders>
                    <w:tl2br w:val="nil"/>
                    <w:tr2bl w:val="nil"/>
                  </w:tcBorders>
                  <w:vAlign w:val="center"/>
                </w:tcPr>
                <w:p w14:paraId="2168ED8E">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《恶臭污染物排放标准》</w:t>
                  </w:r>
                </w:p>
                <w:p w14:paraId="31C7C88F">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(GB14554-93</w:t>
                  </w:r>
                  <w:r>
                    <w:rPr>
                      <w:rFonts w:hint="eastAsia" w:cs="Times New Roman"/>
                      <w:b w:val="0"/>
                      <w:bCs w:val="0"/>
                      <w:sz w:val="21"/>
                      <w:szCs w:val="21"/>
                      <w:vertAlign w:val="baseline"/>
                      <w:lang w:val="en-US" w:eastAsia="zh-CN"/>
                    </w:rPr>
                    <w:t>）</w:t>
                  </w:r>
                  <w:r>
                    <w:rPr>
                      <w:rFonts w:hint="eastAsia" w:ascii="Times New Roman" w:hAnsi="Times New Roman" w:eastAsia="宋体" w:cs="Times New Roman"/>
                      <w:b w:val="0"/>
                      <w:bCs w:val="0"/>
                      <w:sz w:val="21"/>
                      <w:szCs w:val="21"/>
                      <w:vertAlign w:val="baseline"/>
                      <w:lang w:val="en-US" w:eastAsia="zh-CN"/>
                    </w:rPr>
                    <w:t>表2标准限值-新扩改建标准限值</w:t>
                  </w:r>
                </w:p>
              </w:tc>
            </w:tr>
          </w:tbl>
          <w:p w14:paraId="2B36A3AC">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51" w:name="_Toc9325"/>
            <w:r>
              <w:rPr>
                <w:rFonts w:hint="eastAsia" w:ascii="Times New Roman" w:hAnsi="Times New Roman" w:eastAsia="宋体" w:cs="Times New Roman"/>
                <w:b/>
                <w:bCs/>
                <w:color w:val="auto"/>
                <w:sz w:val="24"/>
                <w:szCs w:val="24"/>
                <w:u w:val="none"/>
                <w:lang w:val="en-US" w:eastAsia="zh-CN"/>
              </w:rPr>
              <w:t>3.7.3噪声</w:t>
            </w:r>
            <w:bookmarkEnd w:id="51"/>
          </w:p>
          <w:p w14:paraId="62BA359E">
            <w:pPr>
              <w:widowControl/>
              <w:spacing w:line="360" w:lineRule="auto"/>
              <w:ind w:firstLine="480" w:firstLineChars="200"/>
              <w:jc w:val="both"/>
              <w:rPr>
                <w:rFonts w:hint="default" w:eastAsia="宋体"/>
                <w:sz w:val="24"/>
                <w:lang w:val="en-US" w:eastAsia="zh-CN"/>
              </w:rPr>
            </w:pPr>
            <w:r>
              <w:rPr>
                <w:sz w:val="24"/>
                <w:lang w:val="zh-CN"/>
              </w:rPr>
              <w:t>项目</w:t>
            </w:r>
            <w:r>
              <w:rPr>
                <w:rFonts w:hint="default" w:ascii="Times New Roman" w:hAnsi="Times New Roman" w:eastAsia="宋体" w:cs="Times New Roman"/>
                <w:color w:val="auto"/>
                <w:sz w:val="24"/>
                <w:szCs w:val="24"/>
              </w:rPr>
              <w:t>运营期</w:t>
            </w:r>
            <w:r>
              <w:rPr>
                <w:sz w:val="24"/>
                <w:lang w:val="zh-CN"/>
              </w:rPr>
              <w:t>厂界噪声排放执行《工业企业厂界环境噪声排放标准》</w:t>
            </w:r>
            <w:r>
              <w:rPr>
                <w:rFonts w:hint="eastAsia"/>
                <w:sz w:val="24"/>
                <w:lang w:val="zh-CN"/>
              </w:rPr>
              <w:t>（</w:t>
            </w:r>
            <w:r>
              <w:rPr>
                <w:sz w:val="24"/>
                <w:lang w:val="zh-CN"/>
              </w:rPr>
              <w:t>GB12348-2008</w:t>
            </w:r>
            <w:r>
              <w:rPr>
                <w:rFonts w:hint="eastAsia"/>
                <w:sz w:val="24"/>
                <w:lang w:val="zh-CN"/>
              </w:rPr>
              <w:t>）</w:t>
            </w:r>
            <w:r>
              <w:rPr>
                <w:rFonts w:hint="eastAsia"/>
                <w:sz w:val="24"/>
                <w:lang w:val="en-US" w:eastAsia="zh-CN"/>
              </w:rPr>
              <w:t>表1</w:t>
            </w:r>
            <w:r>
              <w:rPr>
                <w:sz w:val="24"/>
                <w:lang w:val="zh-CN"/>
              </w:rPr>
              <w:t>中的3类标准。</w:t>
            </w:r>
            <w:r>
              <w:rPr>
                <w:rFonts w:hint="eastAsia"/>
                <w:sz w:val="24"/>
                <w:lang w:val="en-US" w:eastAsia="zh-CN"/>
              </w:rPr>
              <w:t>详见表3.7-5。</w:t>
            </w:r>
          </w:p>
          <w:p w14:paraId="7F021335">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Times New Roman"/>
                <w:b/>
                <w:bCs/>
                <w:color w:val="auto"/>
                <w:sz w:val="24"/>
                <w:szCs w:val="24"/>
                <w:u w:val="none"/>
                <w:lang w:val="en-US" w:eastAsia="zh-CN"/>
              </w:rPr>
            </w:pPr>
            <w:bookmarkStart w:id="52" w:name="_Toc19195"/>
            <w:bookmarkStart w:id="53" w:name="_Toc31199"/>
            <w:bookmarkStart w:id="54" w:name="_Toc25865"/>
            <w:bookmarkStart w:id="55" w:name="_Toc8302"/>
            <w:r>
              <w:rPr>
                <w:rFonts w:hint="default" w:ascii="Times New Roman" w:hAnsi="Times New Roman" w:eastAsia="宋体" w:cs="Times New Roman"/>
                <w:b/>
                <w:bCs/>
                <w:color w:val="auto"/>
                <w:sz w:val="24"/>
                <w:szCs w:val="24"/>
                <w:u w:val="none"/>
                <w:lang w:val="en-US" w:eastAsia="zh-CN"/>
              </w:rPr>
              <w:t>表3.7-5 《工业企业厂界环境噪声排放标准》（GB12348-2008）表1（摘录）</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135"/>
              <w:gridCol w:w="1527"/>
              <w:gridCol w:w="1446"/>
              <w:gridCol w:w="1507"/>
            </w:tblGrid>
            <w:tr w14:paraId="171CB8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2399" w:type="pct"/>
                  <w:tcBorders>
                    <w:tl2br w:val="single" w:color="auto" w:sz="2" w:space="0"/>
                  </w:tcBorders>
                  <w:noWrap w:val="0"/>
                  <w:vAlign w:val="center"/>
                </w:tcPr>
                <w:p w14:paraId="7A0FA6AA">
                  <w:pPr>
                    <w:snapToGrid w:val="0"/>
                    <w:spacing w:line="340" w:lineRule="exact"/>
                    <w:jc w:val="right"/>
                    <w:rPr>
                      <w:snapToGrid w:val="0"/>
                      <w:kern w:val="18"/>
                      <w:szCs w:val="21"/>
                    </w:rPr>
                  </w:pPr>
                  <w:r>
                    <w:rPr>
                      <w:snapToGrid w:val="0"/>
                      <w:kern w:val="18"/>
                      <w:szCs w:val="21"/>
                    </w:rPr>
                    <w:t>时段</w:t>
                  </w:r>
                </w:p>
                <w:p w14:paraId="2953F71A">
                  <w:pPr>
                    <w:snapToGrid w:val="0"/>
                    <w:spacing w:line="340" w:lineRule="exact"/>
                    <w:rPr>
                      <w:snapToGrid w:val="0"/>
                      <w:kern w:val="18"/>
                      <w:szCs w:val="21"/>
                    </w:rPr>
                  </w:pPr>
                  <w:r>
                    <w:rPr>
                      <w:snapToGrid w:val="0"/>
                      <w:kern w:val="18"/>
                      <w:szCs w:val="21"/>
                    </w:rPr>
                    <w:t>厂界外声环境功能区类别</w:t>
                  </w:r>
                </w:p>
              </w:tc>
              <w:tc>
                <w:tcPr>
                  <w:tcW w:w="886" w:type="pct"/>
                  <w:noWrap w:val="0"/>
                  <w:vAlign w:val="center"/>
                </w:tcPr>
                <w:p w14:paraId="50F769CC">
                  <w:pPr>
                    <w:snapToGrid w:val="0"/>
                    <w:spacing w:line="340" w:lineRule="exact"/>
                    <w:jc w:val="center"/>
                    <w:rPr>
                      <w:rFonts w:hint="eastAsia" w:eastAsia="宋体"/>
                      <w:snapToGrid w:val="0"/>
                      <w:kern w:val="18"/>
                      <w:szCs w:val="21"/>
                      <w:lang w:val="en-US" w:eastAsia="zh-CN"/>
                    </w:rPr>
                  </w:pPr>
                  <w:r>
                    <w:rPr>
                      <w:rFonts w:hint="eastAsia"/>
                      <w:snapToGrid w:val="0"/>
                      <w:kern w:val="18"/>
                      <w:szCs w:val="21"/>
                      <w:lang w:val="en-US" w:eastAsia="zh-CN"/>
                    </w:rPr>
                    <w:t>单位</w:t>
                  </w:r>
                </w:p>
              </w:tc>
              <w:tc>
                <w:tcPr>
                  <w:tcW w:w="839" w:type="pct"/>
                  <w:noWrap w:val="0"/>
                  <w:vAlign w:val="center"/>
                </w:tcPr>
                <w:p w14:paraId="1E0DCE97">
                  <w:pPr>
                    <w:snapToGrid w:val="0"/>
                    <w:spacing w:line="340" w:lineRule="exact"/>
                    <w:jc w:val="center"/>
                    <w:rPr>
                      <w:rFonts w:hint="default" w:eastAsia="宋体"/>
                      <w:snapToGrid w:val="0"/>
                      <w:kern w:val="18"/>
                      <w:szCs w:val="21"/>
                      <w:lang w:val="en-US" w:eastAsia="zh-CN"/>
                    </w:rPr>
                  </w:pPr>
                  <w:r>
                    <w:rPr>
                      <w:rFonts w:hint="eastAsia" w:eastAsia="宋体"/>
                      <w:snapToGrid w:val="0"/>
                      <w:kern w:val="18"/>
                      <w:szCs w:val="21"/>
                      <w:lang w:val="en-US" w:eastAsia="zh-CN"/>
                    </w:rPr>
                    <w:t>昼间</w:t>
                  </w:r>
                </w:p>
              </w:tc>
              <w:tc>
                <w:tcPr>
                  <w:tcW w:w="874" w:type="pct"/>
                  <w:noWrap w:val="0"/>
                  <w:vAlign w:val="center"/>
                </w:tcPr>
                <w:p w14:paraId="224C07D4">
                  <w:pPr>
                    <w:snapToGrid w:val="0"/>
                    <w:spacing w:line="340" w:lineRule="exact"/>
                    <w:jc w:val="center"/>
                    <w:rPr>
                      <w:rFonts w:hint="default"/>
                      <w:snapToGrid w:val="0"/>
                      <w:kern w:val="18"/>
                      <w:szCs w:val="21"/>
                      <w:lang w:val="en-US" w:eastAsia="zh-CN"/>
                    </w:rPr>
                  </w:pPr>
                  <w:r>
                    <w:rPr>
                      <w:rFonts w:hint="eastAsia"/>
                      <w:snapToGrid w:val="0"/>
                      <w:kern w:val="18"/>
                      <w:szCs w:val="21"/>
                      <w:lang w:val="en-US" w:eastAsia="zh-CN"/>
                    </w:rPr>
                    <w:t>夜间</w:t>
                  </w:r>
                </w:p>
              </w:tc>
            </w:tr>
            <w:tr w14:paraId="5D05A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99" w:type="pct"/>
                  <w:noWrap w:val="0"/>
                  <w:vAlign w:val="center"/>
                </w:tcPr>
                <w:p w14:paraId="50BA90A3">
                  <w:pPr>
                    <w:snapToGrid w:val="0"/>
                    <w:spacing w:line="340" w:lineRule="exact"/>
                    <w:jc w:val="center"/>
                    <w:rPr>
                      <w:snapToGrid w:val="0"/>
                      <w:kern w:val="18"/>
                      <w:szCs w:val="21"/>
                    </w:rPr>
                  </w:pPr>
                  <w:r>
                    <w:rPr>
                      <w:rFonts w:hint="eastAsia"/>
                      <w:snapToGrid w:val="0"/>
                      <w:kern w:val="18"/>
                      <w:szCs w:val="21"/>
                    </w:rPr>
                    <w:t>3</w:t>
                  </w:r>
                  <w:r>
                    <w:rPr>
                      <w:snapToGrid w:val="0"/>
                      <w:kern w:val="18"/>
                      <w:szCs w:val="21"/>
                    </w:rPr>
                    <w:t>类</w:t>
                  </w:r>
                </w:p>
              </w:tc>
              <w:tc>
                <w:tcPr>
                  <w:tcW w:w="886" w:type="pct"/>
                  <w:noWrap w:val="0"/>
                  <w:vAlign w:val="center"/>
                </w:tcPr>
                <w:p w14:paraId="00A0E510">
                  <w:pPr>
                    <w:snapToGrid w:val="0"/>
                    <w:spacing w:line="340" w:lineRule="exact"/>
                    <w:jc w:val="center"/>
                    <w:rPr>
                      <w:rFonts w:hint="default" w:eastAsia="宋体"/>
                      <w:snapToGrid w:val="0"/>
                      <w:kern w:val="18"/>
                      <w:szCs w:val="21"/>
                      <w:lang w:val="en-US" w:eastAsia="zh-CN"/>
                    </w:rPr>
                  </w:pPr>
                  <w:r>
                    <w:rPr>
                      <w:rFonts w:hint="eastAsia"/>
                      <w:snapToGrid w:val="0"/>
                      <w:kern w:val="18"/>
                      <w:szCs w:val="21"/>
                      <w:lang w:val="en-US" w:eastAsia="zh-CN"/>
                    </w:rPr>
                    <w:t>dB(A)</w:t>
                  </w:r>
                </w:p>
              </w:tc>
              <w:tc>
                <w:tcPr>
                  <w:tcW w:w="839" w:type="pct"/>
                  <w:noWrap w:val="0"/>
                  <w:vAlign w:val="center"/>
                </w:tcPr>
                <w:p w14:paraId="5164E84F">
                  <w:pPr>
                    <w:snapToGrid w:val="0"/>
                    <w:spacing w:line="340" w:lineRule="exact"/>
                    <w:jc w:val="center"/>
                    <w:rPr>
                      <w:rFonts w:hint="default"/>
                      <w:snapToGrid w:val="0"/>
                      <w:kern w:val="18"/>
                      <w:szCs w:val="21"/>
                      <w:lang w:val="en-US"/>
                    </w:rPr>
                  </w:pPr>
                  <w:r>
                    <w:rPr>
                      <w:snapToGrid w:val="0"/>
                      <w:kern w:val="18"/>
                      <w:szCs w:val="21"/>
                    </w:rPr>
                    <w:t>≤</w:t>
                  </w:r>
                  <w:r>
                    <w:rPr>
                      <w:rFonts w:hint="eastAsia"/>
                      <w:snapToGrid w:val="0"/>
                      <w:kern w:val="18"/>
                      <w:szCs w:val="21"/>
                      <w:lang w:val="en-US" w:eastAsia="zh-CN"/>
                    </w:rPr>
                    <w:t>65</w:t>
                  </w:r>
                </w:p>
              </w:tc>
              <w:tc>
                <w:tcPr>
                  <w:tcW w:w="874" w:type="pct"/>
                  <w:noWrap w:val="0"/>
                  <w:vAlign w:val="center"/>
                </w:tcPr>
                <w:p w14:paraId="2A2DF823">
                  <w:pPr>
                    <w:snapToGrid w:val="0"/>
                    <w:spacing w:line="340" w:lineRule="exact"/>
                    <w:jc w:val="center"/>
                    <w:rPr>
                      <w:rFonts w:hint="default" w:eastAsia="宋体"/>
                      <w:snapToGrid w:val="0"/>
                      <w:kern w:val="18"/>
                      <w:szCs w:val="21"/>
                      <w:lang w:val="en-US" w:eastAsia="zh-CN"/>
                    </w:rPr>
                  </w:pPr>
                  <w:r>
                    <w:rPr>
                      <w:snapToGrid w:val="0"/>
                      <w:kern w:val="18"/>
                      <w:szCs w:val="21"/>
                    </w:rPr>
                    <w:t>≤</w:t>
                  </w:r>
                  <w:r>
                    <w:rPr>
                      <w:rFonts w:hint="eastAsia"/>
                      <w:snapToGrid w:val="0"/>
                      <w:kern w:val="18"/>
                      <w:szCs w:val="21"/>
                      <w:lang w:val="en-US" w:eastAsia="zh-CN"/>
                    </w:rPr>
                    <w:t>55</w:t>
                  </w:r>
                </w:p>
              </w:tc>
            </w:tr>
          </w:tbl>
          <w:p w14:paraId="50C059A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56" w:name="_Toc28789"/>
            <w:r>
              <w:rPr>
                <w:rFonts w:hint="eastAsia" w:ascii="Times New Roman" w:hAnsi="Times New Roman" w:eastAsia="宋体" w:cs="Times New Roman"/>
                <w:b/>
                <w:bCs/>
                <w:color w:val="auto"/>
                <w:sz w:val="24"/>
                <w:szCs w:val="24"/>
                <w:u w:val="none"/>
                <w:lang w:val="en-US" w:eastAsia="zh-CN"/>
              </w:rPr>
              <w:t>3.7.4固废</w:t>
            </w:r>
            <w:bookmarkEnd w:id="52"/>
            <w:bookmarkEnd w:id="53"/>
            <w:bookmarkEnd w:id="54"/>
            <w:bookmarkEnd w:id="55"/>
            <w:bookmarkEnd w:id="56"/>
          </w:p>
          <w:p w14:paraId="46F11FE3">
            <w:pPr>
              <w:pStyle w:val="48"/>
              <w:keepNext w:val="0"/>
              <w:keepLines w:val="0"/>
              <w:pageBreakBefore w:val="0"/>
              <w:widowControl w:val="0"/>
              <w:kinsoku/>
              <w:wordWrap/>
              <w:overflowPunct/>
              <w:bidi w:val="0"/>
              <w:snapToGrid/>
              <w:ind w:firstLine="480"/>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lang w:val="en-US" w:eastAsia="zh-CN"/>
              </w:rPr>
              <w:t>运营期项目内产生的一般工业固废</w:t>
            </w:r>
            <w:r>
              <w:rPr>
                <w:rFonts w:hint="eastAsia" w:ascii="Times New Roman" w:hAnsi="Times New Roman" w:eastAsia="宋体" w:cs="Times New Roman"/>
                <w:lang w:val="en-US" w:eastAsia="zh-CN"/>
              </w:rPr>
              <w:t>贮存</w:t>
            </w:r>
            <w:r>
              <w:rPr>
                <w:rFonts w:hint="default" w:ascii="Times New Roman" w:hAnsi="Times New Roman" w:eastAsia="宋体" w:cs="Times New Roman"/>
                <w:lang w:val="en-US" w:eastAsia="zh-CN"/>
              </w:rPr>
              <w:t>应按照</w:t>
            </w:r>
            <w:r>
              <w:rPr>
                <w:rFonts w:hint="eastAsia" w:ascii="Times New Roman" w:hAnsi="Times New Roman" w:eastAsia="宋体" w:cs="Times New Roman"/>
                <w:lang w:val="en-US" w:eastAsia="zh-CN"/>
              </w:rPr>
              <w:t>《一般工业固体废物贮存和填埋污染控制标准》</w:t>
            </w:r>
            <w:r>
              <w:rPr>
                <w:rFonts w:hint="eastAsia" w:cs="Times New Roman"/>
                <w:lang w:val="en-US" w:eastAsia="zh-CN"/>
              </w:rPr>
              <w:t>（</w:t>
            </w:r>
            <w:r>
              <w:rPr>
                <w:rFonts w:hint="eastAsia" w:ascii="Times New Roman" w:hAnsi="Times New Roman" w:eastAsia="宋体" w:cs="Times New Roman"/>
                <w:lang w:val="en-US" w:eastAsia="zh-CN"/>
              </w:rPr>
              <w:t>GB18599-2020</w:t>
            </w:r>
            <w:r>
              <w:rPr>
                <w:rFonts w:hint="eastAsia" w:cs="Times New Roman"/>
                <w:lang w:val="en-US" w:eastAsia="zh-CN"/>
              </w:rPr>
              <w:t>）</w:t>
            </w:r>
            <w:r>
              <w:rPr>
                <w:rFonts w:hint="eastAsia" w:ascii="Times New Roman" w:hAnsi="Times New Roman" w:eastAsia="宋体" w:cs="Times New Roman"/>
                <w:lang w:val="en-US" w:eastAsia="zh-CN"/>
              </w:rPr>
              <w:t>要求</w:t>
            </w:r>
            <w:r>
              <w:rPr>
                <w:rFonts w:hint="default" w:ascii="Times New Roman" w:hAnsi="Times New Roman" w:eastAsia="宋体" w:cs="Times New Roman"/>
                <w:lang w:val="en-US" w:eastAsia="zh-CN"/>
              </w:rPr>
              <w:t>进行</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项目产生的危险废物</w:t>
            </w:r>
            <w:r>
              <w:rPr>
                <w:rFonts w:hint="eastAsia" w:ascii="Times New Roman" w:hAnsi="Times New Roman" w:eastAsia="宋体" w:cs="Times New Roman"/>
                <w:lang w:val="en-US" w:eastAsia="zh-CN"/>
              </w:rPr>
              <w:t>贮存</w:t>
            </w:r>
            <w:r>
              <w:rPr>
                <w:rFonts w:hint="default" w:ascii="Times New Roman" w:hAnsi="Times New Roman" w:eastAsia="宋体" w:cs="Times New Roman"/>
                <w:lang w:val="en-US" w:eastAsia="zh-CN"/>
              </w:rPr>
              <w:t>按照</w:t>
            </w:r>
            <w:r>
              <w:rPr>
                <w:rFonts w:hint="eastAsia" w:ascii="Times New Roman" w:hAnsi="Times New Roman" w:eastAsia="宋体" w:cs="Times New Roman"/>
                <w:lang w:val="en-US" w:eastAsia="zh-CN"/>
              </w:rPr>
              <w:t>《危险废物贮存污染控制标准》</w:t>
            </w:r>
            <w:r>
              <w:rPr>
                <w:rFonts w:hint="eastAsia" w:cs="Times New Roman"/>
                <w:lang w:val="en-US" w:eastAsia="zh-CN"/>
              </w:rPr>
              <w:t>（</w:t>
            </w:r>
            <w:r>
              <w:rPr>
                <w:rFonts w:hint="eastAsia" w:ascii="Times New Roman" w:hAnsi="Times New Roman" w:eastAsia="宋体" w:cs="Times New Roman"/>
                <w:lang w:val="en-US" w:eastAsia="zh-CN"/>
              </w:rPr>
              <w:t>GB18597-2023</w:t>
            </w:r>
            <w:r>
              <w:rPr>
                <w:rFonts w:hint="eastAsia" w:cs="Times New Roman"/>
                <w:lang w:val="en-US" w:eastAsia="zh-CN"/>
              </w:rPr>
              <w:t>）</w:t>
            </w:r>
            <w:r>
              <w:rPr>
                <w:rFonts w:hint="eastAsia" w:ascii="Times New Roman" w:hAnsi="Times New Roman" w:eastAsia="宋体" w:cs="Times New Roman"/>
                <w:lang w:val="en-US" w:eastAsia="zh-CN"/>
              </w:rPr>
              <w:t>要求</w:t>
            </w:r>
            <w:r>
              <w:rPr>
                <w:rFonts w:hint="default" w:ascii="Times New Roman" w:hAnsi="Times New Roman" w:eastAsia="宋体" w:cs="Times New Roman"/>
                <w:lang w:val="en-US" w:eastAsia="zh-CN"/>
              </w:rPr>
              <w:t>进行</w:t>
            </w:r>
            <w:r>
              <w:rPr>
                <w:rFonts w:hint="eastAsia" w:ascii="Times New Roman" w:hAnsi="Times New Roman" w:eastAsia="宋体" w:cs="Times New Roman"/>
                <w:lang w:val="en-US" w:eastAsia="zh-CN"/>
              </w:rPr>
              <w:t>，危险废物识别标志按照《危险废物识别标志设置技术规范》</w:t>
            </w:r>
            <w:r>
              <w:rPr>
                <w:rFonts w:hint="eastAsia" w:cs="Times New Roman"/>
                <w:lang w:val="en-US" w:eastAsia="zh-CN"/>
              </w:rPr>
              <w:t>（</w:t>
            </w:r>
            <w:r>
              <w:rPr>
                <w:rFonts w:hint="eastAsia" w:ascii="Times New Roman" w:hAnsi="Times New Roman" w:eastAsia="宋体" w:cs="Times New Roman"/>
                <w:lang w:val="en-US" w:eastAsia="zh-CN"/>
              </w:rPr>
              <w:t>HJ 1276-2022</w:t>
            </w:r>
            <w:r>
              <w:rPr>
                <w:rFonts w:hint="eastAsia" w:cs="Times New Roman"/>
                <w:lang w:val="en-US" w:eastAsia="zh-CN"/>
              </w:rPr>
              <w:t>）</w:t>
            </w:r>
            <w:r>
              <w:rPr>
                <w:rFonts w:hint="eastAsia" w:ascii="Times New Roman" w:hAnsi="Times New Roman" w:eastAsia="宋体" w:cs="Times New Roman"/>
                <w:lang w:val="en-US" w:eastAsia="zh-CN"/>
              </w:rPr>
              <w:t>要求进行</w:t>
            </w:r>
            <w:r>
              <w:rPr>
                <w:rFonts w:hint="default" w:ascii="Times New Roman" w:hAnsi="Times New Roman" w:eastAsia="宋体" w:cs="Times New Roman"/>
                <w:lang w:val="en-US" w:eastAsia="zh-CN"/>
              </w:rPr>
              <w:t>设置</w:t>
            </w:r>
            <w:r>
              <w:rPr>
                <w:rFonts w:hint="eastAsia" w:ascii="Times New Roman" w:hAnsi="Times New Roman" w:eastAsia="宋体" w:cs="Times New Roman"/>
                <w:lang w:val="en-US" w:eastAsia="zh-CN"/>
              </w:rPr>
              <w:t>，危险废物转移按照《危险废物转移管理办法》要求进行</w:t>
            </w:r>
            <w:r>
              <w:rPr>
                <w:rFonts w:hint="default" w:ascii="Times New Roman" w:hAnsi="Times New Roman" w:eastAsia="宋体" w:cs="Times New Roman"/>
                <w:lang w:val="en-US" w:eastAsia="zh-CN"/>
              </w:rPr>
              <w:t>。</w:t>
            </w:r>
          </w:p>
        </w:tc>
      </w:tr>
      <w:tr w14:paraId="52501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456" w:type="dxa"/>
            <w:vAlign w:val="center"/>
          </w:tcPr>
          <w:p w14:paraId="7266A429">
            <w:pPr>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 w:val="24"/>
                <w:szCs w:val="24"/>
                <w:lang w:val="en-US" w:eastAsia="zh-CN"/>
              </w:rPr>
              <w:t>总量控制指标</w:t>
            </w:r>
          </w:p>
        </w:tc>
        <w:tc>
          <w:tcPr>
            <w:tcW w:w="8749" w:type="dxa"/>
          </w:tcPr>
          <w:p w14:paraId="5672193B">
            <w:pPr>
              <w:pStyle w:val="47"/>
              <w:keepNext w:val="0"/>
              <w:keepLines w:val="0"/>
              <w:pageBreakBefore w:val="0"/>
              <w:widowControl w:val="0"/>
              <w:kinsoku/>
              <w:wordWrap/>
              <w:overflowPunct/>
              <w:topLinePunct w:val="0"/>
              <w:autoSpaceDE/>
              <w:autoSpaceDN/>
              <w:bidi w:val="0"/>
              <w:adjustRightInd w:val="0"/>
              <w:snapToGrid/>
              <w:textAlignment w:val="auto"/>
              <w:outlineLvl w:val="1"/>
              <w:rPr>
                <w:rFonts w:hint="eastAsia"/>
                <w:color w:val="auto"/>
                <w:szCs w:val="28"/>
                <w:lang w:val="en-US" w:eastAsia="zh-CN"/>
              </w:rPr>
            </w:pPr>
            <w:bookmarkStart w:id="57" w:name="_Toc17281"/>
            <w:r>
              <w:rPr>
                <w:rFonts w:hint="eastAsia"/>
                <w:color w:val="auto"/>
                <w:szCs w:val="28"/>
                <w:lang w:val="en-US" w:eastAsia="zh-CN"/>
              </w:rPr>
              <w:t>3.8总量控制</w:t>
            </w:r>
            <w:bookmarkEnd w:id="57"/>
          </w:p>
          <w:p w14:paraId="6A5BE093">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宋体"/>
                <w:color w:val="000000"/>
                <w:lang w:val="en-US" w:eastAsia="zh-CN"/>
              </w:rPr>
            </w:pPr>
            <w:r>
              <w:rPr>
                <w:rFonts w:hint="default" w:ascii="Times New Roman" w:hAnsi="Times New Roman" w:eastAsia="宋体" w:cs="宋体"/>
                <w:color w:val="000000"/>
                <w:lang w:val="en-US" w:eastAsia="zh-CN"/>
              </w:rPr>
              <w:t>根据《福建省环保局关于做好建设项目环保审批污染物总量控制有关工作的通知》和国家主要污染物排放总量控制方案，主要控制污染物指标为COD、NH</w:t>
            </w:r>
            <w:r>
              <w:rPr>
                <w:rFonts w:hint="default" w:ascii="Times New Roman" w:hAnsi="Times New Roman" w:eastAsia="宋体" w:cs="宋体"/>
                <w:color w:val="000000"/>
                <w:vertAlign w:val="subscript"/>
                <w:lang w:val="en-US" w:eastAsia="zh-CN"/>
              </w:rPr>
              <w:t>3</w:t>
            </w:r>
            <w:r>
              <w:rPr>
                <w:rFonts w:hint="default" w:ascii="Times New Roman" w:hAnsi="Times New Roman" w:eastAsia="宋体" w:cs="宋体"/>
                <w:color w:val="000000"/>
                <w:lang w:val="en-US" w:eastAsia="zh-CN"/>
              </w:rPr>
              <w:t>-N、SO</w:t>
            </w:r>
            <w:r>
              <w:rPr>
                <w:rFonts w:hint="default" w:ascii="Times New Roman" w:hAnsi="Times New Roman" w:eastAsia="宋体" w:cs="宋体"/>
                <w:color w:val="000000"/>
                <w:vertAlign w:val="subscript"/>
                <w:lang w:val="en-US" w:eastAsia="zh-CN"/>
              </w:rPr>
              <w:t>2</w:t>
            </w:r>
            <w:r>
              <w:rPr>
                <w:rFonts w:hint="default" w:ascii="Times New Roman" w:hAnsi="Times New Roman" w:eastAsia="宋体" w:cs="宋体"/>
                <w:color w:val="000000"/>
                <w:lang w:val="en-US" w:eastAsia="zh-CN"/>
              </w:rPr>
              <w:t>及NOx</w:t>
            </w:r>
            <w:r>
              <w:rPr>
                <w:rFonts w:hint="eastAsia" w:ascii="Times New Roman" w:hAnsi="Times New Roman" w:cs="宋体"/>
                <w:color w:val="000000"/>
                <w:lang w:val="en-US" w:eastAsia="zh-CN"/>
              </w:rPr>
              <w:t>。</w:t>
            </w:r>
            <w:r>
              <w:rPr>
                <w:rFonts w:hint="default" w:ascii="Times New Roman" w:hAnsi="Times New Roman" w:eastAsia="宋体" w:cs="宋体"/>
                <w:color w:val="000000"/>
                <w:lang w:val="en-US" w:eastAsia="zh-CN"/>
              </w:rPr>
              <w:t>建议性控制指标为VOCs。</w:t>
            </w:r>
          </w:p>
          <w:p w14:paraId="13A63E01">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58" w:name="_Toc4837"/>
            <w:r>
              <w:rPr>
                <w:rFonts w:hint="eastAsia" w:ascii="Times New Roman" w:hAnsi="Times New Roman" w:eastAsia="宋体" w:cs="Times New Roman"/>
                <w:b/>
                <w:bCs/>
                <w:color w:val="auto"/>
                <w:sz w:val="24"/>
                <w:szCs w:val="24"/>
                <w:u w:val="none"/>
                <w:lang w:val="en-US" w:eastAsia="zh-CN"/>
              </w:rPr>
              <w:t>3.8.1废水总量</w:t>
            </w:r>
            <w:bookmarkEnd w:id="58"/>
          </w:p>
          <w:p w14:paraId="54956B36">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宋体"/>
                <w:color w:val="000000"/>
                <w:lang w:val="en-US" w:eastAsia="zh-CN"/>
              </w:rPr>
              <w:t>本项目</w:t>
            </w:r>
            <w:r>
              <w:rPr>
                <w:rFonts w:hint="eastAsia" w:ascii="Times New Roman" w:hAnsi="Times New Roman" w:eastAsia="宋体" w:cs="宋体"/>
                <w:color w:val="000000"/>
                <w:lang w:val="en-US" w:eastAsia="zh-CN"/>
              </w:rPr>
              <w:t>生产过程中仅产生间接冷却水，不外排。</w:t>
            </w:r>
            <w:r>
              <w:rPr>
                <w:rFonts w:hint="default" w:ascii="Times New Roman" w:hAnsi="Times New Roman" w:eastAsia="宋体" w:cs="宋体"/>
                <w:color w:val="000000"/>
                <w:lang w:val="en-US" w:eastAsia="zh-CN"/>
              </w:rPr>
              <w:t>生活</w:t>
            </w:r>
            <w:r>
              <w:rPr>
                <w:rFonts w:hint="eastAsia" w:ascii="Times New Roman" w:hAnsi="Times New Roman" w:eastAsia="宋体" w:cs="宋体"/>
                <w:color w:val="000000"/>
                <w:lang w:val="en-US" w:eastAsia="zh-CN"/>
              </w:rPr>
              <w:t>污水经化粪池</w:t>
            </w:r>
            <w:r>
              <w:rPr>
                <w:rFonts w:hint="default" w:ascii="Times New Roman" w:hAnsi="Times New Roman" w:eastAsia="宋体" w:cs="宋体"/>
                <w:color w:val="000000"/>
                <w:lang w:val="en-US" w:eastAsia="zh-CN"/>
              </w:rPr>
              <w:t>处理后排入市政污水管网，送</w:t>
            </w:r>
            <w:r>
              <w:rPr>
                <w:rFonts w:hint="default" w:ascii="Times New Roman" w:hAnsi="Times New Roman" w:eastAsia="宋体" w:cs="宋体"/>
                <w:color w:val="auto"/>
                <w:lang w:val="en-US" w:eastAsia="zh-CN"/>
              </w:rPr>
              <w:t>往福清市融元污水处理厂进行</w:t>
            </w:r>
            <w:r>
              <w:rPr>
                <w:rFonts w:hint="default" w:ascii="Times New Roman" w:hAnsi="Times New Roman" w:eastAsia="宋体" w:cs="宋体"/>
                <w:color w:val="000000"/>
                <w:lang w:val="en-US" w:eastAsia="zh-CN"/>
              </w:rPr>
              <w:t>处理</w:t>
            </w:r>
            <w:r>
              <w:rPr>
                <w:rFonts w:hint="eastAsia" w:ascii="Times New Roman" w:hAnsi="Times New Roman" w:eastAsia="宋体" w:cs="宋体"/>
                <w:color w:val="000000"/>
                <w:lang w:val="en-US" w:eastAsia="zh-CN"/>
              </w:rPr>
              <w:t>。</w:t>
            </w:r>
            <w:r>
              <w:rPr>
                <w:rFonts w:hint="default" w:ascii="Times New Roman" w:hAnsi="Times New Roman" w:eastAsia="宋体" w:cs="Times New Roman"/>
                <w:color w:val="auto"/>
                <w:sz w:val="24"/>
                <w:szCs w:val="24"/>
                <w:highlight w:val="none"/>
                <w:u w:val="none"/>
              </w:rPr>
              <w:t>根据《福建省环保厅关于进一步明确排污权工作有关问题的通知》</w:t>
            </w:r>
            <w:r>
              <w:rPr>
                <w:rFonts w:hint="eastAsia" w:ascii="Times New Roman" w:hAnsi="Times New Roman"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闽环保财</w:t>
            </w:r>
            <w:r>
              <w:rPr>
                <w:rFonts w:hint="eastAsia" w:ascii="Times New Roman" w:hAnsi="Times New Roman" w:cs="Times New Roman"/>
                <w:color w:val="auto"/>
                <w:sz w:val="24"/>
                <w:szCs w:val="24"/>
                <w:highlight w:val="none"/>
                <w:u w:val="none"/>
                <w:lang w:eastAsia="zh-CN"/>
              </w:rPr>
              <w:t>〔2017〕22号）</w:t>
            </w:r>
            <w:r>
              <w:rPr>
                <w:rFonts w:hint="default" w:ascii="Times New Roman" w:hAnsi="Times New Roman" w:eastAsia="宋体" w:cs="Times New Roman"/>
                <w:color w:val="auto"/>
                <w:sz w:val="24"/>
                <w:szCs w:val="24"/>
                <w:highlight w:val="none"/>
                <w:u w:val="none"/>
              </w:rPr>
              <w:t>，现有工业排污单位的水污染物的初始排污权只核定工业废水部分，</w:t>
            </w:r>
            <w:r>
              <w:rPr>
                <w:rFonts w:hint="eastAsia" w:ascii="Times New Roman" w:hAnsi="Times New Roman" w:eastAsia="宋体" w:cs="Times New Roman"/>
                <w:color w:val="auto"/>
                <w:sz w:val="24"/>
                <w:szCs w:val="24"/>
                <w:highlight w:val="none"/>
                <w:u w:val="none"/>
                <w:lang w:eastAsia="zh-CN"/>
              </w:rPr>
              <w:t>本项目无生产废水的排放，</w:t>
            </w:r>
            <w:r>
              <w:rPr>
                <w:rFonts w:hint="default" w:ascii="Times New Roman" w:hAnsi="Times New Roman" w:eastAsia="宋体" w:cs="Times New Roman"/>
                <w:color w:val="auto"/>
                <w:sz w:val="24"/>
                <w:szCs w:val="24"/>
                <w:highlight w:val="none"/>
                <w:u w:val="none"/>
                <w:lang w:val="en-US" w:eastAsia="zh-CN"/>
              </w:rPr>
              <w:t>项目生活污水排放暂不需要购买相应的排污权指标，因此，</w:t>
            </w:r>
            <w:r>
              <w:rPr>
                <w:rFonts w:hint="default" w:ascii="Times New Roman" w:hAnsi="Times New Roman" w:eastAsia="宋体" w:cs="Times New Roman"/>
                <w:color w:val="auto"/>
                <w:sz w:val="24"/>
                <w:szCs w:val="24"/>
                <w:highlight w:val="none"/>
                <w:u w:val="none"/>
              </w:rPr>
              <w:t>无需申请总量控制指标。</w:t>
            </w:r>
          </w:p>
          <w:p w14:paraId="4DC0CE3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4"/>
                <w:szCs w:val="24"/>
                <w:u w:val="none"/>
                <w:lang w:val="en-US" w:eastAsia="zh-CN"/>
              </w:rPr>
            </w:pPr>
            <w:bookmarkStart w:id="59" w:name="_Toc16722"/>
            <w:r>
              <w:rPr>
                <w:rFonts w:hint="eastAsia" w:ascii="Times New Roman" w:hAnsi="Times New Roman" w:eastAsia="宋体" w:cs="Times New Roman"/>
                <w:b/>
                <w:bCs/>
                <w:color w:val="auto"/>
                <w:sz w:val="24"/>
                <w:szCs w:val="24"/>
                <w:u w:val="none"/>
                <w:lang w:val="en-US" w:eastAsia="zh-CN"/>
              </w:rPr>
              <w:t>3.8.2废气总量</w:t>
            </w:r>
            <w:bookmarkEnd w:id="59"/>
          </w:p>
          <w:p w14:paraId="4068C3BF">
            <w:pPr>
              <w:pStyle w:val="46"/>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kern w:val="2"/>
                <w:szCs w:val="24"/>
                <w:shd w:val="clear" w:color="auto" w:fill="FFFFFF"/>
              </w:rPr>
            </w:pP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rPr>
              <w:t>《福建省环保局关于做好建设项目环保审批污染物总量控制有关工作的通知》</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闽环保监</w:t>
            </w:r>
            <w:r>
              <w:rPr>
                <w:rFonts w:hint="default" w:ascii="Times New Roman" w:hAnsi="Times New Roman" w:eastAsia="宋体" w:cs="Times New Roman"/>
                <w:color w:val="auto"/>
                <w:sz w:val="24"/>
                <w:szCs w:val="24"/>
                <w:highlight w:val="none"/>
                <w:lang w:eastAsia="zh-CN"/>
              </w:rPr>
              <w:t>〔2007〕52号</w:t>
            </w:r>
            <w:r>
              <w:rPr>
                <w:rFonts w:hint="default" w:ascii="Times New Roman" w:hAnsi="Times New Roman" w:eastAsia="宋体" w:cs="Times New Roman"/>
                <w:color w:val="auto"/>
                <w:sz w:val="24"/>
                <w:szCs w:val="24"/>
                <w:highlight w:val="none"/>
              </w:rPr>
              <w:t>文</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和《</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十三五</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主要污染物总量控制规划编制技术指南》的有关总量</w:t>
            </w:r>
            <w:r>
              <w:rPr>
                <w:rFonts w:hint="default" w:ascii="Times New Roman" w:hAnsi="Times New Roman" w:eastAsia="宋体" w:cs="Times New Roman"/>
                <w:color w:val="auto"/>
                <w:sz w:val="24"/>
                <w:szCs w:val="24"/>
                <w:highlight w:val="none"/>
                <w:shd w:val="clear" w:color="auto" w:fill="FFFFFF"/>
              </w:rPr>
              <w:t>调剂</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项目排放的</w:t>
            </w:r>
            <w:r>
              <w:rPr>
                <w:rFonts w:hint="default" w:ascii="Times New Roman" w:hAnsi="Times New Roman" w:eastAsia="宋体" w:cs="Times New Roman"/>
                <w:color w:val="auto"/>
                <w:sz w:val="24"/>
                <w:szCs w:val="24"/>
                <w:highlight w:val="none"/>
              </w:rPr>
              <w:t>废气</w:t>
            </w:r>
            <w:r>
              <w:rPr>
                <w:rFonts w:hint="default" w:ascii="Times New Roman" w:hAnsi="Times New Roman" w:eastAsia="宋体" w:cs="Times New Roman"/>
                <w:color w:val="auto"/>
                <w:sz w:val="24"/>
                <w:szCs w:val="24"/>
                <w:highlight w:val="none"/>
                <w:lang w:val="en-US" w:eastAsia="zh-CN"/>
              </w:rPr>
              <w:t>为颗粒物、VOCs（以非甲烷总烃计），</w:t>
            </w:r>
            <w:r>
              <w:rPr>
                <w:rFonts w:hint="default" w:ascii="Times New Roman" w:hAnsi="Times New Roman" w:eastAsia="宋体" w:cs="Times New Roman"/>
                <w:color w:val="auto"/>
                <w:kern w:val="2"/>
                <w:szCs w:val="24"/>
                <w:shd w:val="clear" w:color="auto" w:fill="FFFFFF"/>
              </w:rPr>
              <w:t>项目废气不涉及SO</w:t>
            </w:r>
            <w:r>
              <w:rPr>
                <w:rFonts w:hint="default" w:ascii="Times New Roman" w:hAnsi="Times New Roman" w:eastAsia="宋体" w:cs="Times New Roman"/>
                <w:color w:val="auto"/>
                <w:kern w:val="2"/>
                <w:szCs w:val="24"/>
                <w:shd w:val="clear" w:color="auto" w:fill="FFFFFF"/>
                <w:vertAlign w:val="subscript"/>
              </w:rPr>
              <w:t>2</w:t>
            </w:r>
            <w:r>
              <w:rPr>
                <w:rFonts w:hint="default" w:ascii="Times New Roman" w:hAnsi="Times New Roman" w:eastAsia="宋体" w:cs="Times New Roman"/>
                <w:color w:val="auto"/>
                <w:kern w:val="2"/>
                <w:szCs w:val="24"/>
                <w:shd w:val="clear" w:color="auto" w:fill="FFFFFF"/>
              </w:rPr>
              <w:t>、NO</w:t>
            </w:r>
            <w:r>
              <w:rPr>
                <w:rFonts w:hint="default" w:ascii="Times New Roman" w:hAnsi="Times New Roman" w:eastAsia="宋体" w:cs="Times New Roman"/>
                <w:color w:val="auto"/>
                <w:kern w:val="2"/>
                <w:szCs w:val="24"/>
                <w:shd w:val="clear" w:color="auto" w:fill="FFFFFF"/>
                <w:vertAlign w:val="subscript"/>
              </w:rPr>
              <w:t>x</w:t>
            </w:r>
            <w:r>
              <w:rPr>
                <w:rFonts w:hint="default" w:ascii="Times New Roman" w:hAnsi="Times New Roman" w:eastAsia="宋体" w:cs="Times New Roman"/>
                <w:color w:val="auto"/>
                <w:kern w:val="2"/>
                <w:szCs w:val="24"/>
                <w:shd w:val="clear" w:color="auto" w:fill="FFFFFF"/>
              </w:rPr>
              <w:t>等属于国家和地方有偿使用和交易的排污权总量指标</w:t>
            </w:r>
            <w:r>
              <w:rPr>
                <w:rFonts w:hint="default" w:ascii="Times New Roman" w:hAnsi="Times New Roman" w:eastAsia="宋体" w:cs="Times New Roman"/>
                <w:color w:val="auto"/>
                <w:kern w:val="2"/>
                <w:szCs w:val="24"/>
                <w:shd w:val="clear" w:color="auto" w:fill="FFFFFF"/>
                <w:lang w:eastAsia="zh-CN"/>
              </w:rPr>
              <w:t>。</w:t>
            </w:r>
            <w:r>
              <w:rPr>
                <w:rFonts w:hint="default" w:ascii="Times New Roman" w:hAnsi="Times New Roman" w:eastAsia="宋体" w:cs="Times New Roman"/>
                <w:color w:val="auto"/>
                <w:kern w:val="2"/>
                <w:szCs w:val="24"/>
                <w:shd w:val="clear" w:color="auto" w:fill="FFFFFF"/>
                <w:lang w:val="en-US" w:eastAsia="zh-CN"/>
              </w:rPr>
              <w:t>因此，本项目废气总量控制指标为VOCs。</w:t>
            </w:r>
            <w:r>
              <w:rPr>
                <w:rFonts w:hint="default" w:ascii="Times New Roman" w:hAnsi="Times New Roman" w:eastAsia="宋体" w:cs="Times New Roman"/>
                <w:color w:val="auto"/>
                <w:kern w:val="2"/>
                <w:szCs w:val="24"/>
                <w:shd w:val="clear" w:color="auto" w:fill="FFFFFF"/>
              </w:rPr>
              <w:t>项目</w:t>
            </w:r>
            <w:r>
              <w:rPr>
                <w:rFonts w:hint="default" w:ascii="Times New Roman" w:hAnsi="Times New Roman" w:eastAsia="宋体" w:cs="Times New Roman"/>
                <w:color w:val="auto"/>
                <w:kern w:val="2"/>
                <w:szCs w:val="24"/>
                <w:shd w:val="clear" w:color="auto" w:fill="FFFFFF"/>
                <w:lang w:eastAsia="zh-CN"/>
              </w:rPr>
              <w:t>废气</w:t>
            </w:r>
            <w:r>
              <w:rPr>
                <w:rFonts w:hint="default" w:ascii="Times New Roman" w:hAnsi="Times New Roman" w:eastAsia="宋体" w:cs="Times New Roman"/>
                <w:color w:val="auto"/>
                <w:kern w:val="2"/>
                <w:szCs w:val="24"/>
                <w:shd w:val="clear" w:color="auto" w:fill="FFFFFF"/>
              </w:rPr>
              <w:t>总量指标详见表3.8-1。</w:t>
            </w:r>
          </w:p>
          <w:p w14:paraId="7BF2A18B">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bCs/>
                <w:color w:val="auto"/>
                <w:sz w:val="24"/>
                <w:szCs w:val="24"/>
                <w:highlight w:val="none"/>
                <w:u w:val="none"/>
                <w:lang w:val="en-GB" w:eastAsia="zh-CN"/>
              </w:rPr>
              <w:t>表3.</w:t>
            </w:r>
            <w:r>
              <w:rPr>
                <w:rFonts w:hint="eastAsia" w:ascii="Times New Roman" w:hAnsi="Times New Roman" w:eastAsia="宋体" w:cs="Times New Roman"/>
                <w:b/>
                <w:bCs/>
                <w:color w:val="auto"/>
                <w:sz w:val="24"/>
                <w:szCs w:val="24"/>
                <w:highlight w:val="none"/>
                <w:u w:val="none"/>
                <w:lang w:val="en-US" w:eastAsia="zh-CN"/>
              </w:rPr>
              <w:t>9</w:t>
            </w:r>
            <w:r>
              <w:rPr>
                <w:rFonts w:hint="default" w:ascii="Times New Roman" w:hAnsi="Times New Roman" w:eastAsia="宋体" w:cs="Times New Roman"/>
                <w:b/>
                <w:bCs/>
                <w:color w:val="auto"/>
                <w:sz w:val="24"/>
                <w:szCs w:val="24"/>
                <w:highlight w:val="none"/>
                <w:u w:val="none"/>
                <w:lang w:val="en-GB" w:eastAsia="zh-CN"/>
              </w:rPr>
              <w:t>-</w:t>
            </w:r>
            <w:r>
              <w:rPr>
                <w:rFonts w:hint="eastAsia" w:ascii="Times New Roman" w:hAnsi="Times New Roman" w:eastAsia="宋体" w:cs="Times New Roman"/>
                <w:b/>
                <w:bCs/>
                <w:color w:val="auto"/>
                <w:sz w:val="24"/>
                <w:szCs w:val="24"/>
                <w:highlight w:val="none"/>
                <w:u w:val="none"/>
                <w:lang w:val="en-US" w:eastAsia="zh-CN"/>
              </w:rPr>
              <w:t xml:space="preserve">1 </w:t>
            </w:r>
            <w:r>
              <w:rPr>
                <w:rFonts w:hint="default" w:ascii="Times New Roman" w:hAnsi="Times New Roman" w:eastAsia="宋体" w:cs="Times New Roman"/>
                <w:b/>
                <w:bCs/>
                <w:color w:val="auto"/>
                <w:sz w:val="24"/>
                <w:szCs w:val="24"/>
                <w:highlight w:val="none"/>
                <w:u w:val="none"/>
                <w:lang w:val="en-GB" w:eastAsia="zh-CN"/>
              </w:rPr>
              <w:t>项目废气污染物排放总量指标一览表</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745"/>
              <w:gridCol w:w="1834"/>
              <w:gridCol w:w="1819"/>
              <w:gridCol w:w="2219"/>
            </w:tblGrid>
            <w:tr w14:paraId="77F4D6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592" w:type="pct"/>
                  <w:noWrap w:val="0"/>
                  <w:vAlign w:val="center"/>
                </w:tcPr>
                <w:p w14:paraId="582D1B3D">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snapToGrid w:val="0"/>
                      <w:color w:val="auto"/>
                      <w:kern w:val="18"/>
                      <w:sz w:val="21"/>
                      <w:szCs w:val="21"/>
                      <w:lang w:val="en-US" w:eastAsia="zh-CN"/>
                    </w:rPr>
                  </w:pPr>
                  <w:r>
                    <w:rPr>
                      <w:rFonts w:hint="eastAsia" w:ascii="Times New Roman" w:hAnsi="Times New Roman" w:eastAsia="宋体" w:cs="Times New Roman"/>
                      <w:snapToGrid w:val="0"/>
                      <w:color w:val="auto"/>
                      <w:kern w:val="18"/>
                      <w:sz w:val="21"/>
                      <w:szCs w:val="21"/>
                      <w:lang w:val="en-US" w:eastAsia="zh-CN"/>
                    </w:rPr>
                    <w:t>污染物</w:t>
                  </w:r>
                </w:p>
              </w:tc>
              <w:tc>
                <w:tcPr>
                  <w:tcW w:w="1064" w:type="pct"/>
                  <w:noWrap w:val="0"/>
                  <w:vAlign w:val="center"/>
                </w:tcPr>
                <w:p w14:paraId="3AD2E0B6">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napToGrid w:val="0"/>
                      <w:color w:val="auto"/>
                      <w:kern w:val="18"/>
                      <w:sz w:val="21"/>
                      <w:szCs w:val="21"/>
                      <w:lang w:val="en-US" w:eastAsia="zh-CN"/>
                    </w:rPr>
                  </w:pPr>
                  <w:r>
                    <w:rPr>
                      <w:rFonts w:hint="eastAsia" w:ascii="Times New Roman" w:hAnsi="Times New Roman" w:eastAsia="宋体" w:cs="Times New Roman"/>
                      <w:snapToGrid w:val="0"/>
                      <w:color w:val="auto"/>
                      <w:kern w:val="18"/>
                      <w:sz w:val="21"/>
                      <w:szCs w:val="21"/>
                      <w:lang w:val="en-US" w:eastAsia="zh-CN"/>
                    </w:rPr>
                    <w:t>有组织排放量</w:t>
                  </w:r>
                </w:p>
              </w:tc>
              <w:tc>
                <w:tcPr>
                  <w:tcW w:w="1055" w:type="pct"/>
                  <w:noWrap w:val="0"/>
                  <w:vAlign w:val="center"/>
                </w:tcPr>
                <w:p w14:paraId="25C12D04">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napToGrid w:val="0"/>
                      <w:color w:val="auto"/>
                      <w:kern w:val="18"/>
                      <w:sz w:val="21"/>
                      <w:szCs w:val="21"/>
                    </w:rPr>
                  </w:pPr>
                  <w:r>
                    <w:rPr>
                      <w:rFonts w:hint="eastAsia" w:ascii="Times New Roman" w:hAnsi="Times New Roman" w:eastAsia="宋体" w:cs="Times New Roman"/>
                      <w:snapToGrid w:val="0"/>
                      <w:color w:val="auto"/>
                      <w:kern w:val="18"/>
                      <w:sz w:val="21"/>
                      <w:szCs w:val="21"/>
                      <w:lang w:val="en-US" w:eastAsia="zh-CN"/>
                    </w:rPr>
                    <w:t>无组织排放量</w:t>
                  </w:r>
                </w:p>
              </w:tc>
              <w:tc>
                <w:tcPr>
                  <w:tcW w:w="1287" w:type="pct"/>
                  <w:noWrap w:val="0"/>
                  <w:vAlign w:val="center"/>
                </w:tcPr>
                <w:p w14:paraId="09ED7B3C">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napToGrid w:val="0"/>
                      <w:color w:val="auto"/>
                      <w:kern w:val="18"/>
                      <w:sz w:val="21"/>
                      <w:szCs w:val="21"/>
                      <w:lang w:val="en-US" w:eastAsia="zh-CN"/>
                    </w:rPr>
                  </w:pPr>
                  <w:r>
                    <w:rPr>
                      <w:rFonts w:hint="eastAsia" w:ascii="Times New Roman" w:hAnsi="Times New Roman" w:eastAsia="宋体" w:cs="Times New Roman"/>
                      <w:snapToGrid w:val="0"/>
                      <w:color w:val="auto"/>
                      <w:kern w:val="18"/>
                      <w:sz w:val="21"/>
                      <w:szCs w:val="21"/>
                      <w:lang w:val="en-US" w:eastAsia="zh-CN"/>
                    </w:rPr>
                    <w:t>全厂合计排放量</w:t>
                  </w:r>
                </w:p>
              </w:tc>
            </w:tr>
            <w:tr w14:paraId="1C8633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4" w:hRule="atLeast"/>
              </w:trPr>
              <w:tc>
                <w:tcPr>
                  <w:tcW w:w="1592" w:type="pct"/>
                  <w:noWrap w:val="0"/>
                  <w:vAlign w:val="center"/>
                </w:tcPr>
                <w:p w14:paraId="4CA98D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非甲烷总烃</w:t>
                  </w:r>
                  <w:r>
                    <w:rPr>
                      <w:rFonts w:hint="eastAsia" w:ascii="Times New Roman" w:hAnsi="Times New Roman" w:eastAsia="宋体" w:cs="Times New Roman"/>
                      <w:color w:val="auto"/>
                      <w:kern w:val="0"/>
                      <w:sz w:val="21"/>
                      <w:szCs w:val="21"/>
                      <w:lang w:val="en-US" w:eastAsia="zh-CN"/>
                    </w:rPr>
                    <w:t>（VOCs）</w:t>
                  </w:r>
                  <w:r>
                    <w:rPr>
                      <w:rFonts w:hint="eastAsia" w:cs="Times New Roman"/>
                      <w:color w:val="auto"/>
                      <w:kern w:val="0"/>
                      <w:sz w:val="21"/>
                      <w:szCs w:val="21"/>
                      <w:lang w:val="en-US" w:eastAsia="zh-CN"/>
                    </w:rPr>
                    <w:t>（t/a）</w:t>
                  </w:r>
                </w:p>
              </w:tc>
              <w:tc>
                <w:tcPr>
                  <w:tcW w:w="1064" w:type="pct"/>
                  <w:noWrap w:val="0"/>
                  <w:vAlign w:val="center"/>
                </w:tcPr>
                <w:p w14:paraId="198944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0.0179</w:t>
                  </w:r>
                </w:p>
              </w:tc>
              <w:tc>
                <w:tcPr>
                  <w:tcW w:w="1055" w:type="pct"/>
                  <w:noWrap w:val="0"/>
                  <w:vAlign w:val="center"/>
                </w:tcPr>
                <w:p w14:paraId="342388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0.0179</w:t>
                  </w:r>
                </w:p>
              </w:tc>
              <w:tc>
                <w:tcPr>
                  <w:tcW w:w="1287" w:type="pct"/>
                  <w:noWrap w:val="0"/>
                  <w:vAlign w:val="center"/>
                </w:tcPr>
                <w:p w14:paraId="70C38E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0.0358</w:t>
                  </w:r>
                </w:p>
              </w:tc>
            </w:tr>
          </w:tbl>
          <w:p w14:paraId="22246E3D">
            <w:pPr>
              <w:pStyle w:val="46"/>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kern w:val="2"/>
                <w:szCs w:val="24"/>
                <w:shd w:val="clear" w:color="auto" w:fill="FFFFFF"/>
                <w:lang w:val="en-US" w:eastAsia="zh-CN"/>
              </w:rPr>
            </w:pPr>
            <w:r>
              <w:rPr>
                <w:rFonts w:hint="eastAsia" w:ascii="Times New Roman" w:hAnsi="Times New Roman" w:eastAsia="宋体" w:cs="Times New Roman"/>
                <w:color w:val="auto"/>
                <w:kern w:val="2"/>
                <w:szCs w:val="24"/>
                <w:shd w:val="clear" w:color="auto" w:fill="FFFFFF"/>
                <w:lang w:val="en-US" w:eastAsia="zh-CN"/>
              </w:rPr>
              <w:t>根据</w:t>
            </w:r>
            <w:r>
              <w:rPr>
                <w:rFonts w:hint="default" w:ascii="Times New Roman" w:hAnsi="Times New Roman" w:eastAsia="宋体" w:cs="Times New Roman"/>
                <w:color w:val="auto"/>
                <w:kern w:val="2"/>
                <w:szCs w:val="24"/>
                <w:shd w:val="clear" w:color="auto" w:fill="FFFFFF"/>
                <w:lang w:val="en-US" w:eastAsia="zh-CN"/>
              </w:rPr>
              <w:t>福建省环保厅关于印发《福建省建设项目主要污染物排放总量指标管理办法（试行）》的通知</w:t>
            </w:r>
            <w:r>
              <w:rPr>
                <w:rFonts w:hint="eastAsia" w:ascii="Times New Roman" w:hAnsi="Times New Roman" w:eastAsia="宋体" w:cs="Times New Roman"/>
                <w:color w:val="auto"/>
                <w:kern w:val="2"/>
                <w:szCs w:val="24"/>
                <w:shd w:val="clear" w:color="auto" w:fill="FFFFFF"/>
                <w:lang w:val="en-US" w:eastAsia="zh-CN"/>
              </w:rPr>
              <w:t>（闽环发〔2014〕13号）：“</w:t>
            </w:r>
            <w:r>
              <w:rPr>
                <w:rFonts w:hint="default" w:ascii="Times New Roman" w:hAnsi="Times New Roman" w:eastAsia="宋体" w:cs="Times New Roman"/>
                <w:color w:val="auto"/>
                <w:kern w:val="2"/>
                <w:szCs w:val="24"/>
                <w:shd w:val="clear" w:color="auto" w:fill="FFFFFF"/>
                <w:lang w:val="en-US" w:eastAsia="zh-CN"/>
              </w:rPr>
              <w:t>第十条实行重点区域和行业总量倍量调剂，其倍量调剂比例为以下各单项比例的乘积：（四）工业园区外的工业企业的新增排放量，按不低于1.2倍调剂</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根据《福州市</w:t>
            </w:r>
            <w:r>
              <w:rPr>
                <w:rFonts w:hint="eastAsia" w:ascii="Times New Roman" w:hAnsi="Times New Roman" w:eastAsia="宋体" w:cs="Times New Roman"/>
                <w:color w:val="auto"/>
                <w:kern w:val="2"/>
                <w:szCs w:val="24"/>
                <w:shd w:val="clear" w:color="auto" w:fill="FFFFFF"/>
                <w:lang w:val="en-US" w:eastAsia="zh-CN"/>
              </w:rPr>
              <w:t>生态环境局</w:t>
            </w:r>
            <w:r>
              <w:rPr>
                <w:rFonts w:hint="default" w:ascii="Times New Roman" w:hAnsi="Times New Roman" w:eastAsia="宋体" w:cs="Times New Roman"/>
                <w:color w:val="auto"/>
                <w:kern w:val="2"/>
                <w:szCs w:val="24"/>
                <w:shd w:val="clear" w:color="auto" w:fill="FFFFFF"/>
                <w:lang w:val="en-US" w:eastAsia="zh-CN"/>
              </w:rPr>
              <w:t>关于印发福州市</w:t>
            </w:r>
            <w:r>
              <w:rPr>
                <w:rFonts w:hint="eastAsia" w:ascii="Times New Roman" w:hAnsi="Times New Roman" w:eastAsia="宋体" w:cs="Times New Roman"/>
                <w:color w:val="auto"/>
                <w:kern w:val="2"/>
                <w:szCs w:val="24"/>
                <w:shd w:val="clear" w:color="auto" w:fill="FFFFFF"/>
                <w:lang w:val="en-US" w:eastAsia="zh-CN"/>
              </w:rPr>
              <w:t>大气污染联防联控联治工作方案的通知</w:t>
            </w:r>
            <w:r>
              <w:rPr>
                <w:rFonts w:hint="default" w:ascii="Times New Roman" w:hAnsi="Times New Roman" w:eastAsia="宋体" w:cs="Times New Roman"/>
                <w:color w:val="auto"/>
                <w:kern w:val="2"/>
                <w:szCs w:val="24"/>
                <w:shd w:val="clear" w:color="auto" w:fill="FFFFFF"/>
                <w:lang w:val="en-US" w:eastAsia="zh-CN"/>
              </w:rPr>
              <w:t>》榕环保综</w:t>
            </w:r>
            <w:r>
              <w:rPr>
                <w:rFonts w:hint="eastAsia" w:ascii="Times New Roman" w:hAnsi="Times New Roman" w:eastAsia="宋体" w:cs="Times New Roman"/>
                <w:color w:val="auto"/>
                <w:kern w:val="2"/>
                <w:szCs w:val="24"/>
                <w:shd w:val="clear" w:color="auto" w:fill="FFFFFF"/>
                <w:lang w:val="en-US" w:eastAsia="zh-CN"/>
              </w:rPr>
              <w:t>〔2018〕386号</w:t>
            </w:r>
            <w:r>
              <w:rPr>
                <w:rFonts w:hint="default" w:ascii="Times New Roman" w:hAnsi="Times New Roman" w:eastAsia="宋体" w:cs="Times New Roman"/>
                <w:color w:val="auto"/>
                <w:kern w:val="2"/>
                <w:szCs w:val="24"/>
                <w:shd w:val="clear" w:color="auto" w:fill="FFFFFF"/>
                <w:lang w:val="en-US" w:eastAsia="zh-CN"/>
              </w:rPr>
              <w:t>：VOCs排放实行区域内倍量替代，新、改扩建涉VOCs排放项目，应从源头加强控制，使用低</w:t>
            </w:r>
            <w:r>
              <w:rPr>
                <w:rFonts w:hint="eastAsia" w:ascii="Times New Roman" w:hAnsi="Times New Roman"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无</w:t>
            </w:r>
            <w:r>
              <w:rPr>
                <w:rFonts w:hint="eastAsia" w:ascii="Times New Roman" w:hAnsi="Times New Roman"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VOCs含量的原辅材料，加强废气收集、安装高效治理设施</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根据《2022年度福州市蓝天碧水碧海净土保卫战行动计划》</w:t>
            </w:r>
            <w:r>
              <w:rPr>
                <w:rFonts w:hint="eastAsia" w:ascii="Times New Roman" w:hAnsi="Times New Roman"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榕环委办</w:t>
            </w:r>
            <w:r>
              <w:rPr>
                <w:rFonts w:hint="eastAsia" w:ascii="Times New Roman" w:hAnsi="Times New Roman" w:eastAsia="宋体" w:cs="Times New Roman"/>
                <w:color w:val="auto"/>
                <w:kern w:val="2"/>
                <w:szCs w:val="24"/>
                <w:shd w:val="clear" w:color="auto" w:fill="FFFFFF"/>
                <w:lang w:val="en-US" w:eastAsia="zh-CN"/>
              </w:rPr>
              <w:t>〔2022〕49号</w:t>
            </w:r>
            <w:r>
              <w:rPr>
                <w:rFonts w:hint="eastAsia" w:ascii="Times New Roman" w:hAnsi="Times New Roman" w:cs="Times New Roman"/>
                <w:color w:val="auto"/>
                <w:kern w:val="2"/>
                <w:szCs w:val="24"/>
                <w:shd w:val="clear" w:color="auto" w:fill="FFFFFF"/>
                <w:lang w:val="en-US" w:eastAsia="zh-CN"/>
              </w:rPr>
              <w:t>）</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实施新建项目VOC</w:t>
            </w:r>
            <w:r>
              <w:rPr>
                <w:rFonts w:hint="eastAsia" w:ascii="Times New Roman" w:hAnsi="Times New Roman" w:eastAsia="宋体" w:cs="Times New Roman"/>
                <w:color w:val="auto"/>
                <w:kern w:val="2"/>
                <w:szCs w:val="24"/>
                <w:shd w:val="clear" w:color="auto" w:fill="FFFFFF"/>
                <w:lang w:val="en-US" w:eastAsia="zh-CN"/>
              </w:rPr>
              <w:t>s</w:t>
            </w:r>
            <w:r>
              <w:rPr>
                <w:rFonts w:hint="default" w:ascii="Times New Roman" w:hAnsi="Times New Roman" w:eastAsia="宋体" w:cs="Times New Roman"/>
                <w:color w:val="auto"/>
                <w:kern w:val="2"/>
                <w:szCs w:val="24"/>
                <w:shd w:val="clear" w:color="auto" w:fill="FFFFFF"/>
                <w:lang w:val="en-US" w:eastAsia="zh-CN"/>
              </w:rPr>
              <w:t>排放区域内倍量替代。</w:t>
            </w:r>
            <w:r>
              <w:rPr>
                <w:rFonts w:hint="eastAsia" w:ascii="Times New Roman" w:hAnsi="Times New Roman" w:eastAsia="宋体" w:cs="Times New Roman"/>
                <w:color w:val="auto"/>
                <w:kern w:val="2"/>
                <w:szCs w:val="24"/>
                <w:shd w:val="clear" w:color="auto" w:fill="FFFFFF"/>
                <w:lang w:val="en-US" w:eastAsia="zh-CN"/>
              </w:rPr>
              <w:t>本项目VOCs（以非甲烷总烃计）的排放总量为</w:t>
            </w:r>
            <w:r>
              <w:rPr>
                <w:rFonts w:hint="eastAsia" w:ascii="Times New Roman" w:hAnsi="Times New Roman" w:eastAsia="宋体" w:cs="Times New Roman"/>
                <w:color w:val="auto"/>
                <w:kern w:val="2"/>
                <w:szCs w:val="24"/>
                <w:highlight w:val="none"/>
                <w:shd w:val="clear" w:color="auto" w:fill="FFFFFF"/>
                <w:lang w:val="en-US" w:eastAsia="zh-CN"/>
              </w:rPr>
              <w:t>：</w:t>
            </w:r>
            <w:r>
              <w:rPr>
                <w:rFonts w:hint="eastAsia" w:ascii="Times New Roman" w:hAnsi="Times New Roman" w:cs="Times New Roman"/>
                <w:color w:val="auto"/>
                <w:kern w:val="2"/>
                <w:szCs w:val="24"/>
                <w:highlight w:val="none"/>
                <w:shd w:val="clear" w:color="auto" w:fill="FFFFFF"/>
                <w:lang w:val="en-US" w:eastAsia="zh-CN"/>
              </w:rPr>
              <w:t>0.0358</w:t>
            </w:r>
            <w:r>
              <w:rPr>
                <w:rFonts w:hint="eastAsia" w:ascii="Times New Roman" w:hAnsi="Times New Roman" w:eastAsia="宋体" w:cs="Times New Roman"/>
                <w:color w:val="auto"/>
                <w:kern w:val="2"/>
                <w:szCs w:val="24"/>
                <w:highlight w:val="none"/>
                <w:shd w:val="clear" w:color="auto" w:fill="FFFFFF"/>
                <w:lang w:val="en-US" w:eastAsia="zh-CN"/>
              </w:rPr>
              <w:t>t/a</w:t>
            </w:r>
            <w:r>
              <w:rPr>
                <w:rFonts w:hint="eastAsia" w:ascii="Times New Roman" w:hAnsi="Times New Roman" w:eastAsia="宋体" w:cs="Times New Roman"/>
                <w:color w:val="auto"/>
                <w:kern w:val="2"/>
                <w:szCs w:val="24"/>
                <w:shd w:val="clear" w:color="auto" w:fill="FFFFFF"/>
                <w:lang w:val="en-US" w:eastAsia="zh-CN"/>
              </w:rPr>
              <w:t>。因此，本项目排放的VOCs总量</w:t>
            </w:r>
            <w:r>
              <w:rPr>
                <w:rFonts w:hint="default" w:ascii="Times New Roman" w:hAnsi="Times New Roman" w:eastAsia="宋体" w:cs="Times New Roman"/>
                <w:color w:val="auto"/>
                <w:kern w:val="2"/>
                <w:szCs w:val="24"/>
                <w:shd w:val="clear" w:color="auto" w:fill="FFFFFF"/>
                <w:lang w:val="en-US" w:eastAsia="zh-CN"/>
              </w:rPr>
              <w:t>由建设单位向</w:t>
            </w:r>
            <w:r>
              <w:rPr>
                <w:rFonts w:hint="eastAsia" w:ascii="Times New Roman" w:hAnsi="Times New Roman" w:eastAsia="宋体" w:cs="Times New Roman"/>
                <w:color w:val="auto"/>
                <w:kern w:val="2"/>
                <w:szCs w:val="24"/>
                <w:shd w:val="clear" w:color="auto" w:fill="FFFFFF"/>
                <w:lang w:val="en-US" w:eastAsia="zh-CN"/>
              </w:rPr>
              <w:t>福州市福清生态环境局</w:t>
            </w:r>
            <w:r>
              <w:rPr>
                <w:rFonts w:hint="default" w:ascii="Times New Roman" w:hAnsi="Times New Roman" w:eastAsia="宋体" w:cs="Times New Roman"/>
                <w:color w:val="auto"/>
                <w:kern w:val="2"/>
                <w:szCs w:val="24"/>
                <w:shd w:val="clear" w:color="auto" w:fill="FFFFFF"/>
                <w:lang w:val="en-US" w:eastAsia="zh-CN"/>
              </w:rPr>
              <w:t>申请区域</w:t>
            </w:r>
            <w:r>
              <w:rPr>
                <w:rFonts w:hint="eastAsia" w:ascii="Times New Roman" w:hAnsi="Times New Roman" w:eastAsia="宋体" w:cs="Times New Roman"/>
                <w:color w:val="auto"/>
                <w:kern w:val="2"/>
                <w:szCs w:val="24"/>
                <w:shd w:val="clear" w:color="auto" w:fill="FFFFFF"/>
                <w:lang w:val="en-US" w:eastAsia="zh-CN"/>
              </w:rPr>
              <w:t>倍量</w:t>
            </w:r>
            <w:r>
              <w:rPr>
                <w:rFonts w:hint="default" w:ascii="Times New Roman" w:hAnsi="Times New Roman" w:eastAsia="宋体" w:cs="Times New Roman"/>
                <w:color w:val="auto"/>
                <w:kern w:val="2"/>
                <w:szCs w:val="24"/>
                <w:shd w:val="clear" w:color="auto" w:fill="FFFFFF"/>
                <w:lang w:val="en-US" w:eastAsia="zh-CN"/>
              </w:rPr>
              <w:t>替代</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建设单位承诺在项目投产前取得</w:t>
            </w:r>
            <w:r>
              <w:rPr>
                <w:rFonts w:hint="eastAsia" w:ascii="Times New Roman" w:hAnsi="Times New Roman" w:eastAsia="宋体" w:cs="Times New Roman"/>
                <w:color w:val="auto"/>
                <w:kern w:val="2"/>
                <w:szCs w:val="24"/>
                <w:shd w:val="clear" w:color="auto" w:fill="FFFFFF"/>
                <w:lang w:val="en-US" w:eastAsia="zh-CN"/>
              </w:rPr>
              <w:t>各污染</w:t>
            </w:r>
            <w:r>
              <w:rPr>
                <w:rFonts w:hint="default" w:ascii="Times New Roman" w:hAnsi="Times New Roman" w:eastAsia="宋体" w:cs="Times New Roman"/>
                <w:color w:val="auto"/>
                <w:kern w:val="2"/>
                <w:szCs w:val="24"/>
                <w:shd w:val="clear" w:color="auto" w:fill="FFFFFF"/>
                <w:lang w:val="en-US" w:eastAsia="zh-CN"/>
              </w:rPr>
              <w:t>VOCs</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以非甲烷总烃计</w:t>
            </w:r>
            <w:r>
              <w:rPr>
                <w:rFonts w:hint="eastAsia" w:ascii="Times New Roman" w:hAnsi="Times New Roman" w:eastAsia="宋体" w:cs="Times New Roman"/>
                <w:color w:val="auto"/>
                <w:kern w:val="2"/>
                <w:szCs w:val="24"/>
                <w:shd w:val="clear" w:color="auto" w:fill="FFFFFF"/>
                <w:lang w:val="en-US" w:eastAsia="zh-CN"/>
              </w:rPr>
              <w:t>）总量</w:t>
            </w:r>
            <w:r>
              <w:rPr>
                <w:rFonts w:hint="default" w:ascii="Times New Roman" w:hAnsi="Times New Roman" w:eastAsia="宋体" w:cs="Times New Roman"/>
                <w:color w:val="auto"/>
                <w:kern w:val="2"/>
                <w:szCs w:val="24"/>
                <w:shd w:val="clear" w:color="auto" w:fill="FFFFFF"/>
                <w:lang w:val="en-US" w:eastAsia="zh-CN"/>
              </w:rPr>
              <w:t>的</w:t>
            </w:r>
            <w:r>
              <w:rPr>
                <w:rFonts w:hint="eastAsia" w:ascii="Times New Roman" w:hAnsi="Times New Roman" w:eastAsia="宋体" w:cs="Times New Roman"/>
                <w:color w:val="auto"/>
                <w:kern w:val="2"/>
                <w:szCs w:val="24"/>
                <w:shd w:val="clear" w:color="auto" w:fill="FFFFFF"/>
                <w:lang w:val="en-US" w:eastAsia="zh-CN"/>
              </w:rPr>
              <w:t>倍量</w:t>
            </w:r>
            <w:r>
              <w:rPr>
                <w:rFonts w:hint="default" w:ascii="Times New Roman" w:hAnsi="Times New Roman" w:eastAsia="宋体" w:cs="Times New Roman"/>
                <w:color w:val="auto"/>
                <w:kern w:val="2"/>
                <w:szCs w:val="24"/>
                <w:shd w:val="clear" w:color="auto" w:fill="FFFFFF"/>
                <w:lang w:val="en-US" w:eastAsia="zh-CN"/>
              </w:rPr>
              <w:t>替代</w:t>
            </w:r>
            <w:r>
              <w:rPr>
                <w:rFonts w:hint="eastAsia" w:ascii="Times New Roman" w:hAnsi="Times New Roman" w:eastAsia="宋体" w:cs="Times New Roman"/>
                <w:color w:val="auto"/>
                <w:kern w:val="2"/>
                <w:szCs w:val="24"/>
                <w:shd w:val="clear" w:color="auto" w:fill="FFFFFF"/>
                <w:lang w:val="en-US" w:eastAsia="zh-CN"/>
              </w:rPr>
              <w:t>，</w:t>
            </w:r>
            <w:r>
              <w:rPr>
                <w:rFonts w:hint="default" w:ascii="Times New Roman" w:hAnsi="Times New Roman" w:eastAsia="宋体" w:cs="Times New Roman"/>
                <w:color w:val="auto"/>
                <w:kern w:val="2"/>
                <w:szCs w:val="24"/>
                <w:shd w:val="clear" w:color="auto" w:fill="FFFFFF"/>
                <w:lang w:val="en-US" w:eastAsia="zh-CN"/>
              </w:rPr>
              <w:t>并依法</w:t>
            </w:r>
            <w:r>
              <w:rPr>
                <w:rFonts w:hint="eastAsia" w:ascii="Times New Roman" w:hAnsi="Times New Roman" w:eastAsia="宋体" w:cs="Times New Roman"/>
                <w:color w:val="auto"/>
                <w:kern w:val="2"/>
                <w:szCs w:val="24"/>
                <w:shd w:val="clear" w:color="auto" w:fill="FFFFFF"/>
                <w:lang w:val="en-US" w:eastAsia="zh-CN"/>
              </w:rPr>
              <w:t>办理</w:t>
            </w:r>
            <w:r>
              <w:rPr>
                <w:rFonts w:hint="default" w:ascii="Times New Roman" w:hAnsi="Times New Roman" w:eastAsia="宋体" w:cs="Times New Roman"/>
                <w:color w:val="auto"/>
                <w:kern w:val="2"/>
                <w:szCs w:val="24"/>
                <w:shd w:val="clear" w:color="auto" w:fill="FFFFFF"/>
                <w:lang w:val="en-US" w:eastAsia="zh-CN"/>
              </w:rPr>
              <w:t>排污许可</w:t>
            </w:r>
            <w:r>
              <w:rPr>
                <w:rFonts w:hint="eastAsia" w:ascii="Times New Roman" w:hAnsi="Times New Roman" w:eastAsia="宋体" w:cs="Times New Roman"/>
                <w:color w:val="auto"/>
                <w:kern w:val="2"/>
                <w:szCs w:val="24"/>
                <w:shd w:val="clear" w:color="auto" w:fill="FFFFFF"/>
                <w:lang w:val="en-US" w:eastAsia="zh-CN"/>
              </w:rPr>
              <w:t>手续。</w:t>
            </w:r>
          </w:p>
        </w:tc>
      </w:tr>
    </w:tbl>
    <w:p w14:paraId="7BD1B22A">
      <w:pPr>
        <w:rPr>
          <w:rFonts w:hint="eastAsia"/>
          <w:lang w:eastAsia="zh-CN"/>
        </w:rPr>
      </w:pPr>
      <w:r>
        <w:rPr>
          <w:rFonts w:hint="eastAsia"/>
          <w:lang w:eastAsia="zh-CN"/>
        </w:rPr>
        <w:br w:type="page"/>
      </w:r>
    </w:p>
    <w:p w14:paraId="3C7A643E">
      <w:pPr>
        <w:pStyle w:val="2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u w:val="none"/>
          <w:lang w:val="en-US" w:eastAsia="zh-CN"/>
        </w:rPr>
      </w:pPr>
      <w:bookmarkStart w:id="60" w:name="_Toc3502"/>
      <w:bookmarkStart w:id="61" w:name="_Toc15792"/>
      <w:r>
        <w:rPr>
          <w:rFonts w:hint="eastAsia" w:ascii="Times New Roman" w:hAnsi="Times New Roman" w:eastAsia="黑体" w:cs="Times New Roman"/>
          <w:snapToGrid w:val="0"/>
          <w:color w:val="auto"/>
          <w:sz w:val="30"/>
          <w:szCs w:val="30"/>
          <w:u w:val="none"/>
          <w:lang w:val="en-US" w:eastAsia="zh-CN"/>
        </w:rPr>
        <w:t>四、</w:t>
      </w:r>
      <w:r>
        <w:rPr>
          <w:rFonts w:hint="default" w:ascii="Times New Roman" w:hAnsi="Times New Roman" w:eastAsia="黑体" w:cs="Times New Roman"/>
          <w:snapToGrid w:val="0"/>
          <w:color w:val="auto"/>
          <w:sz w:val="30"/>
          <w:szCs w:val="30"/>
          <w:u w:val="none"/>
          <w:lang w:val="en-US" w:eastAsia="zh-CN"/>
        </w:rPr>
        <w:t>主要环境影响和保护措施</w:t>
      </w:r>
      <w:bookmarkEnd w:id="60"/>
      <w:bookmarkEnd w:id="61"/>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8755"/>
      </w:tblGrid>
      <w:tr w14:paraId="7F7DD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9" w:hRule="atLeast"/>
        </w:trPr>
        <w:tc>
          <w:tcPr>
            <w:tcW w:w="533" w:type="dxa"/>
            <w:vAlign w:val="center"/>
          </w:tcPr>
          <w:p w14:paraId="72F94C6B">
            <w:pPr>
              <w:jc w:val="center"/>
              <w:rPr>
                <w:rFonts w:hint="default"/>
                <w:vertAlign w:val="baseline"/>
                <w:lang w:val="en-US" w:eastAsia="zh-CN"/>
              </w:rPr>
            </w:pPr>
            <w:r>
              <w:rPr>
                <w:rFonts w:hint="eastAsia" w:ascii="Times New Roman" w:hAnsi="Times New Roman" w:eastAsia="宋体" w:cs="Times New Roman"/>
                <w:color w:val="auto"/>
                <w:kern w:val="0"/>
                <w:sz w:val="24"/>
                <w:szCs w:val="24"/>
                <w:lang w:val="en-US" w:eastAsia="zh-CN"/>
              </w:rPr>
              <w:t>施工期环境保护措施</w:t>
            </w:r>
          </w:p>
        </w:tc>
        <w:tc>
          <w:tcPr>
            <w:tcW w:w="8755" w:type="dxa"/>
            <w:vAlign w:val="center"/>
          </w:tcPr>
          <w:p w14:paraId="15C2AE05">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eastAsia"/>
                <w:vertAlign w:val="baseline"/>
                <w:lang w:eastAsia="zh-CN"/>
              </w:rPr>
            </w:pPr>
            <w:bookmarkStart w:id="62" w:name="_Toc225766861"/>
            <w:bookmarkStart w:id="63" w:name="_Toc233386843"/>
            <w:bookmarkStart w:id="64" w:name="_Toc234833275"/>
            <w:bookmarkStart w:id="65" w:name="_Toc17361640"/>
            <w:bookmarkStart w:id="66" w:name="_Toc278977997"/>
            <w:bookmarkStart w:id="67" w:name="_Toc17361639"/>
            <w:bookmarkStart w:id="68" w:name="_Toc281777364"/>
            <w:bookmarkStart w:id="69" w:name="_Toc224713628"/>
            <w:bookmarkStart w:id="70" w:name="_Toc212261317"/>
            <w:bookmarkStart w:id="71" w:name="_Toc232930955"/>
            <w:bookmarkStart w:id="72" w:name="_Toc222825971"/>
            <w:bookmarkStart w:id="73" w:name="_Toc213206595"/>
            <w:bookmarkStart w:id="74" w:name="_Toc211967612"/>
            <w:bookmarkStart w:id="75" w:name="_Toc235459029"/>
            <w:bookmarkStart w:id="76" w:name="_Toc279492221"/>
            <w:bookmarkStart w:id="77" w:name="_Toc56498971"/>
            <w:bookmarkStart w:id="78" w:name="_Toc85178610"/>
            <w:bookmarkStart w:id="79" w:name="_Toc235065596"/>
            <w:bookmarkStart w:id="80" w:name="_Toc56498815"/>
            <w:r>
              <w:rPr>
                <w:rFonts w:hint="default" w:ascii="Times New Roman" w:hAnsi="Times New Roman" w:eastAsia="宋体" w:cs="Times New Roman"/>
                <w:color w:val="auto"/>
                <w:kern w:val="2"/>
                <w:sz w:val="24"/>
                <w:szCs w:val="24"/>
                <w:shd w:val="clear" w:color="auto" w:fill="FFFFFF"/>
                <w:lang w:val="en-US" w:eastAsia="zh-CN"/>
              </w:rPr>
              <w:t>本项目位于</w:t>
            </w:r>
            <w:r>
              <w:rPr>
                <w:rFonts w:hint="default" w:ascii="Times New Roman" w:hAnsi="Times New Roman" w:eastAsia="宋体" w:cs="Times New Roman"/>
                <w:color w:val="auto"/>
                <w:sz w:val="24"/>
                <w:szCs w:val="24"/>
                <w:u w:val="none"/>
                <w:lang w:val="en-US" w:eastAsia="zh-CN"/>
              </w:rPr>
              <w:t>福建省福州市福清市阳下街道上亭村（</w:t>
            </w:r>
            <w:r>
              <w:rPr>
                <w:rFonts w:hint="eastAsia" w:cs="Times New Roman"/>
                <w:color w:val="auto"/>
                <w:sz w:val="24"/>
                <w:szCs w:val="24"/>
                <w:u w:val="none"/>
                <w:lang w:val="en-US" w:eastAsia="zh-CN"/>
              </w:rPr>
              <w:t>福清市阳下街道均和云谷·福清科技港39号厂房</w:t>
            </w:r>
            <w:r>
              <w:rPr>
                <w:rFonts w:hint="default"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kern w:val="2"/>
                <w:sz w:val="24"/>
                <w:szCs w:val="24"/>
                <w:shd w:val="clear" w:color="auto" w:fill="FFFFFF"/>
                <w:lang w:val="en-US" w:eastAsia="zh-CN"/>
              </w:rPr>
              <w:t>利用现有厂房进行生产，根据现场勘查，该厂房已建成，因此不存在厂房等主体工程施工期环境影响。项目施工期主要为设备安装、调试阶段产生的环境问题，本项目设备安装、调试简单</w:t>
            </w:r>
            <w:r>
              <w:rPr>
                <w:rFonts w:hint="eastAsia" w:cs="Times New Roman"/>
                <w:color w:val="auto"/>
                <w:kern w:val="2"/>
                <w:sz w:val="24"/>
                <w:szCs w:val="24"/>
                <w:shd w:val="clear" w:color="auto" w:fill="FFFFFF"/>
                <w:lang w:val="en-US" w:eastAsia="zh-CN"/>
              </w:rPr>
              <w:t>且</w:t>
            </w:r>
            <w:r>
              <w:rPr>
                <w:rFonts w:hint="default" w:ascii="Times New Roman" w:hAnsi="Times New Roman" w:eastAsia="宋体" w:cs="Times New Roman"/>
                <w:color w:val="auto"/>
                <w:kern w:val="2"/>
                <w:sz w:val="24"/>
                <w:szCs w:val="24"/>
                <w:shd w:val="clear" w:color="auto" w:fill="FFFFFF"/>
                <w:lang w:val="en-US" w:eastAsia="zh-CN"/>
              </w:rPr>
              <w:t>时间较短，因此，随着设备安装、调试完毕后，项目施工期也将结束，施工期环境影响也随着消失，</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Pr>
                <w:rFonts w:hint="default" w:ascii="Times New Roman" w:hAnsi="Times New Roman" w:eastAsia="宋体" w:cs="Times New Roman"/>
                <w:color w:val="auto"/>
                <w:kern w:val="2"/>
                <w:sz w:val="24"/>
                <w:szCs w:val="24"/>
                <w:shd w:val="clear" w:color="auto" w:fill="FFFFFF"/>
                <w:lang w:val="zh-CN" w:eastAsia="zh-CN"/>
              </w:rPr>
              <w:t>对周围环境的影响较小，故本环评对此不再作出具体分析。</w:t>
            </w:r>
          </w:p>
        </w:tc>
      </w:tr>
      <w:tr w14:paraId="60667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 w:type="dxa"/>
            <w:vAlign w:val="center"/>
          </w:tcPr>
          <w:p w14:paraId="2ACFA6F4">
            <w:pPr>
              <w:jc w:val="center"/>
              <w:rPr>
                <w:rFonts w:hint="default"/>
                <w:vertAlign w:val="baseline"/>
                <w:lang w:val="en-US" w:eastAsia="zh-CN"/>
              </w:rPr>
            </w:pPr>
            <w:r>
              <w:rPr>
                <w:rFonts w:hint="eastAsia" w:ascii="Times New Roman" w:hAnsi="Times New Roman" w:eastAsia="宋体" w:cs="Times New Roman"/>
                <w:color w:val="auto"/>
                <w:kern w:val="0"/>
                <w:sz w:val="24"/>
                <w:szCs w:val="24"/>
                <w:lang w:val="en-US" w:eastAsia="zh-CN"/>
              </w:rPr>
              <w:t>运营期环境影响和保护措施</w:t>
            </w:r>
          </w:p>
        </w:tc>
        <w:tc>
          <w:tcPr>
            <w:tcW w:w="8755" w:type="dxa"/>
          </w:tcPr>
          <w:p w14:paraId="4CF2A80D">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1"/>
              <w:rPr>
                <w:b/>
                <w:sz w:val="28"/>
                <w:szCs w:val="28"/>
              </w:rPr>
            </w:pPr>
            <w:bookmarkStart w:id="81" w:name="_Toc22868"/>
            <w:r>
              <w:rPr>
                <w:rFonts w:hint="eastAsia"/>
                <w:b/>
                <w:sz w:val="28"/>
                <w:szCs w:val="28"/>
                <w:lang w:val="en-US" w:eastAsia="zh-CN"/>
              </w:rPr>
              <w:t>4</w:t>
            </w:r>
            <w:r>
              <w:rPr>
                <w:b/>
                <w:sz w:val="28"/>
                <w:szCs w:val="28"/>
              </w:rPr>
              <w:t>.1</w:t>
            </w:r>
            <w:r>
              <w:rPr>
                <w:rFonts w:eastAsia="宋体"/>
                <w:b/>
                <w:sz w:val="28"/>
                <w:szCs w:val="28"/>
              </w:rPr>
              <w:t>大气环境影响分析和污染防治措施</w:t>
            </w:r>
            <w:bookmarkEnd w:id="81"/>
          </w:p>
          <w:p w14:paraId="36D57AE4">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b/>
                <w:color w:val="262626"/>
                <w:kern w:val="0"/>
                <w:sz w:val="24"/>
              </w:rPr>
            </w:pPr>
            <w:bookmarkStart w:id="82" w:name="_Toc7455"/>
            <w:bookmarkStart w:id="83" w:name="_Toc5618"/>
            <w:r>
              <w:rPr>
                <w:b/>
                <w:color w:val="262626"/>
                <w:kern w:val="0"/>
                <w:sz w:val="24"/>
              </w:rPr>
              <w:t>4.1.1 运营期废气源强核算</w:t>
            </w:r>
            <w:bookmarkEnd w:id="82"/>
            <w:bookmarkEnd w:id="83"/>
          </w:p>
          <w:p w14:paraId="22AFFF28">
            <w:pPr>
              <w:adjustRightInd w:val="0"/>
              <w:snapToGrid w:val="0"/>
              <w:spacing w:line="348" w:lineRule="auto"/>
              <w:ind w:firstLine="480" w:firstLineChars="200"/>
              <w:rPr>
                <w:color w:val="262626"/>
                <w:sz w:val="24"/>
              </w:rPr>
            </w:pPr>
            <w:r>
              <w:rPr>
                <w:rFonts w:hint="eastAsia"/>
                <w:color w:val="262626"/>
                <w:sz w:val="24"/>
              </w:rPr>
              <w:t>根据生产工艺流程图可知，项目运营期废气</w:t>
            </w:r>
            <w:r>
              <w:rPr>
                <w:rFonts w:hint="eastAsia"/>
                <w:color w:val="262626"/>
                <w:sz w:val="24"/>
                <w:lang w:val="en-US" w:eastAsia="zh-CN"/>
              </w:rPr>
              <w:t>来源是工业连接器和工业线缆生产时产生的</w:t>
            </w:r>
            <w:r>
              <w:rPr>
                <w:rFonts w:hint="eastAsia"/>
                <w:color w:val="262626"/>
                <w:sz w:val="24"/>
              </w:rPr>
              <w:t>注塑加热有机废气</w:t>
            </w:r>
            <w:r>
              <w:rPr>
                <w:rFonts w:hint="eastAsia"/>
                <w:color w:val="262626"/>
                <w:sz w:val="24"/>
                <w:lang w:eastAsia="zh-CN"/>
              </w:rPr>
              <w:t>（</w:t>
            </w:r>
            <w:r>
              <w:rPr>
                <w:color w:val="262626"/>
                <w:sz w:val="24"/>
              </w:rPr>
              <w:t>以非甲烷</w:t>
            </w:r>
            <w:r>
              <w:rPr>
                <w:rFonts w:hint="eastAsia"/>
                <w:color w:val="262626"/>
                <w:sz w:val="24"/>
              </w:rPr>
              <w:t>总烃</w:t>
            </w:r>
            <w:r>
              <w:rPr>
                <w:rFonts w:hint="eastAsia"/>
                <w:color w:val="262626"/>
                <w:sz w:val="24"/>
                <w:lang w:val="en-US" w:eastAsia="zh-CN"/>
              </w:rPr>
              <w:t>计）</w:t>
            </w:r>
            <w:r>
              <w:rPr>
                <w:rFonts w:hint="eastAsia"/>
                <w:color w:val="262626"/>
                <w:sz w:val="24"/>
                <w:lang w:eastAsia="zh-CN"/>
              </w:rPr>
              <w:t>、</w:t>
            </w:r>
            <w:r>
              <w:rPr>
                <w:rFonts w:hint="eastAsia"/>
                <w:color w:val="262626"/>
                <w:sz w:val="24"/>
              </w:rPr>
              <w:t>臭气</w:t>
            </w:r>
            <w:r>
              <w:rPr>
                <w:rFonts w:hint="eastAsia"/>
                <w:color w:val="262626"/>
                <w:sz w:val="24"/>
                <w:lang w:eastAsia="zh-CN"/>
              </w:rPr>
              <w:t>；</w:t>
            </w:r>
            <w:r>
              <w:rPr>
                <w:rFonts w:hint="eastAsia"/>
                <w:color w:val="262626"/>
                <w:sz w:val="24"/>
                <w:lang w:val="en-US" w:eastAsia="zh-CN"/>
              </w:rPr>
              <w:t>料头粉碎</w:t>
            </w:r>
            <w:r>
              <w:rPr>
                <w:rFonts w:hint="eastAsia"/>
                <w:color w:val="262626"/>
                <w:sz w:val="24"/>
                <w:lang w:eastAsia="zh-CN"/>
              </w:rPr>
              <w:t>过程中产生的粉尘废气（颗粒物）；</w:t>
            </w:r>
            <w:r>
              <w:rPr>
                <w:rFonts w:hint="eastAsia"/>
                <w:color w:val="262626"/>
                <w:sz w:val="24"/>
                <w:lang w:val="en-US" w:eastAsia="zh-CN"/>
              </w:rPr>
              <w:t>喷粉前除油废气、喷粉废气以及喷粉后烘烤废气。</w:t>
            </w:r>
            <w:r>
              <w:rPr>
                <w:rFonts w:hint="eastAsia" w:ascii="Times New Roman" w:hAnsi="Times New Roman" w:eastAsia="宋体" w:cs="Times New Roman"/>
                <w:color w:val="262626"/>
                <w:sz w:val="24"/>
                <w:lang w:val="en-US" w:eastAsia="zh-CN"/>
              </w:rPr>
              <w:t>本项目废气源强</w:t>
            </w:r>
            <w:r>
              <w:rPr>
                <w:rFonts w:hint="eastAsia"/>
                <w:color w:val="262626"/>
                <w:kern w:val="0"/>
                <w:sz w:val="24"/>
                <w:szCs w:val="20"/>
              </w:rPr>
              <w:t>核算参照《污染源源强核算技术指南 准则》</w:t>
            </w:r>
            <w:r>
              <w:rPr>
                <w:rFonts w:hint="eastAsia"/>
                <w:color w:val="262626"/>
                <w:kern w:val="0"/>
                <w:sz w:val="24"/>
                <w:szCs w:val="20"/>
                <w:lang w:eastAsia="zh-CN"/>
              </w:rPr>
              <w:t>《</w:t>
            </w:r>
            <w:r>
              <w:rPr>
                <w:rFonts w:hint="eastAsia"/>
                <w:color w:val="262626"/>
                <w:kern w:val="0"/>
                <w:sz w:val="24"/>
                <w:szCs w:val="20"/>
                <w:lang w:val="en-US" w:eastAsia="zh-CN"/>
              </w:rPr>
              <w:t>排放源统计调查产排污核算方法和系数手册</w:t>
            </w:r>
            <w:r>
              <w:rPr>
                <w:rFonts w:hint="eastAsia"/>
                <w:color w:val="262626"/>
                <w:kern w:val="0"/>
                <w:sz w:val="24"/>
                <w:szCs w:val="20"/>
                <w:lang w:eastAsia="zh-CN"/>
              </w:rPr>
              <w:t>》</w:t>
            </w:r>
            <w:r>
              <w:rPr>
                <w:rFonts w:hint="eastAsia"/>
                <w:color w:val="262626"/>
                <w:kern w:val="0"/>
                <w:sz w:val="24"/>
                <w:szCs w:val="20"/>
              </w:rPr>
              <w:t>等相关要求进行。项目</w:t>
            </w:r>
            <w:r>
              <w:rPr>
                <w:color w:val="262626"/>
                <w:kern w:val="0"/>
                <w:sz w:val="24"/>
                <w:szCs w:val="20"/>
              </w:rPr>
              <w:t>废气污染源</w:t>
            </w:r>
            <w:r>
              <w:rPr>
                <w:rFonts w:hint="eastAsia"/>
                <w:color w:val="262626"/>
                <w:kern w:val="0"/>
                <w:sz w:val="24"/>
                <w:szCs w:val="20"/>
              </w:rPr>
              <w:t>源强分析如下：</w:t>
            </w:r>
          </w:p>
          <w:p w14:paraId="505A3694">
            <w:pPr>
              <w:adjustRightInd w:val="0"/>
              <w:snapToGrid w:val="0"/>
              <w:spacing w:line="348" w:lineRule="auto"/>
              <w:ind w:firstLine="480" w:firstLineChars="200"/>
              <w:rPr>
                <w:rFonts w:hint="eastAsia" w:ascii="Times New Roman" w:hAnsi="Times New Roman" w:eastAsia="宋体" w:cs="Times New Roman"/>
                <w:color w:val="262626"/>
                <w:sz w:val="24"/>
                <w:lang w:eastAsia="zh-CN"/>
              </w:rPr>
            </w:pPr>
            <w:r>
              <w:rPr>
                <w:rFonts w:hint="eastAsia" w:ascii="Times New Roman" w:hAnsi="Times New Roman" w:eastAsia="宋体" w:cs="Times New Roman"/>
                <w:color w:val="262626"/>
                <w:sz w:val="24"/>
                <w:lang w:eastAsia="zh-CN"/>
              </w:rPr>
              <w:t>（</w:t>
            </w:r>
            <w:r>
              <w:rPr>
                <w:rFonts w:hint="eastAsia" w:ascii="Times New Roman" w:hAnsi="Times New Roman" w:eastAsia="宋体" w:cs="Times New Roman"/>
                <w:color w:val="262626"/>
                <w:sz w:val="24"/>
                <w:lang w:val="en-US" w:eastAsia="zh-CN"/>
              </w:rPr>
              <w:t>1</w:t>
            </w:r>
            <w:r>
              <w:rPr>
                <w:rFonts w:hint="eastAsia" w:ascii="Times New Roman" w:hAnsi="Times New Roman" w:eastAsia="宋体" w:cs="Times New Roman"/>
                <w:color w:val="262626"/>
                <w:sz w:val="24"/>
                <w:lang w:eastAsia="zh-CN"/>
              </w:rPr>
              <w:t>）</w:t>
            </w:r>
            <w:r>
              <w:rPr>
                <w:rFonts w:hint="eastAsia" w:cs="Times New Roman"/>
                <w:color w:val="262626"/>
                <w:sz w:val="24"/>
                <w:lang w:val="en-US" w:eastAsia="zh-CN"/>
              </w:rPr>
              <w:t>有机</w:t>
            </w:r>
            <w:r>
              <w:rPr>
                <w:rFonts w:hint="eastAsia" w:ascii="Times New Roman" w:hAnsi="Times New Roman" w:eastAsia="宋体" w:cs="Times New Roman"/>
                <w:color w:val="262626"/>
                <w:sz w:val="24"/>
                <w:lang w:eastAsia="zh-CN"/>
              </w:rPr>
              <w:t>废气</w:t>
            </w:r>
            <w:r>
              <w:rPr>
                <w:rFonts w:hint="eastAsia" w:cs="Times New Roman"/>
                <w:color w:val="262626"/>
                <w:sz w:val="24"/>
                <w:lang w:eastAsia="zh-CN"/>
              </w:rPr>
              <w:t>（</w:t>
            </w:r>
            <w:r>
              <w:rPr>
                <w:rFonts w:hint="eastAsia" w:cs="Times New Roman"/>
                <w:color w:val="262626"/>
                <w:sz w:val="24"/>
                <w:lang w:val="en-US" w:eastAsia="zh-CN"/>
              </w:rPr>
              <w:t>注塑、包胶</w:t>
            </w:r>
            <w:r>
              <w:rPr>
                <w:rFonts w:hint="eastAsia" w:cs="Times New Roman"/>
                <w:color w:val="262626"/>
                <w:sz w:val="24"/>
                <w:lang w:eastAsia="zh-CN"/>
              </w:rPr>
              <w:t>）</w:t>
            </w:r>
          </w:p>
          <w:p w14:paraId="10CB5EC7">
            <w:pPr>
              <w:adjustRightInd w:val="0"/>
              <w:snapToGrid w:val="0"/>
              <w:spacing w:line="360" w:lineRule="auto"/>
              <w:ind w:firstLine="480" w:firstLineChars="200"/>
              <w:rPr>
                <w:bCs/>
                <w:color w:val="262626"/>
                <w:sz w:val="24"/>
              </w:rPr>
            </w:pPr>
            <w:r>
              <w:rPr>
                <w:rFonts w:hint="eastAsia"/>
                <w:bCs/>
                <w:color w:val="262626"/>
                <w:sz w:val="24"/>
              </w:rPr>
              <w:t>项目</w:t>
            </w:r>
            <w:r>
              <w:rPr>
                <w:rFonts w:hint="eastAsia"/>
                <w:color w:val="262626"/>
                <w:kern w:val="0"/>
                <w:sz w:val="24"/>
                <w:szCs w:val="20"/>
              </w:rPr>
              <w:t>注塑机加热温度为</w:t>
            </w:r>
            <w:r>
              <w:rPr>
                <w:rFonts w:hint="eastAsia"/>
                <w:color w:val="262626"/>
                <w:kern w:val="0"/>
                <w:sz w:val="24"/>
                <w:szCs w:val="20"/>
                <w:highlight w:val="none"/>
              </w:rPr>
              <w:t>200</w:t>
            </w:r>
            <w:r>
              <w:rPr>
                <w:rFonts w:hint="eastAsia"/>
                <w:color w:val="262626"/>
                <w:kern w:val="0"/>
                <w:sz w:val="24"/>
                <w:szCs w:val="20"/>
                <w:highlight w:val="none"/>
                <w:lang w:val="en-US" w:eastAsia="zh-CN"/>
              </w:rPr>
              <w:t>℃</w:t>
            </w:r>
            <w:r>
              <w:rPr>
                <w:rFonts w:hint="eastAsia"/>
                <w:color w:val="262626"/>
                <w:kern w:val="0"/>
                <w:sz w:val="24"/>
                <w:szCs w:val="20"/>
              </w:rPr>
              <w:t>，因此原料</w:t>
            </w:r>
            <w:r>
              <w:rPr>
                <w:rFonts w:hint="eastAsia"/>
                <w:color w:val="262626"/>
                <w:kern w:val="0"/>
                <w:sz w:val="24"/>
                <w:szCs w:val="20"/>
                <w:lang w:val="en-US" w:eastAsia="zh-CN"/>
              </w:rPr>
              <w:t>塑料</w:t>
            </w:r>
            <w:r>
              <w:rPr>
                <w:rFonts w:hint="eastAsia"/>
                <w:color w:val="262626"/>
                <w:kern w:val="0"/>
                <w:sz w:val="24"/>
                <w:szCs w:val="20"/>
              </w:rPr>
              <w:t>颗粒在注塑机加热温度下不会发生热分解反应。根据《排放源统计调查产排污核算方法和系数手册》</w:t>
            </w:r>
            <w:r>
              <w:rPr>
                <w:color w:val="262626"/>
                <w:kern w:val="0"/>
                <w:sz w:val="24"/>
                <w:szCs w:val="20"/>
              </w:rPr>
              <w:t>292</w:t>
            </w:r>
            <w:r>
              <w:rPr>
                <w:rFonts w:hint="eastAsia"/>
                <w:color w:val="262626"/>
                <w:kern w:val="0"/>
                <w:sz w:val="24"/>
                <w:szCs w:val="20"/>
              </w:rPr>
              <w:t>塑料制品行业系数手册中“</w:t>
            </w:r>
            <w:r>
              <w:rPr>
                <w:rFonts w:hint="eastAsia"/>
                <w:color w:val="262626"/>
                <w:kern w:val="0"/>
                <w:sz w:val="24"/>
                <w:szCs w:val="20"/>
                <w:lang w:val="en-US" w:eastAsia="zh-CN"/>
              </w:rPr>
              <w:t>2929</w:t>
            </w:r>
            <w:r>
              <w:rPr>
                <w:rFonts w:hint="eastAsia"/>
                <w:color w:val="262626"/>
                <w:kern w:val="0"/>
                <w:sz w:val="24"/>
                <w:szCs w:val="20"/>
              </w:rPr>
              <w:t>塑料零件及其他塑料制品制造行业系数表”</w:t>
            </w:r>
            <w:r>
              <w:rPr>
                <w:bCs/>
                <w:color w:val="262626"/>
                <w:sz w:val="24"/>
              </w:rPr>
              <w:t>进行计算，产污系数详见表4.1-</w:t>
            </w:r>
            <w:r>
              <w:rPr>
                <w:rFonts w:hint="eastAsia"/>
                <w:bCs/>
                <w:color w:val="262626"/>
                <w:sz w:val="24"/>
              </w:rPr>
              <w:t>1</w:t>
            </w:r>
            <w:r>
              <w:rPr>
                <w:bCs/>
                <w:color w:val="262626"/>
                <w:sz w:val="24"/>
              </w:rPr>
              <w:t>。</w:t>
            </w:r>
          </w:p>
          <w:p w14:paraId="02D6EB0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val="en-US" w:eastAsia="zh-CN"/>
              </w:rPr>
              <w:t>表4.1-</w:t>
            </w:r>
            <w:r>
              <w:rPr>
                <w:rFonts w:hint="eastAsia" w:ascii="Times New Roman" w:hAnsi="Times New Roman" w:eastAsia="宋体" w:cs="Times New Roman"/>
                <w:b/>
                <w:bCs/>
                <w:color w:val="auto"/>
                <w:sz w:val="24"/>
                <w:szCs w:val="24"/>
                <w:u w:val="none"/>
                <w:lang w:val="en-US" w:eastAsia="zh-CN"/>
              </w:rPr>
              <w:t xml:space="preserve">1 </w:t>
            </w:r>
            <w:r>
              <w:rPr>
                <w:rFonts w:hint="default" w:ascii="Times New Roman" w:hAnsi="Times New Roman" w:eastAsia="宋体" w:cs="Times New Roman"/>
                <w:b/>
                <w:bCs/>
                <w:color w:val="auto"/>
                <w:sz w:val="24"/>
                <w:szCs w:val="24"/>
                <w:u w:val="none"/>
                <w:lang w:val="en-US" w:eastAsia="zh-CN"/>
              </w:rPr>
              <w:t>292</w:t>
            </w:r>
            <w:r>
              <w:rPr>
                <w:rFonts w:hint="eastAsia" w:ascii="Times New Roman" w:hAnsi="Times New Roman" w:eastAsia="宋体" w:cs="Times New Roman"/>
                <w:b/>
                <w:bCs/>
                <w:color w:val="auto"/>
                <w:sz w:val="24"/>
                <w:szCs w:val="24"/>
                <w:u w:val="none"/>
                <w:lang w:val="en-US" w:eastAsia="zh-CN"/>
              </w:rPr>
              <w:t>9</w:t>
            </w:r>
            <w:r>
              <w:rPr>
                <w:rFonts w:hint="default" w:ascii="Times New Roman" w:hAnsi="Times New Roman" w:eastAsia="宋体" w:cs="Times New Roman"/>
                <w:b/>
                <w:bCs/>
                <w:color w:val="auto"/>
                <w:sz w:val="24"/>
                <w:szCs w:val="24"/>
                <w:u w:val="none"/>
                <w:lang w:val="en-US" w:eastAsia="zh-CN"/>
              </w:rPr>
              <w:t>塑料制品行业系数手册</w:t>
            </w:r>
            <w:r>
              <w:rPr>
                <w:rFonts w:hint="eastAsia" w:ascii="Times New Roman" w:hAnsi="Times New Roman" w:eastAsia="宋体" w:cs="Times New Roman"/>
                <w:b/>
                <w:bCs/>
                <w:color w:val="auto"/>
                <w:sz w:val="24"/>
                <w:szCs w:val="24"/>
                <w:u w:val="none"/>
                <w:lang w:val="en-US" w:eastAsia="zh-CN"/>
              </w:rPr>
              <w:t>产排污核算系数一览表（摘录）</w:t>
            </w:r>
          </w:p>
          <w:tbl>
            <w:tblPr>
              <w:tblStyle w:val="23"/>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4"/>
              <w:gridCol w:w="897"/>
              <w:gridCol w:w="2508"/>
              <w:gridCol w:w="790"/>
              <w:gridCol w:w="994"/>
              <w:gridCol w:w="954"/>
              <w:gridCol w:w="954"/>
              <w:gridCol w:w="698"/>
            </w:tblGrid>
            <w:tr w14:paraId="5BC6F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noWrap w:val="0"/>
                  <w:vAlign w:val="center"/>
                </w:tcPr>
                <w:p w14:paraId="5B0CE5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产品</w:t>
                  </w:r>
                </w:p>
                <w:p w14:paraId="374167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名称</w:t>
                  </w:r>
                </w:p>
              </w:tc>
              <w:tc>
                <w:tcPr>
                  <w:tcW w:w="526" w:type="pct"/>
                  <w:noWrap w:val="0"/>
                  <w:vAlign w:val="center"/>
                </w:tcPr>
                <w:p w14:paraId="699319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原料</w:t>
                  </w:r>
                </w:p>
                <w:p w14:paraId="4218BC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名称</w:t>
                  </w:r>
                </w:p>
              </w:tc>
              <w:tc>
                <w:tcPr>
                  <w:tcW w:w="1470" w:type="pct"/>
                  <w:noWrap w:val="0"/>
                  <w:vAlign w:val="center"/>
                </w:tcPr>
                <w:p w14:paraId="2BDAD9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工艺</w:t>
                  </w:r>
                </w:p>
                <w:p w14:paraId="40A17C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名称</w:t>
                  </w:r>
                </w:p>
              </w:tc>
              <w:tc>
                <w:tcPr>
                  <w:tcW w:w="463" w:type="pct"/>
                  <w:noWrap w:val="0"/>
                  <w:vAlign w:val="center"/>
                </w:tcPr>
                <w:p w14:paraId="7B6B93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规模等级</w:t>
                  </w:r>
                </w:p>
              </w:tc>
              <w:tc>
                <w:tcPr>
                  <w:tcW w:w="583" w:type="pct"/>
                  <w:noWrap w:val="0"/>
                  <w:vAlign w:val="center"/>
                </w:tcPr>
                <w:p w14:paraId="221555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污染物类别</w:t>
                  </w:r>
                </w:p>
              </w:tc>
              <w:tc>
                <w:tcPr>
                  <w:tcW w:w="559" w:type="pct"/>
                  <w:noWrap w:val="0"/>
                  <w:vAlign w:val="center"/>
                </w:tcPr>
                <w:p w14:paraId="384E79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污染物指标</w:t>
                  </w:r>
                </w:p>
              </w:tc>
              <w:tc>
                <w:tcPr>
                  <w:tcW w:w="559" w:type="pct"/>
                  <w:noWrap w:val="0"/>
                  <w:vAlign w:val="center"/>
                </w:tcPr>
                <w:p w14:paraId="4FF3C3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单位</w:t>
                  </w:r>
                </w:p>
              </w:tc>
              <w:tc>
                <w:tcPr>
                  <w:tcW w:w="404" w:type="pct"/>
                  <w:noWrap w:val="0"/>
                  <w:vAlign w:val="center"/>
                </w:tcPr>
                <w:p w14:paraId="497D71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产污系数</w:t>
                  </w:r>
                </w:p>
              </w:tc>
            </w:tr>
            <w:tr w14:paraId="039AF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noWrap w:val="0"/>
                  <w:vAlign w:val="center"/>
                </w:tcPr>
                <w:p w14:paraId="29C969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塑料</w:t>
                  </w:r>
                </w:p>
                <w:p w14:paraId="370878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零件</w:t>
                  </w:r>
                </w:p>
              </w:tc>
              <w:tc>
                <w:tcPr>
                  <w:tcW w:w="526" w:type="pct"/>
                  <w:noWrap w:val="0"/>
                  <w:vAlign w:val="center"/>
                </w:tcPr>
                <w:p w14:paraId="214076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树脂、</w:t>
                  </w:r>
                </w:p>
                <w:p w14:paraId="0CA2C7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助剂</w:t>
                  </w:r>
                </w:p>
              </w:tc>
              <w:tc>
                <w:tcPr>
                  <w:tcW w:w="1470" w:type="pct"/>
                  <w:noWrap w:val="0"/>
                  <w:vAlign w:val="center"/>
                </w:tcPr>
                <w:p w14:paraId="304E3D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配料混合挤出/注塑</w:t>
                  </w:r>
                </w:p>
              </w:tc>
              <w:tc>
                <w:tcPr>
                  <w:tcW w:w="463" w:type="pct"/>
                  <w:noWrap w:val="0"/>
                  <w:vAlign w:val="center"/>
                </w:tcPr>
                <w:p w14:paraId="1AD986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所有规模</w:t>
                  </w:r>
                </w:p>
              </w:tc>
              <w:tc>
                <w:tcPr>
                  <w:tcW w:w="583" w:type="pct"/>
                  <w:noWrap w:val="0"/>
                  <w:vAlign w:val="center"/>
                </w:tcPr>
                <w:p w14:paraId="61D6F7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废气</w:t>
                  </w:r>
                </w:p>
              </w:tc>
              <w:tc>
                <w:tcPr>
                  <w:tcW w:w="559" w:type="pct"/>
                  <w:noWrap w:val="0"/>
                  <w:vAlign w:val="center"/>
                </w:tcPr>
                <w:p w14:paraId="16A4DFB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挥发性有机物*</w:t>
                  </w:r>
                </w:p>
              </w:tc>
              <w:tc>
                <w:tcPr>
                  <w:tcW w:w="559" w:type="pct"/>
                  <w:noWrap w:val="0"/>
                  <w:vAlign w:val="center"/>
                </w:tcPr>
                <w:p w14:paraId="6359F3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千克/吨-产品</w:t>
                  </w:r>
                </w:p>
              </w:tc>
              <w:tc>
                <w:tcPr>
                  <w:tcW w:w="404" w:type="pct"/>
                  <w:noWrap w:val="0"/>
                  <w:vAlign w:val="center"/>
                </w:tcPr>
                <w:p w14:paraId="2D74D8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2.7</w:t>
                  </w:r>
                </w:p>
              </w:tc>
            </w:tr>
            <w:tr w14:paraId="632FF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noWrap w:val="0"/>
                  <w:vAlign w:val="center"/>
                </w:tcPr>
                <w:p w14:paraId="44F5AF9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注：挥发性有机物以非甲烷总烃计。</w:t>
                  </w:r>
                </w:p>
              </w:tc>
            </w:tr>
          </w:tbl>
          <w:p w14:paraId="4F89506A">
            <w:pPr>
              <w:pStyle w:val="51"/>
              <w:keepNext w:val="0"/>
              <w:keepLines w:val="0"/>
              <w:pageBreakBefore w:val="0"/>
              <w:widowControl w:val="0"/>
              <w:kinsoku/>
              <w:wordWrap/>
              <w:overflowPunct/>
              <w:topLinePunct w:val="0"/>
              <w:autoSpaceDE/>
              <w:autoSpaceDN/>
              <w:bidi w:val="0"/>
              <w:spacing w:after="0" w:line="360" w:lineRule="auto"/>
              <w:ind w:left="0" w:leftChars="0" w:firstLine="480" w:firstLineChars="200"/>
              <w:jc w:val="both"/>
              <w:textAlignment w:val="auto"/>
              <w:rPr>
                <w:rFonts w:hint="eastAsia"/>
                <w:color w:val="auto"/>
                <w:highlight w:val="none"/>
                <w:lang w:eastAsia="zh-CN"/>
              </w:rPr>
            </w:pPr>
            <w:r>
              <w:rPr>
                <w:rFonts w:hint="eastAsia"/>
                <w:color w:val="auto"/>
                <w:lang w:val="en-US" w:eastAsia="zh-CN"/>
              </w:rPr>
              <w:t>本项目年加工工业连接器300万件、6KV以下工业线缆200万件，本项目工业连接器以及工业线缆每件的重量根据客户不同需求定制，产品总重量约2100t，扣除端子、壳体、线束等金属/外购件后，进入注塑机的塑料粒子年耗量30t，以此作为产品基准量。</w:t>
            </w:r>
            <w:r>
              <w:rPr>
                <w:spacing w:val="-14"/>
              </w:rPr>
              <w:t>即注塑过程中所产生的注塑件产能约</w:t>
            </w:r>
            <w:r>
              <w:rPr>
                <w:rFonts w:hint="eastAsia" w:ascii="Times New Roman" w:hAnsi="Times New Roman" w:eastAsia="宋体" w:cs="Times New Roman"/>
                <w:spacing w:val="-14"/>
                <w:lang w:val="en-US" w:eastAsia="zh-CN"/>
              </w:rPr>
              <w:t>30</w:t>
            </w:r>
            <w:r>
              <w:rPr>
                <w:spacing w:val="-14"/>
              </w:rPr>
              <w:t>吨</w:t>
            </w:r>
            <w:r>
              <w:rPr>
                <w:rFonts w:hint="eastAsia"/>
                <w:color w:val="auto"/>
                <w:lang w:val="en-US" w:eastAsia="zh-CN"/>
              </w:rPr>
              <w:t>。根据系数手册可知产污系数为2.7kg/吨-产品，则非甲烷总烃（VOCs）产生量为30</w:t>
            </w:r>
            <w:r>
              <w:rPr>
                <w:rFonts w:hint="eastAsia"/>
                <w:color w:val="auto"/>
                <w:highlight w:val="none"/>
                <w:lang w:val="en-US" w:eastAsia="zh-CN"/>
              </w:rPr>
              <w:t>t产品×2.7kg/吨-产品÷1000=0.081t/a。</w:t>
            </w:r>
            <w:r>
              <w:rPr>
                <w:rFonts w:hint="eastAsia"/>
                <w:color w:val="auto"/>
                <w:highlight w:val="none"/>
              </w:rPr>
              <w:t>经计算，非甲烷总烃</w:t>
            </w:r>
            <w:r>
              <w:rPr>
                <w:rFonts w:hint="eastAsia"/>
                <w:color w:val="auto"/>
                <w:highlight w:val="none"/>
                <w:lang w:eastAsia="zh-CN"/>
              </w:rPr>
              <w:t>（</w:t>
            </w:r>
            <w:r>
              <w:rPr>
                <w:rFonts w:hint="eastAsia"/>
                <w:color w:val="auto"/>
                <w:highlight w:val="none"/>
                <w:lang w:val="en-US" w:eastAsia="zh-CN"/>
              </w:rPr>
              <w:t>VOCs</w:t>
            </w:r>
            <w:r>
              <w:rPr>
                <w:rFonts w:hint="eastAsia"/>
                <w:color w:val="auto"/>
                <w:highlight w:val="none"/>
                <w:lang w:eastAsia="zh-CN"/>
              </w:rPr>
              <w:t>）</w:t>
            </w:r>
            <w:r>
              <w:rPr>
                <w:rFonts w:hint="eastAsia"/>
                <w:color w:val="auto"/>
                <w:highlight w:val="none"/>
              </w:rPr>
              <w:t>产生量</w:t>
            </w:r>
            <w:r>
              <w:rPr>
                <w:rFonts w:hint="eastAsia"/>
                <w:color w:val="auto"/>
                <w:highlight w:val="none"/>
                <w:lang w:val="en-US" w:eastAsia="zh-CN"/>
              </w:rPr>
              <w:t>为0.081</w:t>
            </w:r>
            <w:r>
              <w:rPr>
                <w:rFonts w:hint="eastAsia"/>
                <w:color w:val="auto"/>
                <w:highlight w:val="none"/>
              </w:rPr>
              <w:t>t/a</w:t>
            </w:r>
            <w:r>
              <w:rPr>
                <w:rFonts w:hint="eastAsia"/>
                <w:color w:val="auto"/>
                <w:highlight w:val="none"/>
                <w:lang w:eastAsia="zh-CN"/>
              </w:rPr>
              <w:t>。</w:t>
            </w:r>
          </w:p>
          <w:p w14:paraId="13AB6C3F">
            <w:pPr>
              <w:pStyle w:val="51"/>
              <w:keepNext w:val="0"/>
              <w:keepLines w:val="0"/>
              <w:pageBreakBefore w:val="0"/>
              <w:widowControl w:val="0"/>
              <w:kinsoku/>
              <w:wordWrap/>
              <w:overflowPunct/>
              <w:topLinePunct w:val="0"/>
              <w:autoSpaceDE/>
              <w:autoSpaceDN/>
              <w:bidi w:val="0"/>
              <w:spacing w:after="0" w:line="360" w:lineRule="auto"/>
              <w:ind w:left="0" w:leftChars="0" w:firstLine="480" w:firstLineChars="200"/>
              <w:jc w:val="both"/>
              <w:textAlignment w:val="auto"/>
              <w:rPr>
                <w:rFonts w:hint="default" w:ascii="Times New Roman" w:hAnsi="Times New Roman" w:eastAsia="宋体" w:cs="Times New Roman"/>
                <w:color w:val="262626"/>
                <w:kern w:val="0"/>
                <w:sz w:val="24"/>
                <w:szCs w:val="24"/>
                <w:lang w:val="en-US" w:eastAsia="zh-CN" w:bidi="ar-SA"/>
              </w:rPr>
            </w:pPr>
            <w:r>
              <w:rPr>
                <w:rFonts w:hint="eastAsia"/>
                <w:color w:val="auto"/>
                <w:sz w:val="24"/>
                <w:szCs w:val="24"/>
              </w:rPr>
              <w:t>根据《主要污染物总量减排核算技术指南（</w:t>
            </w:r>
            <w:r>
              <w:rPr>
                <w:color w:val="auto"/>
                <w:sz w:val="24"/>
                <w:szCs w:val="24"/>
              </w:rPr>
              <w:t xml:space="preserve">2022 </w:t>
            </w:r>
            <w:r>
              <w:rPr>
                <w:rFonts w:hint="eastAsia"/>
                <w:color w:val="auto"/>
                <w:sz w:val="24"/>
                <w:szCs w:val="24"/>
              </w:rPr>
              <w:t>年修订）》中表</w:t>
            </w:r>
            <w:r>
              <w:rPr>
                <w:color w:val="auto"/>
                <w:sz w:val="24"/>
                <w:szCs w:val="24"/>
              </w:rPr>
              <w:t>2-3</w:t>
            </w:r>
            <w:r>
              <w:rPr>
                <w:rFonts w:hint="eastAsia"/>
                <w:color w:val="auto"/>
                <w:sz w:val="24"/>
                <w:szCs w:val="24"/>
              </w:rPr>
              <w:t>废气收集效率通用系数，项目拟密闭车间，设置单层密闭正压，设施集气效率为</w:t>
            </w:r>
            <w:r>
              <w:rPr>
                <w:color w:val="auto"/>
                <w:sz w:val="24"/>
                <w:szCs w:val="24"/>
              </w:rPr>
              <w:t>80%</w:t>
            </w:r>
            <w:r>
              <w:rPr>
                <w:rFonts w:hint="eastAsia"/>
                <w:color w:val="auto"/>
                <w:sz w:val="24"/>
                <w:szCs w:val="24"/>
              </w:rPr>
              <w:t>。</w:t>
            </w:r>
            <w:r>
              <w:rPr>
                <w:rFonts w:hint="eastAsia"/>
                <w:color w:val="auto"/>
                <w:sz w:val="24"/>
                <w:szCs w:val="24"/>
                <w:highlight w:val="none"/>
              </w:rPr>
              <w:t>建设单位拟将注塑工序废气收集后引至1套“</w:t>
            </w:r>
            <w:r>
              <w:rPr>
                <w:rFonts w:hint="eastAsia"/>
                <w:color w:val="auto"/>
                <w:sz w:val="24"/>
                <w:szCs w:val="24"/>
                <w:highlight w:val="none"/>
                <w:lang w:val="en-US" w:eastAsia="zh-CN"/>
              </w:rPr>
              <w:t>二级</w:t>
            </w:r>
            <w:r>
              <w:rPr>
                <w:rFonts w:hint="eastAsia"/>
                <w:color w:val="auto"/>
                <w:sz w:val="24"/>
                <w:szCs w:val="24"/>
                <w:highlight w:val="none"/>
              </w:rPr>
              <w:t>活性炭吸附装置”处理后经过1根</w:t>
            </w:r>
            <w:r>
              <w:rPr>
                <w:rFonts w:hint="eastAsia"/>
                <w:color w:val="auto"/>
                <w:sz w:val="24"/>
                <w:szCs w:val="24"/>
                <w:highlight w:val="none"/>
                <w:lang w:val="en-US" w:eastAsia="zh-CN"/>
              </w:rPr>
              <w:t>15</w:t>
            </w:r>
            <w:r>
              <w:rPr>
                <w:rFonts w:hint="eastAsia"/>
                <w:color w:val="auto"/>
                <w:sz w:val="24"/>
                <w:szCs w:val="24"/>
                <w:highlight w:val="none"/>
              </w:rPr>
              <w:t>m高排气筒排放（DA00</w:t>
            </w:r>
            <w:r>
              <w:rPr>
                <w:rFonts w:hint="eastAsia"/>
                <w:color w:val="auto"/>
                <w:sz w:val="24"/>
                <w:szCs w:val="24"/>
                <w:highlight w:val="none"/>
                <w:lang w:val="en-US" w:eastAsia="zh-CN"/>
              </w:rPr>
              <w:t>1</w:t>
            </w:r>
            <w:r>
              <w:rPr>
                <w:rFonts w:hint="eastAsia"/>
                <w:color w:val="auto"/>
                <w:sz w:val="24"/>
                <w:szCs w:val="24"/>
                <w:highlight w:val="none"/>
              </w:rPr>
              <w:t>）</w:t>
            </w:r>
            <w:r>
              <w:rPr>
                <w:rFonts w:hint="eastAsia"/>
                <w:color w:val="auto"/>
                <w:sz w:val="24"/>
                <w:szCs w:val="24"/>
                <w:highlight w:val="none"/>
                <w:lang w:eastAsia="zh-CN"/>
              </w:rPr>
              <w:t>，</w:t>
            </w:r>
            <w:r>
              <w:rPr>
                <w:rFonts w:hint="default"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lang w:val="en-US" w:eastAsia="zh-CN"/>
              </w:rPr>
              <w:t>生态环境部发布</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关于印发</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主要污染物总量减排核算技术指南（2022年修订）&gt;的通知</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〔2022〕350号</w:t>
            </w:r>
            <w:r>
              <w:rPr>
                <w:rFonts w:hint="eastAsia" w:ascii="Times New Roman" w:hAnsi="Times New Roman" w:eastAsia="宋体" w:cs="Times New Roman"/>
                <w:color w:val="auto"/>
                <w:sz w:val="24"/>
                <w:szCs w:val="24"/>
                <w:lang w:val="en-US" w:eastAsia="zh-CN"/>
              </w:rPr>
              <w:t>中规定</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一次性活性炭的吸附效率50%。采用二级活性炭吸附效率为1-（1-50%）</w:t>
            </w:r>
            <w:r>
              <w:rPr>
                <w:rFonts w:hint="default" w:ascii="Arial" w:hAnsi="Arial" w:eastAsia="宋体" w:cs="Arial"/>
                <w:color w:val="auto"/>
                <w:sz w:val="24"/>
                <w:szCs w:val="24"/>
                <w:lang w:val="en-US" w:eastAsia="zh-CN"/>
              </w:rPr>
              <w:t>×</w:t>
            </w:r>
            <w:r>
              <w:rPr>
                <w:rFonts w:hint="eastAsia" w:ascii="Times New Roman" w:hAnsi="Times New Roman" w:eastAsia="宋体" w:cs="Times New Roman"/>
                <w:color w:val="auto"/>
                <w:sz w:val="24"/>
                <w:szCs w:val="24"/>
                <w:lang w:val="en-US" w:eastAsia="zh-CN"/>
              </w:rPr>
              <w:t>（1-50%）=75%。因此本项目活性炭</w:t>
            </w:r>
            <w:r>
              <w:rPr>
                <w:rFonts w:hint="eastAsia" w:ascii="Times New Roman" w:hAnsi="Times New Roman" w:eastAsia="宋体" w:cs="Times New Roman"/>
                <w:color w:val="auto"/>
                <w:sz w:val="24"/>
                <w:szCs w:val="24"/>
                <w:highlight w:val="none"/>
                <w:lang w:val="en-US" w:eastAsia="zh-CN"/>
              </w:rPr>
              <w:t>处理效率以75%计</w:t>
            </w:r>
            <w:r>
              <w:rPr>
                <w:rFonts w:hint="eastAsia" w:eastAsia="宋体" w:cs="Times New Roman"/>
                <w:color w:val="auto"/>
                <w:sz w:val="24"/>
                <w:szCs w:val="24"/>
                <w:highlight w:val="none"/>
                <w:lang w:val="en-US" w:eastAsia="zh-CN"/>
              </w:rPr>
              <w:t>，则本项目非甲烷总烃（VOCs）有组织排放量为</w:t>
            </w:r>
            <w:r>
              <w:rPr>
                <w:rFonts w:hint="eastAsia" w:cs="Times New Roman"/>
                <w:color w:val="auto"/>
                <w:sz w:val="24"/>
                <w:szCs w:val="24"/>
                <w:highlight w:val="none"/>
                <w:lang w:val="en-US" w:eastAsia="zh-CN"/>
              </w:rPr>
              <w:t>0.0162</w:t>
            </w:r>
            <w:r>
              <w:rPr>
                <w:rFonts w:hint="eastAsia"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无组织排放量为</w:t>
            </w:r>
            <w:r>
              <w:rPr>
                <w:rFonts w:hint="eastAsia" w:cs="Times New Roman"/>
                <w:color w:val="auto"/>
                <w:sz w:val="24"/>
                <w:szCs w:val="24"/>
                <w:highlight w:val="none"/>
                <w:lang w:val="en-US" w:eastAsia="zh-CN"/>
              </w:rPr>
              <w:t>0.0162</w:t>
            </w:r>
            <w:r>
              <w:rPr>
                <w:rFonts w:hint="eastAsia"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eastAsia" w:cs="Times New Roman"/>
                <w:bCs/>
                <w:color w:val="auto"/>
                <w:kern w:val="2"/>
                <w:sz w:val="24"/>
                <w:szCs w:val="24"/>
                <w:lang w:val="en-US" w:eastAsia="zh-CN" w:bidi="ar-SA"/>
              </w:rPr>
              <w:t>注塑废气经集气罩收集后通过二级活性炭处理，</w:t>
            </w:r>
            <w:r>
              <w:rPr>
                <w:rFonts w:hint="eastAsia" w:ascii="Times New Roman" w:hAnsi="Times New Roman" w:eastAsia="宋体" w:cs="Times New Roman"/>
                <w:color w:val="262626"/>
                <w:kern w:val="0"/>
                <w:sz w:val="24"/>
                <w:szCs w:val="24"/>
                <w:lang w:val="en-US" w:eastAsia="zh-CN" w:bidi="ar-SA"/>
              </w:rPr>
              <w:t>由15m高排气DA001排放，造成的环境影响可以忽略不计，本环评仅做定性分析。</w:t>
            </w:r>
          </w:p>
          <w:p w14:paraId="78C0709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（2）臭气（异味气体）</w:t>
            </w:r>
          </w:p>
          <w:p w14:paraId="7CA1FEAE">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ascii="Times New Roman" w:hAnsi="Times New Roman" w:eastAsia="宋体" w:cs="Times New Roman"/>
                <w:color w:val="262626"/>
                <w:kern w:val="0"/>
                <w:sz w:val="24"/>
                <w:szCs w:val="24"/>
                <w:lang w:val="en-US" w:eastAsia="zh-CN" w:bidi="ar-SA"/>
              </w:rPr>
              <w:t>本项目</w:t>
            </w:r>
            <w:r>
              <w:rPr>
                <w:rFonts w:hint="eastAsia" w:ascii="Times New Roman" w:hAnsi="Times New Roman" w:eastAsia="宋体" w:cs="Times New Roman"/>
                <w:color w:val="262626"/>
                <w:kern w:val="0"/>
                <w:sz w:val="24"/>
                <w:szCs w:val="24"/>
                <w:lang w:val="en-US" w:eastAsia="zh-CN" w:bidi="ar-SA"/>
              </w:rPr>
              <w:t>塑料颗粒</w:t>
            </w:r>
            <w:r>
              <w:rPr>
                <w:rFonts w:ascii="Times New Roman" w:hAnsi="Times New Roman" w:eastAsia="宋体" w:cs="Times New Roman"/>
                <w:color w:val="262626"/>
                <w:kern w:val="0"/>
                <w:sz w:val="24"/>
                <w:szCs w:val="24"/>
                <w:lang w:val="en-US" w:eastAsia="zh-CN" w:bidi="ar-SA"/>
              </w:rPr>
              <w:t>在</w:t>
            </w:r>
            <w:r>
              <w:rPr>
                <w:rFonts w:hint="eastAsia" w:ascii="Times New Roman" w:hAnsi="Times New Roman" w:eastAsia="宋体" w:cs="Times New Roman"/>
                <w:color w:val="262626"/>
                <w:kern w:val="0"/>
                <w:sz w:val="24"/>
                <w:szCs w:val="24"/>
                <w:lang w:val="en-US" w:eastAsia="zh-CN" w:bidi="ar-SA"/>
              </w:rPr>
              <w:t>注塑加热</w:t>
            </w:r>
            <w:r>
              <w:rPr>
                <w:rFonts w:ascii="Times New Roman" w:hAnsi="Times New Roman" w:eastAsia="宋体" w:cs="Times New Roman"/>
                <w:color w:val="262626"/>
                <w:kern w:val="0"/>
                <w:sz w:val="24"/>
                <w:szCs w:val="24"/>
                <w:lang w:val="en-US" w:eastAsia="zh-CN" w:bidi="ar-SA"/>
              </w:rPr>
              <w:t>过程会产生少量的臭气，主要为塑料颗粒在高温加热工序，发生反应，挥发而成。项目原料受热情况下，原料中残存未聚合的反应单体以及从聚合物中分解出的单体可挥发至空气中，其组分较复杂，因此本项目用臭气浓度指标来衡量项目生产过</w:t>
            </w:r>
            <w:r>
              <w:rPr>
                <w:rFonts w:hint="eastAsia" w:ascii="Times New Roman" w:hAnsi="Times New Roman" w:eastAsia="宋体" w:cs="Times New Roman"/>
                <w:color w:val="262626"/>
                <w:kern w:val="0"/>
                <w:sz w:val="24"/>
                <w:szCs w:val="24"/>
                <w:lang w:val="en-US" w:eastAsia="zh-CN" w:bidi="ar-SA"/>
              </w:rPr>
              <w:t>程中</w:t>
            </w:r>
            <w:r>
              <w:rPr>
                <w:rFonts w:ascii="Times New Roman" w:hAnsi="Times New Roman" w:eastAsia="宋体" w:cs="Times New Roman"/>
                <w:color w:val="262626"/>
                <w:kern w:val="0"/>
                <w:sz w:val="24"/>
                <w:szCs w:val="24"/>
                <w:lang w:val="en-US" w:eastAsia="zh-CN" w:bidi="ar-SA"/>
              </w:rPr>
              <w:t>产生的恶臭污染程度，本项目臭气经收集后</w:t>
            </w:r>
            <w:r>
              <w:rPr>
                <w:rFonts w:hint="eastAsia" w:ascii="Times New Roman" w:hAnsi="Times New Roman" w:eastAsia="宋体" w:cs="Times New Roman"/>
                <w:color w:val="262626"/>
                <w:kern w:val="0"/>
                <w:sz w:val="24"/>
                <w:szCs w:val="24"/>
                <w:lang w:val="en-US" w:eastAsia="zh-CN" w:bidi="ar-SA"/>
              </w:rPr>
              <w:t>通过</w:t>
            </w:r>
            <w:r>
              <w:rPr>
                <w:rFonts w:ascii="Times New Roman" w:hAnsi="Times New Roman" w:eastAsia="宋体" w:cs="Times New Roman"/>
                <w:color w:val="262626"/>
                <w:kern w:val="0"/>
                <w:sz w:val="24"/>
                <w:szCs w:val="24"/>
                <w:lang w:val="en-US" w:eastAsia="zh-CN" w:bidi="ar-SA"/>
              </w:rPr>
              <w:t>活性炭吸附治理后</w:t>
            </w:r>
            <w:r>
              <w:rPr>
                <w:rFonts w:hint="eastAsia" w:ascii="Times New Roman" w:hAnsi="Times New Roman" w:eastAsia="宋体" w:cs="Times New Roman"/>
                <w:color w:val="262626"/>
                <w:kern w:val="0"/>
                <w:sz w:val="24"/>
                <w:szCs w:val="24"/>
                <w:lang w:val="en-US" w:eastAsia="zh-CN" w:bidi="ar-SA"/>
              </w:rPr>
              <w:t>高空排放</w:t>
            </w:r>
            <w:r>
              <w:rPr>
                <w:rFonts w:ascii="Times New Roman" w:hAnsi="Times New Roman" w:eastAsia="宋体" w:cs="Times New Roman"/>
                <w:color w:val="262626"/>
                <w:kern w:val="0"/>
                <w:sz w:val="24"/>
                <w:szCs w:val="24"/>
                <w:lang w:val="en-US" w:eastAsia="zh-CN" w:bidi="ar-SA"/>
              </w:rPr>
              <w:t>，能够减轻项目</w:t>
            </w:r>
            <w:r>
              <w:rPr>
                <w:rFonts w:hint="eastAsia" w:ascii="Times New Roman" w:hAnsi="Times New Roman" w:eastAsia="宋体" w:cs="Times New Roman"/>
                <w:color w:val="262626"/>
                <w:kern w:val="0"/>
                <w:sz w:val="24"/>
                <w:szCs w:val="24"/>
                <w:lang w:val="en-US" w:eastAsia="zh-CN" w:bidi="ar-SA"/>
              </w:rPr>
              <w:t>原料</w:t>
            </w:r>
            <w:r>
              <w:rPr>
                <w:rFonts w:ascii="Times New Roman" w:hAnsi="Times New Roman" w:eastAsia="宋体" w:cs="Times New Roman"/>
                <w:color w:val="262626"/>
                <w:kern w:val="0"/>
                <w:sz w:val="24"/>
                <w:szCs w:val="24"/>
                <w:lang w:val="en-US" w:eastAsia="zh-CN" w:bidi="ar-SA"/>
              </w:rPr>
              <w:t>加热</w:t>
            </w:r>
            <w:r>
              <w:rPr>
                <w:rFonts w:hint="eastAsia" w:ascii="Times New Roman" w:hAnsi="Times New Roman" w:eastAsia="宋体" w:cs="Times New Roman"/>
                <w:color w:val="262626"/>
                <w:kern w:val="0"/>
                <w:sz w:val="24"/>
                <w:szCs w:val="24"/>
                <w:lang w:val="en-US" w:eastAsia="zh-CN" w:bidi="ar-SA"/>
              </w:rPr>
              <w:t>挤出</w:t>
            </w:r>
            <w:r>
              <w:rPr>
                <w:rFonts w:ascii="Times New Roman" w:hAnsi="Times New Roman" w:eastAsia="宋体" w:cs="Times New Roman"/>
                <w:color w:val="262626"/>
                <w:kern w:val="0"/>
                <w:sz w:val="24"/>
                <w:szCs w:val="24"/>
                <w:lang w:val="en-US" w:eastAsia="zh-CN" w:bidi="ar-SA"/>
              </w:rPr>
              <w:t>过程中</w:t>
            </w:r>
            <w:r>
              <w:rPr>
                <w:rFonts w:hint="eastAsia" w:ascii="Times New Roman" w:hAnsi="Times New Roman" w:eastAsia="宋体" w:cs="Times New Roman"/>
                <w:color w:val="262626"/>
                <w:kern w:val="0"/>
                <w:sz w:val="24"/>
                <w:szCs w:val="24"/>
                <w:lang w:val="en-US" w:eastAsia="zh-CN" w:bidi="ar-SA"/>
              </w:rPr>
              <w:t>产生</w:t>
            </w:r>
            <w:r>
              <w:rPr>
                <w:rFonts w:ascii="Times New Roman" w:hAnsi="Times New Roman" w:eastAsia="宋体" w:cs="Times New Roman"/>
                <w:color w:val="262626"/>
                <w:kern w:val="0"/>
                <w:sz w:val="24"/>
                <w:szCs w:val="24"/>
                <w:lang w:val="en-US" w:eastAsia="zh-CN" w:bidi="ar-SA"/>
              </w:rPr>
              <w:t>的异味，</w:t>
            </w:r>
            <w:r>
              <w:rPr>
                <w:rFonts w:hint="eastAsia" w:ascii="Times New Roman" w:hAnsi="Times New Roman" w:eastAsia="宋体" w:cs="Times New Roman"/>
                <w:color w:val="262626"/>
                <w:kern w:val="0"/>
                <w:sz w:val="24"/>
                <w:szCs w:val="24"/>
                <w:lang w:val="en-US" w:eastAsia="zh-CN" w:bidi="ar-SA"/>
              </w:rPr>
              <w:t>项目周边以工业企业为主，项目周边最近的环境敏感点为项目西南侧177m的下田村，有一定距离，项目产生的臭气经收集治理（活性炭吸附）后，对周边环境不会造成显著影响，因此，</w:t>
            </w:r>
            <w:r>
              <w:rPr>
                <w:rFonts w:ascii="Times New Roman" w:hAnsi="Times New Roman" w:eastAsia="宋体" w:cs="Times New Roman"/>
                <w:color w:val="262626"/>
                <w:kern w:val="0"/>
                <w:sz w:val="24"/>
                <w:szCs w:val="24"/>
                <w:lang w:val="en-US" w:eastAsia="zh-CN" w:bidi="ar-SA"/>
              </w:rPr>
              <w:t>本评价</w:t>
            </w:r>
            <w:r>
              <w:rPr>
                <w:rFonts w:hint="eastAsia" w:ascii="Times New Roman" w:hAnsi="Times New Roman" w:eastAsia="宋体" w:cs="Times New Roman"/>
                <w:color w:val="262626"/>
                <w:kern w:val="0"/>
                <w:sz w:val="24"/>
                <w:szCs w:val="24"/>
                <w:lang w:val="en-US" w:eastAsia="zh-CN" w:bidi="ar-SA"/>
              </w:rPr>
              <w:t>仅</w:t>
            </w:r>
            <w:r>
              <w:rPr>
                <w:rFonts w:ascii="Times New Roman" w:hAnsi="Times New Roman" w:eastAsia="宋体" w:cs="Times New Roman"/>
                <w:color w:val="262626"/>
                <w:kern w:val="0"/>
                <w:sz w:val="24"/>
                <w:szCs w:val="24"/>
                <w:lang w:val="en-US" w:eastAsia="zh-CN" w:bidi="ar-SA"/>
              </w:rPr>
              <w:t>做定性分析。</w:t>
            </w:r>
          </w:p>
          <w:p w14:paraId="56129C7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（3）</w:t>
            </w:r>
            <w:r>
              <w:rPr>
                <w:rFonts w:hint="eastAsia" w:cs="Times New Roman"/>
                <w:color w:val="262626"/>
                <w:kern w:val="0"/>
                <w:sz w:val="24"/>
                <w:szCs w:val="24"/>
                <w:lang w:val="en-US" w:eastAsia="zh-CN" w:bidi="ar-SA"/>
              </w:rPr>
              <w:t>粉</w:t>
            </w:r>
            <w:r>
              <w:rPr>
                <w:rFonts w:hint="eastAsia" w:ascii="Times New Roman" w:hAnsi="Times New Roman" w:eastAsia="宋体" w:cs="Times New Roman"/>
                <w:color w:val="262626"/>
                <w:kern w:val="0"/>
                <w:sz w:val="24"/>
                <w:szCs w:val="24"/>
                <w:lang w:val="en-US" w:eastAsia="zh-CN" w:bidi="ar-SA"/>
              </w:rPr>
              <w:t>碎废气（颗粒物）</w:t>
            </w:r>
          </w:p>
          <w:p w14:paraId="70B1A4B9">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color w:val="000000"/>
                <w:sz w:val="24"/>
                <w:szCs w:val="24"/>
              </w:rPr>
            </w:pPr>
            <w:r>
              <w:rPr>
                <w:rFonts w:hint="eastAsia" w:ascii="Times New Roman" w:hAnsi="Times New Roman" w:eastAsia="宋体" w:cs="Times New Roman"/>
                <w:color w:val="262626"/>
                <w:kern w:val="0"/>
                <w:sz w:val="24"/>
                <w:szCs w:val="24"/>
                <w:lang w:val="en-US" w:eastAsia="zh-CN" w:bidi="ar-SA"/>
              </w:rPr>
              <w:t>项目在工业连接器和工业线缆注塑过程中会产生料头，料头在粉碎过程中会有少量粉尘（以颗粒物计）产生，粉碎产生的颗粒物参考《排放源统计调查产排污核算方法和系数手册废弃资源综合利</w:t>
            </w:r>
            <w:r>
              <w:rPr>
                <w:rFonts w:hint="eastAsia"/>
                <w:color w:val="000000"/>
                <w:sz w:val="24"/>
                <w:szCs w:val="24"/>
              </w:rPr>
              <w:t>用行业系数手册》，其中“42废弃资源综合利用行业系数手册”，再生塑料粒子破碎工段中，废PE/PP产尘系数为375g/t-原料，废PS/ABS产尘系数为425g/t-原料，由于手册中未规定废PA</w:t>
            </w:r>
            <w:r>
              <w:rPr>
                <w:rFonts w:hint="eastAsia"/>
                <w:color w:val="000000"/>
                <w:sz w:val="24"/>
                <w:szCs w:val="24"/>
                <w:lang w:val="en-US" w:eastAsia="zh-CN"/>
              </w:rPr>
              <w:t>/PC/TPU</w:t>
            </w:r>
            <w:r>
              <w:rPr>
                <w:rFonts w:hint="eastAsia"/>
                <w:color w:val="000000"/>
                <w:sz w:val="24"/>
                <w:szCs w:val="24"/>
              </w:rPr>
              <w:t>的产尘系数，本次评价参照废PS/ABS执行。根据建设单位提供的信息，注塑过程中产生的料头约为原料塑料粒子用量</w:t>
            </w:r>
            <w:r>
              <w:rPr>
                <w:rFonts w:hint="eastAsia"/>
                <w:color w:val="000000"/>
                <w:sz w:val="24"/>
                <w:szCs w:val="24"/>
                <w:lang w:val="en-US" w:eastAsia="zh-CN"/>
              </w:rPr>
              <w:t>30</w:t>
            </w:r>
            <w:r>
              <w:rPr>
                <w:rFonts w:hint="eastAsia"/>
                <w:color w:val="000000"/>
                <w:sz w:val="24"/>
                <w:szCs w:val="24"/>
              </w:rPr>
              <w:t>t/a的1%～2%（本项目以2%计），则粉碎量为</w:t>
            </w:r>
            <w:r>
              <w:rPr>
                <w:rFonts w:hint="eastAsia"/>
                <w:color w:val="000000"/>
                <w:sz w:val="24"/>
                <w:szCs w:val="24"/>
                <w:lang w:val="en-US" w:eastAsia="zh-CN"/>
              </w:rPr>
              <w:t>0.6</w:t>
            </w:r>
            <w:r>
              <w:rPr>
                <w:rFonts w:hint="eastAsia"/>
                <w:color w:val="000000"/>
                <w:sz w:val="24"/>
                <w:szCs w:val="24"/>
              </w:rPr>
              <w:t>t/a，故颗粒物产生量约0.000</w:t>
            </w:r>
            <w:r>
              <w:rPr>
                <w:rFonts w:hint="eastAsia"/>
                <w:color w:val="000000"/>
                <w:sz w:val="24"/>
                <w:szCs w:val="24"/>
                <w:lang w:val="en-US" w:eastAsia="zh-CN"/>
              </w:rPr>
              <w:t>255</w:t>
            </w:r>
            <w:r>
              <w:rPr>
                <w:rFonts w:hint="eastAsia"/>
                <w:color w:val="000000"/>
                <w:sz w:val="24"/>
                <w:szCs w:val="24"/>
              </w:rPr>
              <w:t>t/a。</w:t>
            </w:r>
          </w:p>
          <w:p w14:paraId="29A302D0">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color w:val="000000"/>
                <w:sz w:val="24"/>
                <w:szCs w:val="24"/>
                <w:lang w:val="en-US" w:eastAsia="zh-CN"/>
              </w:rPr>
            </w:pPr>
            <w:r>
              <w:rPr>
                <w:rFonts w:hint="default"/>
                <w:color w:val="000000"/>
                <w:sz w:val="24"/>
                <w:szCs w:val="24"/>
                <w:lang w:val="en-US" w:eastAsia="zh-CN"/>
              </w:rPr>
              <w:t>综上所述，本项目粉碎工序颗粒物产生量共</w:t>
            </w:r>
            <w:r>
              <w:rPr>
                <w:rFonts w:hint="eastAsia"/>
                <w:color w:val="000000"/>
                <w:sz w:val="24"/>
                <w:szCs w:val="24"/>
              </w:rPr>
              <w:t>0.000</w:t>
            </w:r>
            <w:r>
              <w:rPr>
                <w:rFonts w:hint="eastAsia"/>
                <w:color w:val="000000"/>
                <w:sz w:val="24"/>
                <w:szCs w:val="24"/>
                <w:lang w:val="en-US" w:eastAsia="zh-CN"/>
              </w:rPr>
              <w:t>255</w:t>
            </w:r>
            <w:r>
              <w:rPr>
                <w:rFonts w:hint="default"/>
                <w:color w:val="000000"/>
                <w:sz w:val="24"/>
                <w:szCs w:val="24"/>
                <w:lang w:val="en-US" w:eastAsia="zh-CN"/>
              </w:rPr>
              <w:t>t/a，粉碎工序产生的颗粒物拟采用移动除尘器处理后加强车间通风无组织排放（收集效率约90%，处理效率约90%），则无组织排放量约为</w:t>
            </w:r>
            <w:r>
              <w:rPr>
                <w:rFonts w:hint="eastAsia"/>
                <w:color w:val="000000"/>
                <w:sz w:val="24"/>
                <w:szCs w:val="24"/>
                <w:lang w:val="en-US" w:eastAsia="zh-CN"/>
              </w:rPr>
              <w:t>0.000048</w:t>
            </w:r>
            <w:r>
              <w:rPr>
                <w:rFonts w:hint="default"/>
                <w:color w:val="000000"/>
                <w:sz w:val="24"/>
                <w:szCs w:val="24"/>
                <w:lang w:val="en-US" w:eastAsia="zh-CN"/>
              </w:rPr>
              <w:t>t/a</w:t>
            </w:r>
            <w:r>
              <w:rPr>
                <w:rFonts w:hint="eastAsia"/>
                <w:color w:val="000000"/>
                <w:sz w:val="24"/>
                <w:szCs w:val="24"/>
                <w:lang w:val="en-US" w:eastAsia="zh-CN"/>
              </w:rPr>
              <w:t>（0.000255</w:t>
            </w:r>
            <w:r>
              <w:rPr>
                <w:rFonts w:hint="eastAsia" w:ascii="Times New Roman" w:hAnsi="Times New Roman" w:eastAsia="宋体" w:cs="Times New Roman"/>
                <w:color w:val="262626"/>
                <w:kern w:val="0"/>
                <w:sz w:val="24"/>
                <w:szCs w:val="24"/>
                <w:lang w:val="en-US" w:eastAsia="zh-CN" w:bidi="ar-SA"/>
              </w:rPr>
              <w:t>×</w:t>
            </w:r>
            <w:r>
              <w:rPr>
                <w:rFonts w:hint="eastAsia"/>
                <w:color w:val="000000"/>
                <w:sz w:val="24"/>
                <w:szCs w:val="24"/>
                <w:lang w:val="en-US" w:eastAsia="zh-CN"/>
              </w:rPr>
              <w:t>0.1+0.000255</w:t>
            </w:r>
            <w:r>
              <w:rPr>
                <w:rFonts w:hint="eastAsia" w:ascii="Times New Roman" w:hAnsi="Times New Roman" w:eastAsia="宋体" w:cs="Times New Roman"/>
                <w:color w:val="262626"/>
                <w:kern w:val="0"/>
                <w:sz w:val="24"/>
                <w:szCs w:val="24"/>
                <w:lang w:val="en-US" w:eastAsia="zh-CN" w:bidi="ar-SA"/>
              </w:rPr>
              <w:t>×</w:t>
            </w:r>
            <w:r>
              <w:rPr>
                <w:rFonts w:hint="eastAsia"/>
                <w:color w:val="000000"/>
                <w:sz w:val="24"/>
                <w:szCs w:val="24"/>
                <w:lang w:val="en-US" w:eastAsia="zh-CN"/>
              </w:rPr>
              <w:t>0.9</w:t>
            </w:r>
            <w:r>
              <w:rPr>
                <w:rFonts w:hint="eastAsia" w:ascii="Times New Roman" w:hAnsi="Times New Roman" w:eastAsia="宋体" w:cs="Times New Roman"/>
                <w:color w:val="262626"/>
                <w:kern w:val="0"/>
                <w:sz w:val="24"/>
                <w:szCs w:val="24"/>
                <w:lang w:val="en-US" w:eastAsia="zh-CN" w:bidi="ar-SA"/>
              </w:rPr>
              <w:t>×</w:t>
            </w:r>
            <w:r>
              <w:rPr>
                <w:rFonts w:hint="eastAsia"/>
                <w:color w:val="000000"/>
                <w:sz w:val="24"/>
                <w:szCs w:val="24"/>
                <w:lang w:val="en-US" w:eastAsia="zh-CN"/>
              </w:rPr>
              <w:t>（1-90%））</w:t>
            </w:r>
            <w:r>
              <w:rPr>
                <w:rFonts w:hint="default"/>
                <w:color w:val="000000"/>
                <w:sz w:val="24"/>
                <w:szCs w:val="24"/>
                <w:lang w:val="en-US" w:eastAsia="zh-CN"/>
              </w:rPr>
              <w:t>。</w:t>
            </w:r>
          </w:p>
          <w:p w14:paraId="46767F7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4</w:t>
            </w: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喷粉废气</w:t>
            </w:r>
            <w:r>
              <w:rPr>
                <w:rFonts w:hint="eastAsia" w:ascii="Times New Roman" w:hAnsi="Times New Roman" w:eastAsia="宋体" w:cs="Times New Roman"/>
                <w:color w:val="262626"/>
                <w:kern w:val="0"/>
                <w:sz w:val="24"/>
                <w:szCs w:val="24"/>
                <w:lang w:val="en-US" w:eastAsia="zh-CN" w:bidi="ar-SA"/>
              </w:rPr>
              <w:t>（颗粒物）</w:t>
            </w:r>
          </w:p>
          <w:p w14:paraId="645CB06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262626"/>
                <w:kern w:val="0"/>
                <w:sz w:val="24"/>
                <w:szCs w:val="24"/>
                <w:lang w:val="en-US" w:eastAsia="zh-CN" w:bidi="ar-SA"/>
              </w:rPr>
            </w:pPr>
            <w:r>
              <w:rPr>
                <w:rFonts w:hint="default" w:ascii="Times New Roman" w:hAnsi="Times New Roman" w:eastAsia="宋体" w:cs="Times New Roman"/>
                <w:color w:val="262626"/>
                <w:kern w:val="0"/>
                <w:sz w:val="24"/>
                <w:szCs w:val="24"/>
                <w:lang w:val="en-US" w:eastAsia="zh-CN" w:bidi="ar-SA"/>
              </w:rPr>
              <w:t>本项目喷粉工序年使用塑粉1.5t，参照《排放源统计调查产排污核算方法和系数手册》中“粉末喷涂”工段产污系数6.0kg/t-原料，颗粒物产生量为0.009t/a。喷粉柜采用负压收集+滤芯回收系统，收集效率90%，处理效率95%，则有组织排放量为0.000405t/a，无组织排放量为0.0009t/a，合计0.001305t/a，排放浓度0.27mg/m³，满足《合成树脂工业污染物排放标准》（GB 31572-2015）表5特别排放限值（颗粒物≤20mg/m³）。</w:t>
            </w:r>
          </w:p>
          <w:p w14:paraId="3FF93F2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5</w:t>
            </w: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烘烤废气</w:t>
            </w:r>
            <w:r>
              <w:rPr>
                <w:rFonts w:hint="eastAsia" w:ascii="Times New Roman" w:hAnsi="Times New Roman" w:eastAsia="宋体" w:cs="Times New Roman"/>
                <w:color w:val="262626"/>
                <w:kern w:val="0"/>
                <w:sz w:val="24"/>
                <w:szCs w:val="24"/>
                <w:lang w:val="en-US" w:eastAsia="zh-CN" w:bidi="ar-SA"/>
              </w:rPr>
              <w:t>（VOCs）</w:t>
            </w:r>
          </w:p>
          <w:p w14:paraId="465DC20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烘干工序参照《排放源统计调查产排污核算方法和系数手册》中“金属表面处理及热处理加工行业—粉末喷涂固化”工段给出的VOCs产污系数1.5kg/t-原料，本项目年用聚酯塑粉1.5t，则VOCs产生量＝1.5t×1.5kg/t÷1000＝0.00225t；经密闭烘道90%收集后引入二级活性炭装置（处理效率75%），有组织排放量＝0.00225t×90%×(1－75%)＝0.00051t，无组织排放量＝0.00225 t×10%＝0.000225 t，合计0.000735t。</w:t>
            </w:r>
          </w:p>
          <w:p w14:paraId="4AF33DB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262626"/>
                <w:kern w:val="0"/>
                <w:sz w:val="24"/>
                <w:szCs w:val="24"/>
                <w:lang w:val="en-US" w:eastAsia="zh-CN" w:bidi="ar-SA"/>
              </w:rPr>
            </w:pP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6</w:t>
            </w:r>
            <w:r>
              <w:rPr>
                <w:rFonts w:hint="eastAsia" w:ascii="Times New Roman" w:hAnsi="Times New Roman" w:eastAsia="宋体" w:cs="Times New Roman"/>
                <w:color w:val="262626"/>
                <w:kern w:val="0"/>
                <w:sz w:val="24"/>
                <w:szCs w:val="24"/>
                <w:lang w:val="en-US" w:eastAsia="zh-CN" w:bidi="ar-SA"/>
              </w:rPr>
              <w:t>）</w:t>
            </w:r>
            <w:r>
              <w:rPr>
                <w:rFonts w:hint="eastAsia" w:cs="Times New Roman"/>
                <w:color w:val="262626"/>
                <w:kern w:val="0"/>
                <w:sz w:val="24"/>
                <w:szCs w:val="24"/>
                <w:lang w:val="en-US" w:eastAsia="zh-CN" w:bidi="ar-SA"/>
              </w:rPr>
              <w:t>除油废气</w:t>
            </w:r>
            <w:r>
              <w:rPr>
                <w:rFonts w:hint="eastAsia" w:ascii="Times New Roman" w:hAnsi="Times New Roman" w:eastAsia="宋体" w:cs="Times New Roman"/>
                <w:color w:val="262626"/>
                <w:kern w:val="0"/>
                <w:sz w:val="24"/>
                <w:szCs w:val="24"/>
                <w:lang w:val="en-US" w:eastAsia="zh-CN" w:bidi="ar-SA"/>
              </w:rPr>
              <w:t>（VOCs）</w:t>
            </w:r>
          </w:p>
          <w:p w14:paraId="0FC2362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color w:val="000000"/>
                <w:sz w:val="24"/>
                <w:szCs w:val="24"/>
                <w:lang w:val="en-US" w:eastAsia="zh-CN"/>
              </w:rPr>
            </w:pPr>
            <w:r>
              <w:rPr>
                <w:rFonts w:hint="eastAsia" w:ascii="Times New Roman" w:hAnsi="Times New Roman" w:eastAsia="宋体" w:cs="Times New Roman"/>
                <w:color w:val="262626"/>
                <w:kern w:val="0"/>
                <w:sz w:val="24"/>
                <w:szCs w:val="24"/>
                <w:lang w:val="en-US" w:eastAsia="zh-CN" w:bidi="ar-SA"/>
              </w:rPr>
              <w:t>除油工序碱性清洗废气（碱雾）源强采用《排放源统计调查产排污核算方法和系数手册》“金属表面处理行业——碱性清洗”工段产污系数1.0kg/t-除油剂计算：本项目年用除油剂0.3t，则碱雾产生量=0.3t×1.0kg/t÷1000=0.003t/a。废气经集气罩收集（收集效率80%）后，汇入二级活性炭吸附装置，参照《吸附法工业有机废气治理工程技术规范》HJ1093-2020对水溶性气溶胶的实测下限，去除效率取50%，故有组织排放量=0.003t/a×80%×(1-50%)=0.0012t/a，无组织排放量=0.003t/a×20%=0.0006t/a，合计0.0018t/a（排放速率0.00075kg/h），最终由DA001排气筒（15m）达标排放。</w:t>
            </w:r>
          </w:p>
        </w:tc>
      </w:tr>
    </w:tbl>
    <w:p w14:paraId="1402FCFB">
      <w:pPr>
        <w:jc w:val="center"/>
        <w:rPr>
          <w:rFonts w:hint="default" w:ascii="Times New Roman" w:hAnsi="Times New Roman" w:eastAsia="宋体" w:cs="Times New Roman"/>
          <w:color w:val="auto"/>
          <w:kern w:val="0"/>
          <w:sz w:val="24"/>
          <w:szCs w:val="24"/>
          <w:lang w:val="en-US" w:eastAsia="zh-CN"/>
        </w:rPr>
        <w:sectPr>
          <w:pgSz w:w="11906" w:h="16838"/>
          <w:pgMar w:top="1587" w:right="1417" w:bottom="1587" w:left="1417" w:header="851" w:footer="992" w:gutter="0"/>
          <w:pgBorders>
            <w:top w:val="none" w:sz="0" w:space="0"/>
            <w:left w:val="none" w:sz="0" w:space="0"/>
            <w:bottom w:val="none" w:sz="0" w:space="0"/>
            <w:right w:val="none" w:sz="0" w:space="0"/>
          </w:pgBorders>
          <w:pgNumType w:fmt="decimal"/>
          <w:cols w:space="0" w:num="1"/>
          <w:rtlGutter w:val="0"/>
          <w:docGrid w:type="lines" w:linePitch="318" w:charSpace="0"/>
        </w:sectPr>
      </w:pP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5"/>
        <w:gridCol w:w="13339"/>
      </w:tblGrid>
      <w:tr w14:paraId="7A331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9" w:hRule="atLeast"/>
        </w:trPr>
        <w:tc>
          <w:tcPr>
            <w:tcW w:w="193" w:type="pct"/>
            <w:vAlign w:val="center"/>
          </w:tcPr>
          <w:p w14:paraId="6F72F227">
            <w:pPr>
              <w:jc w:val="center"/>
              <w:rPr>
                <w:rFonts w:hint="default" w:ascii="Times New Roman" w:hAnsi="Times New Roman" w:eastAsia="宋体" w:cs="Times New Roman"/>
                <w:color w:val="auto"/>
                <w:kern w:val="0"/>
                <w:sz w:val="24"/>
                <w:szCs w:val="24"/>
                <w:lang w:val="en-US" w:eastAsia="zh-CN"/>
              </w:rPr>
            </w:pPr>
          </w:p>
        </w:tc>
        <w:tc>
          <w:tcPr>
            <w:tcW w:w="4806" w:type="pct"/>
          </w:tcPr>
          <w:p w14:paraId="541CCA98">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US" w:eastAsia="zh-CN"/>
              </w:rPr>
            </w:pPr>
            <w:bookmarkStart w:id="84" w:name="_Toc29384"/>
            <w:r>
              <w:rPr>
                <w:rFonts w:hint="eastAsia"/>
                <w:b/>
                <w:color w:val="262626"/>
                <w:kern w:val="0"/>
                <w:sz w:val="24"/>
                <w:lang w:val="en-US" w:eastAsia="zh-CN"/>
              </w:rPr>
              <w:t>4.1.2 废气产排情况一览表</w:t>
            </w:r>
            <w:bookmarkEnd w:id="84"/>
          </w:p>
          <w:p w14:paraId="057C37A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表4.1-3 项目废气产排情况一览表</w:t>
            </w:r>
          </w:p>
          <w:tbl>
            <w:tblPr>
              <w:tblStyle w:val="2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683"/>
              <w:gridCol w:w="489"/>
              <w:gridCol w:w="1033"/>
              <w:gridCol w:w="1004"/>
              <w:gridCol w:w="1008"/>
              <w:gridCol w:w="717"/>
              <w:gridCol w:w="1105"/>
              <w:gridCol w:w="1103"/>
              <w:gridCol w:w="1004"/>
              <w:gridCol w:w="1008"/>
              <w:gridCol w:w="814"/>
              <w:gridCol w:w="868"/>
              <w:gridCol w:w="489"/>
              <w:gridCol w:w="641"/>
              <w:gridCol w:w="684"/>
            </w:tblGrid>
            <w:tr w14:paraId="211D0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0" w:type="auto"/>
                  <w:vMerge w:val="restart"/>
                  <w:tcBorders>
                    <w:tl2br w:val="nil"/>
                    <w:tr2bl w:val="nil"/>
                  </w:tcBorders>
                  <w:vAlign w:val="center"/>
                </w:tcPr>
                <w:p w14:paraId="68B25E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排放形式</w:t>
                  </w:r>
                </w:p>
              </w:tc>
              <w:tc>
                <w:tcPr>
                  <w:tcW w:w="0" w:type="auto"/>
                  <w:vMerge w:val="restart"/>
                  <w:tcBorders>
                    <w:tl2br w:val="nil"/>
                    <w:tr2bl w:val="nil"/>
                  </w:tcBorders>
                  <w:vAlign w:val="center"/>
                </w:tcPr>
                <w:p w14:paraId="072F9A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产污工序</w:t>
                  </w:r>
                </w:p>
              </w:tc>
              <w:tc>
                <w:tcPr>
                  <w:tcW w:w="0" w:type="auto"/>
                  <w:vMerge w:val="restart"/>
                  <w:tcBorders>
                    <w:tl2br w:val="nil"/>
                    <w:tr2bl w:val="nil"/>
                  </w:tcBorders>
                  <w:vAlign w:val="center"/>
                </w:tcPr>
                <w:p w14:paraId="6A1085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污染物</w:t>
                  </w:r>
                </w:p>
              </w:tc>
              <w:tc>
                <w:tcPr>
                  <w:tcW w:w="0" w:type="auto"/>
                  <w:vMerge w:val="restart"/>
                  <w:tcBorders>
                    <w:tl2br w:val="nil"/>
                    <w:tr2bl w:val="nil"/>
                  </w:tcBorders>
                  <w:vAlign w:val="center"/>
                </w:tcPr>
                <w:p w14:paraId="7BE585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设计</w:t>
                  </w:r>
                  <w:r>
                    <w:rPr>
                      <w:rFonts w:hint="default" w:ascii="Times New Roman" w:hAnsi="Times New Roman" w:eastAsia="宋体" w:cs="Times New Roman"/>
                      <w:b w:val="0"/>
                      <w:bCs w:val="0"/>
                      <w:color w:val="auto"/>
                      <w:sz w:val="21"/>
                      <w:szCs w:val="21"/>
                      <w:u w:val="none"/>
                      <w:vertAlign w:val="baseline"/>
                      <w:lang w:val="en-US" w:eastAsia="zh-CN"/>
                    </w:rPr>
                    <w:t>风量</w:t>
                  </w:r>
                </w:p>
              </w:tc>
              <w:tc>
                <w:tcPr>
                  <w:tcW w:w="0" w:type="auto"/>
                  <w:gridSpan w:val="3"/>
                  <w:tcBorders>
                    <w:tl2br w:val="nil"/>
                    <w:tr2bl w:val="nil"/>
                  </w:tcBorders>
                  <w:vAlign w:val="center"/>
                </w:tcPr>
                <w:p w14:paraId="2D13E6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产生情况</w:t>
                  </w:r>
                </w:p>
              </w:tc>
              <w:tc>
                <w:tcPr>
                  <w:tcW w:w="0" w:type="auto"/>
                  <w:gridSpan w:val="2"/>
                  <w:vMerge w:val="restart"/>
                  <w:tcBorders>
                    <w:tl2br w:val="nil"/>
                    <w:tr2bl w:val="nil"/>
                  </w:tcBorders>
                  <w:vAlign w:val="center"/>
                </w:tcPr>
                <w:p w14:paraId="7A7D89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治理措施</w:t>
                  </w:r>
                </w:p>
              </w:tc>
              <w:tc>
                <w:tcPr>
                  <w:tcW w:w="0" w:type="auto"/>
                  <w:gridSpan w:val="3"/>
                  <w:tcBorders>
                    <w:tl2br w:val="nil"/>
                    <w:tr2bl w:val="nil"/>
                  </w:tcBorders>
                  <w:vAlign w:val="center"/>
                </w:tcPr>
                <w:p w14:paraId="0FFCB17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排放情况</w:t>
                  </w:r>
                </w:p>
              </w:tc>
              <w:tc>
                <w:tcPr>
                  <w:tcW w:w="0" w:type="auto"/>
                  <w:gridSpan w:val="4"/>
                  <w:tcBorders>
                    <w:tl2br w:val="nil"/>
                    <w:tr2bl w:val="nil"/>
                  </w:tcBorders>
                  <w:vAlign w:val="center"/>
                </w:tcPr>
                <w:p w14:paraId="330DAC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排气口基本情况</w:t>
                  </w:r>
                </w:p>
              </w:tc>
            </w:tr>
            <w:tr w14:paraId="45509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0" w:type="auto"/>
                  <w:vMerge w:val="continue"/>
                  <w:tcBorders>
                    <w:tl2br w:val="nil"/>
                    <w:tr2bl w:val="nil"/>
                  </w:tcBorders>
                  <w:vAlign w:val="center"/>
                </w:tcPr>
                <w:p w14:paraId="35B4FC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rPr>
                  </w:pPr>
                </w:p>
              </w:tc>
              <w:tc>
                <w:tcPr>
                  <w:tcW w:w="0" w:type="auto"/>
                  <w:vMerge w:val="continue"/>
                  <w:tcBorders>
                    <w:tl2br w:val="nil"/>
                    <w:tr2bl w:val="nil"/>
                  </w:tcBorders>
                  <w:vAlign w:val="center"/>
                </w:tcPr>
                <w:p w14:paraId="6E9AC1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rPr>
                  </w:pPr>
                </w:p>
              </w:tc>
              <w:tc>
                <w:tcPr>
                  <w:tcW w:w="0" w:type="auto"/>
                  <w:vMerge w:val="continue"/>
                  <w:tcBorders>
                    <w:tl2br w:val="nil"/>
                    <w:tr2bl w:val="nil"/>
                  </w:tcBorders>
                  <w:vAlign w:val="center"/>
                </w:tcPr>
                <w:p w14:paraId="16425E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rPr>
                  </w:pPr>
                </w:p>
              </w:tc>
              <w:tc>
                <w:tcPr>
                  <w:tcW w:w="0" w:type="auto"/>
                  <w:vMerge w:val="continue"/>
                  <w:tcBorders>
                    <w:tl2br w:val="nil"/>
                    <w:tr2bl w:val="nil"/>
                  </w:tcBorders>
                  <w:vAlign w:val="center"/>
                </w:tcPr>
                <w:p w14:paraId="146861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sz w:val="21"/>
                      <w:szCs w:val="21"/>
                    </w:rPr>
                  </w:pPr>
                </w:p>
              </w:tc>
              <w:tc>
                <w:tcPr>
                  <w:tcW w:w="0" w:type="auto"/>
                  <w:tcBorders>
                    <w:tl2br w:val="nil"/>
                    <w:tr2bl w:val="nil"/>
                  </w:tcBorders>
                  <w:vAlign w:val="center"/>
                </w:tcPr>
                <w:p w14:paraId="0D60EE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产生量</w:t>
                  </w:r>
                </w:p>
              </w:tc>
              <w:tc>
                <w:tcPr>
                  <w:tcW w:w="0" w:type="auto"/>
                  <w:tcBorders>
                    <w:tl2br w:val="nil"/>
                    <w:tr2bl w:val="nil"/>
                  </w:tcBorders>
                  <w:vAlign w:val="center"/>
                </w:tcPr>
                <w:p w14:paraId="57D54C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产生速率</w:t>
                  </w:r>
                </w:p>
              </w:tc>
              <w:tc>
                <w:tcPr>
                  <w:tcW w:w="0" w:type="auto"/>
                  <w:tcBorders>
                    <w:tl2br w:val="nil"/>
                    <w:tr2bl w:val="nil"/>
                  </w:tcBorders>
                  <w:vAlign w:val="center"/>
                </w:tcPr>
                <w:p w14:paraId="3447F9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产生浓度</w:t>
                  </w:r>
                </w:p>
              </w:tc>
              <w:tc>
                <w:tcPr>
                  <w:tcW w:w="0" w:type="auto"/>
                  <w:gridSpan w:val="2"/>
                  <w:vMerge w:val="continue"/>
                  <w:tcBorders>
                    <w:tl2br w:val="nil"/>
                    <w:tr2bl w:val="nil"/>
                  </w:tcBorders>
                  <w:vAlign w:val="center"/>
                </w:tcPr>
                <w:p w14:paraId="6C5DC8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vAlign w:val="center"/>
                </w:tcPr>
                <w:p w14:paraId="1C38E0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排放量</w:t>
                  </w:r>
                </w:p>
              </w:tc>
              <w:tc>
                <w:tcPr>
                  <w:tcW w:w="0" w:type="auto"/>
                  <w:tcBorders>
                    <w:tl2br w:val="nil"/>
                    <w:tr2bl w:val="nil"/>
                  </w:tcBorders>
                  <w:vAlign w:val="center"/>
                </w:tcPr>
                <w:p w14:paraId="28CAD9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排放速率</w:t>
                  </w:r>
                </w:p>
              </w:tc>
              <w:tc>
                <w:tcPr>
                  <w:tcW w:w="0" w:type="auto"/>
                  <w:tcBorders>
                    <w:tl2br w:val="nil"/>
                    <w:tr2bl w:val="nil"/>
                  </w:tcBorders>
                  <w:vAlign w:val="center"/>
                </w:tcPr>
                <w:p w14:paraId="149A72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排放浓度</w:t>
                  </w:r>
                </w:p>
              </w:tc>
              <w:tc>
                <w:tcPr>
                  <w:tcW w:w="0" w:type="auto"/>
                  <w:tcBorders>
                    <w:tl2br w:val="nil"/>
                    <w:tr2bl w:val="nil"/>
                  </w:tcBorders>
                  <w:vAlign w:val="center"/>
                </w:tcPr>
                <w:p w14:paraId="583BF1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排气筒编号</w:t>
                  </w:r>
                </w:p>
              </w:tc>
              <w:tc>
                <w:tcPr>
                  <w:tcW w:w="0" w:type="auto"/>
                  <w:tcBorders>
                    <w:tl2br w:val="nil"/>
                    <w:tr2bl w:val="nil"/>
                  </w:tcBorders>
                  <w:vAlign w:val="center"/>
                </w:tcPr>
                <w:p w14:paraId="44E4AA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类型</w:t>
                  </w:r>
                </w:p>
              </w:tc>
              <w:tc>
                <w:tcPr>
                  <w:tcW w:w="0" w:type="auto"/>
                  <w:tcBorders>
                    <w:tl2br w:val="nil"/>
                    <w:tr2bl w:val="nil"/>
                  </w:tcBorders>
                  <w:vAlign w:val="center"/>
                </w:tcPr>
                <w:p w14:paraId="347F75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排气筒高度</w:t>
                  </w:r>
                </w:p>
              </w:tc>
              <w:tc>
                <w:tcPr>
                  <w:tcW w:w="0" w:type="auto"/>
                  <w:tcBorders>
                    <w:tl2br w:val="nil"/>
                    <w:tr2bl w:val="nil"/>
                  </w:tcBorders>
                  <w:vAlign w:val="center"/>
                </w:tcPr>
                <w:p w14:paraId="467DC6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排气筒温度</w:t>
                  </w:r>
                </w:p>
              </w:tc>
            </w:tr>
            <w:tr w14:paraId="16ECC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Merge w:val="restart"/>
                  <w:tcBorders>
                    <w:tl2br w:val="nil"/>
                    <w:tr2bl w:val="nil"/>
                  </w:tcBorders>
                  <w:vAlign w:val="center"/>
                </w:tcPr>
                <w:p w14:paraId="223B00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有组织</w:t>
                  </w:r>
                </w:p>
              </w:tc>
              <w:tc>
                <w:tcPr>
                  <w:tcW w:w="0" w:type="auto"/>
                  <w:tcBorders>
                    <w:tl2br w:val="nil"/>
                    <w:tr2bl w:val="nil"/>
                  </w:tcBorders>
                  <w:vAlign w:val="center"/>
                </w:tcPr>
                <w:p w14:paraId="18A2C4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注塑、包胶</w:t>
                  </w:r>
                </w:p>
              </w:tc>
              <w:tc>
                <w:tcPr>
                  <w:tcW w:w="0" w:type="auto"/>
                  <w:tcBorders>
                    <w:tl2br w:val="nil"/>
                    <w:tr2bl w:val="nil"/>
                  </w:tcBorders>
                  <w:vAlign w:val="center"/>
                </w:tcPr>
                <w:p w14:paraId="698A5E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非甲烷总烃</w:t>
                  </w:r>
                </w:p>
              </w:tc>
              <w:tc>
                <w:tcPr>
                  <w:tcW w:w="0" w:type="auto"/>
                  <w:vMerge w:val="restart"/>
                  <w:tcBorders>
                    <w:tl2br w:val="nil"/>
                    <w:tr2bl w:val="nil"/>
                  </w:tcBorders>
                  <w:vAlign w:val="center"/>
                </w:tcPr>
                <w:p w14:paraId="43DDDF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8000</w:t>
                  </w:r>
                  <w:r>
                    <w:rPr>
                      <w:rFonts w:hint="default" w:ascii="Times New Roman" w:hAnsi="Times New Roman" w:eastAsia="宋体" w:cs="Times New Roman"/>
                      <w:b w:val="0"/>
                      <w:bCs w:val="0"/>
                      <w:color w:val="auto"/>
                      <w:sz w:val="21"/>
                      <w:szCs w:val="21"/>
                      <w:u w:val="none"/>
                      <w:vertAlign w:val="baseline"/>
                      <w:lang w:val="en-US" w:eastAsia="zh-CN"/>
                    </w:rPr>
                    <w:t>m</w:t>
                  </w:r>
                  <w:r>
                    <w:rPr>
                      <w:rFonts w:hint="default" w:ascii="Times New Roman" w:hAnsi="Times New Roman" w:eastAsia="宋体" w:cs="Times New Roman"/>
                      <w:b w:val="0"/>
                      <w:bCs w:val="0"/>
                      <w:color w:val="auto"/>
                      <w:sz w:val="21"/>
                      <w:szCs w:val="21"/>
                      <w:u w:val="none"/>
                      <w:vertAlign w:val="superscript"/>
                      <w:lang w:val="en-US" w:eastAsia="zh-CN"/>
                    </w:rPr>
                    <w:t>3</w:t>
                  </w:r>
                  <w:r>
                    <w:rPr>
                      <w:rFonts w:hint="default" w:ascii="Times New Roman" w:hAnsi="Times New Roman" w:eastAsia="宋体" w:cs="Times New Roman"/>
                      <w:b w:val="0"/>
                      <w:bCs w:val="0"/>
                      <w:color w:val="auto"/>
                      <w:sz w:val="21"/>
                      <w:szCs w:val="21"/>
                      <w:u w:val="none"/>
                      <w:vertAlign w:val="baseline"/>
                      <w:lang w:val="en-US" w:eastAsia="zh-CN"/>
                    </w:rPr>
                    <w:t>/h</w:t>
                  </w:r>
                </w:p>
              </w:tc>
              <w:tc>
                <w:tcPr>
                  <w:tcW w:w="0" w:type="auto"/>
                  <w:tcBorders>
                    <w:tl2br w:val="nil"/>
                    <w:tr2bl w:val="nil"/>
                  </w:tcBorders>
                  <w:vAlign w:val="center"/>
                </w:tcPr>
                <w:p w14:paraId="24ADBB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0.081</w:t>
                  </w:r>
                </w:p>
              </w:tc>
              <w:tc>
                <w:tcPr>
                  <w:tcW w:w="0" w:type="auto"/>
                  <w:tcBorders>
                    <w:tl2br w:val="nil"/>
                    <w:tr2bl w:val="nil"/>
                  </w:tcBorders>
                  <w:vAlign w:val="center"/>
                </w:tcPr>
                <w:p w14:paraId="651D99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lang w:val="en-US" w:eastAsia="zh-CN"/>
                    </w:rPr>
                  </w:pPr>
                  <w:r>
                    <w:rPr>
                      <w:rFonts w:hint="eastAsia" w:ascii="Times New Roman" w:hAnsi="Times New Roman" w:eastAsia="宋体"/>
                      <w:sz w:val="21"/>
                      <w:lang w:val="en-US" w:eastAsia="zh-CN"/>
                    </w:rPr>
                    <w:t>0.0169</w:t>
                  </w:r>
                </w:p>
              </w:tc>
              <w:tc>
                <w:tcPr>
                  <w:tcW w:w="0" w:type="auto"/>
                  <w:tcBorders>
                    <w:tl2br w:val="nil"/>
                    <w:tr2bl w:val="nil"/>
                  </w:tcBorders>
                  <w:vAlign w:val="center"/>
                </w:tcPr>
                <w:p w14:paraId="783734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2.11</w:t>
                  </w:r>
                </w:p>
              </w:tc>
              <w:tc>
                <w:tcPr>
                  <w:tcW w:w="0" w:type="auto"/>
                  <w:gridSpan w:val="2"/>
                  <w:vMerge w:val="restart"/>
                  <w:tcBorders>
                    <w:tl2br w:val="nil"/>
                    <w:tr2bl w:val="nil"/>
                  </w:tcBorders>
                  <w:vAlign w:val="center"/>
                </w:tcPr>
                <w:p w14:paraId="7309FF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集气罩+二级活性炭吸附装置（TA001）</w:t>
                  </w:r>
                  <w:r>
                    <w:rPr>
                      <w:rFonts w:hint="eastAsia" w:ascii="Times New Roman" w:hAnsi="Times New Roman" w:eastAsia="宋体" w:cs="Times New Roman"/>
                      <w:b w:val="0"/>
                      <w:bCs w:val="0"/>
                      <w:color w:val="auto"/>
                      <w:sz w:val="21"/>
                      <w:szCs w:val="21"/>
                      <w:highlight w:val="none"/>
                      <w:u w:val="none"/>
                      <w:vertAlign w:val="baseline"/>
                      <w:lang w:val="en-US" w:eastAsia="zh-CN"/>
                    </w:rPr>
                    <w:t>+15m排气筒（DA001）</w:t>
                  </w:r>
                </w:p>
              </w:tc>
              <w:tc>
                <w:tcPr>
                  <w:tcW w:w="0" w:type="auto"/>
                  <w:tcBorders>
                    <w:tl2br w:val="nil"/>
                    <w:tr2bl w:val="nil"/>
                  </w:tcBorders>
                  <w:vAlign w:val="center"/>
                </w:tcPr>
                <w:p w14:paraId="1FE4E7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0.0162</w:t>
                  </w:r>
                </w:p>
              </w:tc>
              <w:tc>
                <w:tcPr>
                  <w:tcW w:w="0" w:type="auto"/>
                  <w:tcBorders>
                    <w:tl2br w:val="nil"/>
                    <w:tr2bl w:val="nil"/>
                  </w:tcBorders>
                  <w:vAlign w:val="center"/>
                </w:tcPr>
                <w:p w14:paraId="636F8C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0.0034</w:t>
                  </w:r>
                </w:p>
              </w:tc>
              <w:tc>
                <w:tcPr>
                  <w:tcW w:w="0" w:type="auto"/>
                  <w:tcBorders>
                    <w:tl2br w:val="nil"/>
                    <w:tr2bl w:val="nil"/>
                  </w:tcBorders>
                  <w:vAlign w:val="center"/>
                </w:tcPr>
                <w:p w14:paraId="7E5840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0.42</w:t>
                  </w:r>
                </w:p>
              </w:tc>
              <w:tc>
                <w:tcPr>
                  <w:tcW w:w="0" w:type="auto"/>
                  <w:vMerge w:val="restart"/>
                  <w:tcBorders>
                    <w:tl2br w:val="nil"/>
                    <w:tr2bl w:val="nil"/>
                  </w:tcBorders>
                  <w:vAlign w:val="center"/>
                </w:tcPr>
                <w:p w14:paraId="6A022C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DA001</w:t>
                  </w:r>
                </w:p>
              </w:tc>
              <w:tc>
                <w:tcPr>
                  <w:tcW w:w="0" w:type="auto"/>
                  <w:vMerge w:val="restart"/>
                  <w:tcBorders>
                    <w:tl2br w:val="nil"/>
                    <w:tr2bl w:val="nil"/>
                  </w:tcBorders>
                  <w:vAlign w:val="center"/>
                </w:tcPr>
                <w:p w14:paraId="7098EF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一般排放口</w:t>
                  </w:r>
                </w:p>
              </w:tc>
              <w:tc>
                <w:tcPr>
                  <w:tcW w:w="0" w:type="auto"/>
                  <w:vMerge w:val="restart"/>
                  <w:tcBorders>
                    <w:tl2br w:val="nil"/>
                    <w:tr2bl w:val="nil"/>
                  </w:tcBorders>
                  <w:vAlign w:val="center"/>
                </w:tcPr>
                <w:p w14:paraId="7BEF65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15m</w:t>
                  </w:r>
                </w:p>
              </w:tc>
              <w:tc>
                <w:tcPr>
                  <w:tcW w:w="0" w:type="auto"/>
                  <w:vMerge w:val="restart"/>
                  <w:tcBorders>
                    <w:tl2br w:val="nil"/>
                    <w:tr2bl w:val="nil"/>
                  </w:tcBorders>
                  <w:vAlign w:val="center"/>
                </w:tcPr>
                <w:p w14:paraId="06FCE5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w:t>
                  </w:r>
                </w:p>
              </w:tc>
            </w:tr>
            <w:tr w14:paraId="05AEC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Merge w:val="continue"/>
                  <w:tcBorders>
                    <w:tl2br w:val="nil"/>
                    <w:tr2bl w:val="nil"/>
                  </w:tcBorders>
                  <w:vAlign w:val="center"/>
                </w:tcPr>
                <w:p w14:paraId="5385718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vAlign w:val="center"/>
                </w:tcPr>
                <w:p w14:paraId="4593A9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烘烤废气</w:t>
                  </w:r>
                </w:p>
              </w:tc>
              <w:tc>
                <w:tcPr>
                  <w:tcW w:w="0" w:type="auto"/>
                  <w:tcBorders>
                    <w:tl2br w:val="nil"/>
                    <w:tr2bl w:val="nil"/>
                  </w:tcBorders>
                  <w:vAlign w:val="center"/>
                </w:tcPr>
                <w:p w14:paraId="64A0C1C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非甲烷总烃</w:t>
                  </w:r>
                </w:p>
              </w:tc>
              <w:tc>
                <w:tcPr>
                  <w:tcW w:w="0" w:type="auto"/>
                  <w:vMerge w:val="continue"/>
                  <w:tcBorders>
                    <w:tl2br w:val="nil"/>
                    <w:tr2bl w:val="nil"/>
                  </w:tcBorders>
                  <w:vAlign w:val="center"/>
                </w:tcPr>
                <w:p w14:paraId="19953EE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vAlign w:val="center"/>
                </w:tcPr>
                <w:p w14:paraId="141EA8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0.00225</w:t>
                  </w:r>
                </w:p>
              </w:tc>
              <w:tc>
                <w:tcPr>
                  <w:tcW w:w="0" w:type="auto"/>
                  <w:tcBorders>
                    <w:tl2br w:val="nil"/>
                    <w:tr2bl w:val="nil"/>
                  </w:tcBorders>
                  <w:vAlign w:val="center"/>
                </w:tcPr>
                <w:p w14:paraId="30654E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0.00047</w:t>
                  </w:r>
                </w:p>
              </w:tc>
              <w:tc>
                <w:tcPr>
                  <w:tcW w:w="0" w:type="auto"/>
                  <w:tcBorders>
                    <w:tl2br w:val="nil"/>
                    <w:tr2bl w:val="nil"/>
                  </w:tcBorders>
                  <w:vAlign w:val="center"/>
                </w:tcPr>
                <w:p w14:paraId="0C3F2D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0.059</w:t>
                  </w:r>
                </w:p>
              </w:tc>
              <w:tc>
                <w:tcPr>
                  <w:tcW w:w="0" w:type="auto"/>
                  <w:gridSpan w:val="2"/>
                  <w:vMerge w:val="continue"/>
                  <w:tcBorders>
                    <w:tl2br w:val="nil"/>
                    <w:tr2bl w:val="nil"/>
                  </w:tcBorders>
                  <w:vAlign w:val="center"/>
                </w:tcPr>
                <w:p w14:paraId="79AD9D6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tcBorders>
                    <w:tl2br w:val="nil"/>
                    <w:tr2bl w:val="nil"/>
                  </w:tcBorders>
                  <w:vAlign w:val="center"/>
                </w:tcPr>
                <w:p w14:paraId="178096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0.00051</w:t>
                  </w:r>
                </w:p>
              </w:tc>
              <w:tc>
                <w:tcPr>
                  <w:tcW w:w="0" w:type="auto"/>
                  <w:tcBorders>
                    <w:tl2br w:val="nil"/>
                    <w:tr2bl w:val="nil"/>
                  </w:tcBorders>
                  <w:vAlign w:val="center"/>
                </w:tcPr>
                <w:p w14:paraId="0B4988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0.000106</w:t>
                  </w:r>
                </w:p>
              </w:tc>
              <w:tc>
                <w:tcPr>
                  <w:tcW w:w="0" w:type="auto"/>
                  <w:tcBorders>
                    <w:tl2br w:val="nil"/>
                    <w:tr2bl w:val="nil"/>
                  </w:tcBorders>
                  <w:vAlign w:val="center"/>
                </w:tcPr>
                <w:p w14:paraId="1C1E49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0.013</w:t>
                  </w:r>
                </w:p>
              </w:tc>
              <w:tc>
                <w:tcPr>
                  <w:tcW w:w="0" w:type="auto"/>
                  <w:vMerge w:val="continue"/>
                  <w:tcBorders>
                    <w:tl2br w:val="nil"/>
                    <w:tr2bl w:val="nil"/>
                  </w:tcBorders>
                  <w:vAlign w:val="center"/>
                </w:tcPr>
                <w:p w14:paraId="48B045D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3BD65DD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15119ED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187F1FA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14:paraId="3B066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Merge w:val="continue"/>
                  <w:tcBorders>
                    <w:tl2br w:val="nil"/>
                    <w:tr2bl w:val="nil"/>
                  </w:tcBorders>
                  <w:vAlign w:val="center"/>
                </w:tcPr>
                <w:p w14:paraId="5501CB6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vAlign w:val="center"/>
                </w:tcPr>
                <w:p w14:paraId="252E4A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除油废气</w:t>
                  </w:r>
                </w:p>
              </w:tc>
              <w:tc>
                <w:tcPr>
                  <w:tcW w:w="0" w:type="auto"/>
                  <w:tcBorders>
                    <w:tl2br w:val="nil"/>
                    <w:tr2bl w:val="nil"/>
                  </w:tcBorders>
                  <w:vAlign w:val="center"/>
                </w:tcPr>
                <w:p w14:paraId="6E5DF5B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非甲烷总烃</w:t>
                  </w:r>
                </w:p>
              </w:tc>
              <w:tc>
                <w:tcPr>
                  <w:tcW w:w="0" w:type="auto"/>
                  <w:vMerge w:val="continue"/>
                  <w:tcBorders>
                    <w:tl2br w:val="nil"/>
                    <w:tr2bl w:val="nil"/>
                  </w:tcBorders>
                  <w:vAlign w:val="center"/>
                </w:tcPr>
                <w:p w14:paraId="4A3D657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vAlign w:val="center"/>
                </w:tcPr>
                <w:p w14:paraId="57EBBA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0.003</w:t>
                  </w:r>
                </w:p>
              </w:tc>
              <w:tc>
                <w:tcPr>
                  <w:tcW w:w="0" w:type="auto"/>
                  <w:tcBorders>
                    <w:tl2br w:val="nil"/>
                    <w:tr2bl w:val="nil"/>
                  </w:tcBorders>
                  <w:vAlign w:val="center"/>
                </w:tcPr>
                <w:p w14:paraId="584FC2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0.000625</w:t>
                  </w:r>
                </w:p>
              </w:tc>
              <w:tc>
                <w:tcPr>
                  <w:tcW w:w="0" w:type="auto"/>
                  <w:tcBorders>
                    <w:tl2br w:val="nil"/>
                    <w:tr2bl w:val="nil"/>
                  </w:tcBorders>
                  <w:vAlign w:val="center"/>
                </w:tcPr>
                <w:p w14:paraId="727D39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0.078</w:t>
                  </w:r>
                </w:p>
              </w:tc>
              <w:tc>
                <w:tcPr>
                  <w:tcW w:w="0" w:type="auto"/>
                  <w:gridSpan w:val="2"/>
                  <w:vMerge w:val="continue"/>
                  <w:tcBorders>
                    <w:tl2br w:val="nil"/>
                    <w:tr2bl w:val="nil"/>
                  </w:tcBorders>
                  <w:vAlign w:val="center"/>
                </w:tcPr>
                <w:p w14:paraId="62810D2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tcBorders>
                    <w:tl2br w:val="nil"/>
                    <w:tr2bl w:val="nil"/>
                  </w:tcBorders>
                  <w:vAlign w:val="center"/>
                </w:tcPr>
                <w:p w14:paraId="4A7200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0.0012</w:t>
                  </w:r>
                </w:p>
              </w:tc>
              <w:tc>
                <w:tcPr>
                  <w:tcW w:w="0" w:type="auto"/>
                  <w:tcBorders>
                    <w:tl2br w:val="nil"/>
                    <w:tr2bl w:val="nil"/>
                  </w:tcBorders>
                  <w:vAlign w:val="center"/>
                </w:tcPr>
                <w:p w14:paraId="41FA03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0.00025</w:t>
                  </w:r>
                </w:p>
              </w:tc>
              <w:tc>
                <w:tcPr>
                  <w:tcW w:w="0" w:type="auto"/>
                  <w:tcBorders>
                    <w:tl2br w:val="nil"/>
                    <w:tr2bl w:val="nil"/>
                  </w:tcBorders>
                  <w:vAlign w:val="center"/>
                </w:tcPr>
                <w:p w14:paraId="43F11C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0.031</w:t>
                  </w:r>
                </w:p>
              </w:tc>
              <w:tc>
                <w:tcPr>
                  <w:tcW w:w="0" w:type="auto"/>
                  <w:vMerge w:val="continue"/>
                  <w:tcBorders>
                    <w:tl2br w:val="nil"/>
                    <w:tr2bl w:val="nil"/>
                  </w:tcBorders>
                  <w:vAlign w:val="center"/>
                </w:tcPr>
                <w:p w14:paraId="3B11BA9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7CAC279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27C0BCF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7317CBE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14:paraId="3D118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Merge w:val="continue"/>
                  <w:tcBorders>
                    <w:tl2br w:val="nil"/>
                    <w:tr2bl w:val="nil"/>
                  </w:tcBorders>
                  <w:vAlign w:val="center"/>
                </w:tcPr>
                <w:p w14:paraId="04FC050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shd w:val="clear" w:color="auto" w:fill="auto"/>
                  <w:vAlign w:val="center"/>
                </w:tcPr>
                <w:p w14:paraId="0E7CD3B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喷粉废气</w:t>
                  </w:r>
                </w:p>
              </w:tc>
              <w:tc>
                <w:tcPr>
                  <w:tcW w:w="0" w:type="auto"/>
                  <w:tcBorders>
                    <w:tl2br w:val="nil"/>
                    <w:tr2bl w:val="nil"/>
                  </w:tcBorders>
                  <w:shd w:val="clear" w:color="auto" w:fill="auto"/>
                  <w:vAlign w:val="center"/>
                </w:tcPr>
                <w:p w14:paraId="05DB6DD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颗粒物</w:t>
                  </w:r>
                </w:p>
              </w:tc>
              <w:tc>
                <w:tcPr>
                  <w:tcW w:w="0" w:type="auto"/>
                  <w:tcBorders>
                    <w:tl2br w:val="nil"/>
                    <w:tr2bl w:val="nil"/>
                  </w:tcBorders>
                  <w:shd w:val="clear" w:color="auto" w:fill="auto"/>
                  <w:vAlign w:val="center"/>
                </w:tcPr>
                <w:p w14:paraId="4CF8A20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p>
              </w:tc>
              <w:tc>
                <w:tcPr>
                  <w:tcW w:w="0" w:type="auto"/>
                  <w:tcBorders>
                    <w:tl2br w:val="nil"/>
                    <w:tr2bl w:val="nil"/>
                  </w:tcBorders>
                  <w:shd w:val="clear" w:color="auto" w:fill="auto"/>
                  <w:vAlign w:val="center"/>
                </w:tcPr>
                <w:p w14:paraId="46DB682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0.009</w:t>
                  </w:r>
                </w:p>
              </w:tc>
              <w:tc>
                <w:tcPr>
                  <w:tcW w:w="0" w:type="auto"/>
                  <w:tcBorders>
                    <w:tl2br w:val="nil"/>
                    <w:tr2bl w:val="nil"/>
                  </w:tcBorders>
                  <w:shd w:val="clear" w:color="auto" w:fill="auto"/>
                  <w:vAlign w:val="center"/>
                </w:tcPr>
                <w:p w14:paraId="64A2F14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0.0019</w:t>
                  </w:r>
                </w:p>
              </w:tc>
              <w:tc>
                <w:tcPr>
                  <w:tcW w:w="0" w:type="auto"/>
                  <w:tcBorders>
                    <w:tl2br w:val="nil"/>
                    <w:tr2bl w:val="nil"/>
                  </w:tcBorders>
                  <w:shd w:val="clear" w:color="auto" w:fill="auto"/>
                  <w:vAlign w:val="center"/>
                </w:tcPr>
                <w:p w14:paraId="1BCA669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0.24</w:t>
                  </w:r>
                </w:p>
              </w:tc>
              <w:tc>
                <w:tcPr>
                  <w:tcW w:w="0" w:type="auto"/>
                  <w:gridSpan w:val="2"/>
                  <w:tcBorders>
                    <w:tl2br w:val="nil"/>
                    <w:tr2bl w:val="nil"/>
                  </w:tcBorders>
                  <w:shd w:val="clear" w:color="auto" w:fill="auto"/>
                  <w:vAlign w:val="center"/>
                </w:tcPr>
                <w:p w14:paraId="34EE9A7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负压收集+滤芯回收系统</w:t>
                  </w:r>
                </w:p>
              </w:tc>
              <w:tc>
                <w:tcPr>
                  <w:tcW w:w="0" w:type="auto"/>
                  <w:tcBorders>
                    <w:tl2br w:val="nil"/>
                    <w:tr2bl w:val="nil"/>
                  </w:tcBorders>
                  <w:shd w:val="clear" w:color="auto" w:fill="auto"/>
                  <w:vAlign w:val="center"/>
                </w:tcPr>
                <w:p w14:paraId="5AEC1CB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0.000405</w:t>
                  </w:r>
                </w:p>
              </w:tc>
              <w:tc>
                <w:tcPr>
                  <w:tcW w:w="0" w:type="auto"/>
                  <w:tcBorders>
                    <w:tl2br w:val="nil"/>
                    <w:tr2bl w:val="nil"/>
                  </w:tcBorders>
                  <w:shd w:val="clear" w:color="auto" w:fill="auto"/>
                  <w:vAlign w:val="center"/>
                </w:tcPr>
                <w:p w14:paraId="7EBFBC2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0.000084</w:t>
                  </w:r>
                </w:p>
              </w:tc>
              <w:tc>
                <w:tcPr>
                  <w:tcW w:w="0" w:type="auto"/>
                  <w:tcBorders>
                    <w:tl2br w:val="nil"/>
                    <w:tr2bl w:val="nil"/>
                  </w:tcBorders>
                  <w:shd w:val="clear" w:color="auto" w:fill="auto"/>
                  <w:vAlign w:val="center"/>
                </w:tcPr>
                <w:p w14:paraId="72020EE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0.0105</w:t>
                  </w:r>
                </w:p>
              </w:tc>
              <w:tc>
                <w:tcPr>
                  <w:tcW w:w="0" w:type="auto"/>
                  <w:vMerge w:val="continue"/>
                  <w:tcBorders>
                    <w:tl2br w:val="nil"/>
                    <w:tr2bl w:val="nil"/>
                  </w:tcBorders>
                  <w:vAlign w:val="center"/>
                </w:tcPr>
                <w:p w14:paraId="7711D7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7536C1D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41F5EF0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0" w:type="auto"/>
                  <w:vMerge w:val="continue"/>
                  <w:tcBorders>
                    <w:tl2br w:val="nil"/>
                    <w:tr2bl w:val="nil"/>
                  </w:tcBorders>
                  <w:vAlign w:val="center"/>
                </w:tcPr>
                <w:p w14:paraId="43EC63A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14:paraId="767E9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0" w:type="auto"/>
                  <w:vMerge w:val="restart"/>
                  <w:tcBorders>
                    <w:tl2br w:val="nil"/>
                    <w:tr2bl w:val="nil"/>
                  </w:tcBorders>
                  <w:vAlign w:val="center"/>
                </w:tcPr>
                <w:p w14:paraId="1B2DD3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无组织</w:t>
                  </w:r>
                </w:p>
              </w:tc>
              <w:tc>
                <w:tcPr>
                  <w:tcW w:w="0" w:type="auto"/>
                  <w:tcBorders>
                    <w:tl2br w:val="nil"/>
                    <w:tr2bl w:val="nil"/>
                  </w:tcBorders>
                  <w:shd w:val="clear" w:color="auto" w:fill="auto"/>
                  <w:vAlign w:val="center"/>
                </w:tcPr>
                <w:p w14:paraId="646B8A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sz w:val="21"/>
                      <w:szCs w:val="21"/>
                      <w:u w:val="none"/>
                      <w:vertAlign w:val="baseline"/>
                      <w:lang w:val="en-US" w:eastAsia="zh-CN"/>
                    </w:rPr>
                    <w:t>注塑、包胶</w:t>
                  </w:r>
                </w:p>
              </w:tc>
              <w:tc>
                <w:tcPr>
                  <w:tcW w:w="0" w:type="auto"/>
                  <w:tcBorders>
                    <w:tl2br w:val="nil"/>
                    <w:tr2bl w:val="nil"/>
                  </w:tcBorders>
                  <w:shd w:val="clear" w:color="auto" w:fill="auto"/>
                  <w:vAlign w:val="center"/>
                </w:tcPr>
                <w:p w14:paraId="6EE212A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highlight w:val="none"/>
                      <w:u w:val="none"/>
                      <w:vertAlign w:val="baseline"/>
                      <w:lang w:val="en-US" w:eastAsia="zh-CN" w:bidi="ar-SA"/>
                    </w:rPr>
                  </w:pPr>
                  <w:r>
                    <w:rPr>
                      <w:rFonts w:hint="eastAsia" w:ascii="Times New Roman" w:hAnsi="Times New Roman" w:eastAsia="宋体" w:cs="Times New Roman"/>
                      <w:b w:val="0"/>
                      <w:bCs w:val="0"/>
                      <w:color w:val="auto"/>
                      <w:sz w:val="21"/>
                      <w:szCs w:val="21"/>
                      <w:highlight w:val="none"/>
                      <w:u w:val="none"/>
                      <w:vertAlign w:val="baseline"/>
                      <w:lang w:val="en-US" w:eastAsia="zh-CN"/>
                    </w:rPr>
                    <w:t>非甲烷总烃</w:t>
                  </w:r>
                </w:p>
              </w:tc>
              <w:tc>
                <w:tcPr>
                  <w:tcW w:w="0" w:type="auto"/>
                  <w:tcBorders>
                    <w:tl2br w:val="nil"/>
                    <w:tr2bl w:val="nil"/>
                  </w:tcBorders>
                  <w:vAlign w:val="center"/>
                </w:tcPr>
                <w:p w14:paraId="61F39F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tcBorders>
                    <w:tl2br w:val="nil"/>
                    <w:tr2bl w:val="nil"/>
                  </w:tcBorders>
                  <w:vAlign w:val="center"/>
                </w:tcPr>
                <w:p w14:paraId="28B2CA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0.0162</w:t>
                  </w:r>
                </w:p>
              </w:tc>
              <w:tc>
                <w:tcPr>
                  <w:tcW w:w="0" w:type="auto"/>
                  <w:tcBorders>
                    <w:tl2br w:val="nil"/>
                    <w:tr2bl w:val="nil"/>
                  </w:tcBorders>
                  <w:vAlign w:val="center"/>
                </w:tcPr>
                <w:p w14:paraId="3DD87C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0.0034</w:t>
                  </w:r>
                </w:p>
              </w:tc>
              <w:tc>
                <w:tcPr>
                  <w:tcW w:w="0" w:type="auto"/>
                  <w:tcBorders>
                    <w:tl2br w:val="nil"/>
                    <w:tr2bl w:val="nil"/>
                  </w:tcBorders>
                  <w:vAlign w:val="center"/>
                </w:tcPr>
                <w:p w14:paraId="37022B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gridSpan w:val="2"/>
                  <w:tcBorders>
                    <w:tl2br w:val="nil"/>
                    <w:tr2bl w:val="nil"/>
                  </w:tcBorders>
                  <w:vAlign w:val="center"/>
                </w:tcPr>
                <w:p w14:paraId="5B0D80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color w:val="auto"/>
                      <w:spacing w:val="0"/>
                      <w:kern w:val="0"/>
                      <w:sz w:val="21"/>
                      <w:szCs w:val="21"/>
                      <w:highlight w:val="none"/>
                      <w:lang w:val="en-US" w:eastAsia="zh-CN" w:bidi="he-IL"/>
                    </w:rPr>
                    <w:t>加强废气的收集及活性炭吸附净化装置维护保养，防止废气事故无组织排放；生产过程中门窗关闭，保持一个相对密闭的空间，合理设计送排风系统</w:t>
                  </w:r>
                </w:p>
              </w:tc>
              <w:tc>
                <w:tcPr>
                  <w:tcW w:w="0" w:type="auto"/>
                  <w:tcBorders>
                    <w:tl2br w:val="nil"/>
                    <w:tr2bl w:val="nil"/>
                  </w:tcBorders>
                  <w:vAlign w:val="center"/>
                </w:tcPr>
                <w:p w14:paraId="4A8808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0.000405</w:t>
                  </w:r>
                </w:p>
              </w:tc>
              <w:tc>
                <w:tcPr>
                  <w:tcW w:w="0" w:type="auto"/>
                  <w:tcBorders>
                    <w:tl2br w:val="nil"/>
                    <w:tr2bl w:val="nil"/>
                  </w:tcBorders>
                  <w:vAlign w:val="center"/>
                </w:tcPr>
                <w:p w14:paraId="075365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0.000084</w:t>
                  </w:r>
                </w:p>
              </w:tc>
              <w:tc>
                <w:tcPr>
                  <w:tcW w:w="0" w:type="auto"/>
                  <w:tcBorders>
                    <w:tl2br w:val="nil"/>
                    <w:tr2bl w:val="nil"/>
                  </w:tcBorders>
                  <w:vAlign w:val="center"/>
                </w:tcPr>
                <w:p w14:paraId="1FFED0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0.008</w:t>
                  </w:r>
                </w:p>
              </w:tc>
              <w:tc>
                <w:tcPr>
                  <w:tcW w:w="0" w:type="auto"/>
                  <w:tcBorders>
                    <w:tl2br w:val="nil"/>
                    <w:tr2bl w:val="nil"/>
                  </w:tcBorders>
                  <w:shd w:val="clear" w:color="auto" w:fill="auto"/>
                  <w:vAlign w:val="center"/>
                </w:tcPr>
                <w:p w14:paraId="11E587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shd w:val="clear" w:color="auto" w:fill="auto"/>
                  <w:vAlign w:val="center"/>
                </w:tcPr>
                <w:p w14:paraId="30C786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shd w:val="clear" w:color="auto" w:fill="auto"/>
                  <w:vAlign w:val="center"/>
                </w:tcPr>
                <w:p w14:paraId="58CBD9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shd w:val="clear" w:color="auto" w:fill="auto"/>
                  <w:vAlign w:val="center"/>
                </w:tcPr>
                <w:p w14:paraId="5B7CF4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14:paraId="38567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tcBorders>
                    <w:tl2br w:val="nil"/>
                    <w:tr2bl w:val="nil"/>
                  </w:tcBorders>
                  <w:vAlign w:val="center"/>
                </w:tcPr>
                <w:p w14:paraId="5DB593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p>
              </w:tc>
              <w:tc>
                <w:tcPr>
                  <w:tcW w:w="0" w:type="auto"/>
                  <w:tcBorders>
                    <w:tl2br w:val="nil"/>
                    <w:tr2bl w:val="nil"/>
                  </w:tcBorders>
                  <w:shd w:val="clear" w:color="auto" w:fill="auto"/>
                  <w:vAlign w:val="center"/>
                </w:tcPr>
                <w:p w14:paraId="628C00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highlight w:val="green"/>
                      <w:u w:val="none"/>
                      <w:vertAlign w:val="baseline"/>
                      <w:lang w:val="en-US" w:eastAsia="zh-CN" w:bidi="ar-SA"/>
                    </w:rPr>
                  </w:pPr>
                  <w:r>
                    <w:rPr>
                      <w:rFonts w:hint="eastAsia" w:ascii="Times New Roman" w:hAnsi="Times New Roman" w:eastAsia="宋体" w:cs="Times New Roman"/>
                      <w:b w:val="0"/>
                      <w:bCs w:val="0"/>
                      <w:color w:val="auto"/>
                      <w:sz w:val="21"/>
                      <w:szCs w:val="21"/>
                      <w:highlight w:val="none"/>
                      <w:u w:val="none"/>
                      <w:lang w:val="en-US" w:eastAsia="zh-CN"/>
                    </w:rPr>
                    <w:t>料头粉碎</w:t>
                  </w:r>
                </w:p>
              </w:tc>
              <w:tc>
                <w:tcPr>
                  <w:tcW w:w="0" w:type="auto"/>
                  <w:tcBorders>
                    <w:tl2br w:val="nil"/>
                    <w:tr2bl w:val="nil"/>
                  </w:tcBorders>
                  <w:shd w:val="clear" w:color="auto" w:fill="auto"/>
                  <w:vAlign w:val="center"/>
                </w:tcPr>
                <w:p w14:paraId="207F351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颗粒物</w:t>
                  </w:r>
                </w:p>
              </w:tc>
              <w:tc>
                <w:tcPr>
                  <w:tcW w:w="0" w:type="auto"/>
                  <w:tcBorders>
                    <w:tl2br w:val="nil"/>
                    <w:tr2bl w:val="nil"/>
                  </w:tcBorders>
                  <w:vAlign w:val="center"/>
                </w:tcPr>
                <w:p w14:paraId="3C0B720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tcBorders>
                    <w:tl2br w:val="nil"/>
                    <w:tr2bl w:val="nil"/>
                  </w:tcBorders>
                  <w:vAlign w:val="center"/>
                </w:tcPr>
                <w:p w14:paraId="2C6AF3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0.000048</w:t>
                  </w:r>
                </w:p>
              </w:tc>
              <w:tc>
                <w:tcPr>
                  <w:tcW w:w="0" w:type="auto"/>
                  <w:tcBorders>
                    <w:tl2br w:val="nil"/>
                    <w:tr2bl w:val="nil"/>
                  </w:tcBorders>
                  <w:vAlign w:val="center"/>
                </w:tcPr>
                <w:p w14:paraId="1F63C6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0.00001</w:t>
                  </w:r>
                </w:p>
              </w:tc>
              <w:tc>
                <w:tcPr>
                  <w:tcW w:w="0" w:type="auto"/>
                  <w:tcBorders>
                    <w:tl2br w:val="nil"/>
                    <w:tr2bl w:val="nil"/>
                  </w:tcBorders>
                  <w:vAlign w:val="center"/>
                </w:tcPr>
                <w:p w14:paraId="49CE3EC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gridSpan w:val="2"/>
                  <w:tcBorders>
                    <w:tl2br w:val="nil"/>
                    <w:tr2bl w:val="nil"/>
                  </w:tcBorders>
                  <w:vAlign w:val="center"/>
                </w:tcPr>
                <w:p w14:paraId="504655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经移动除尘器处理后加强车间通风</w:t>
                  </w:r>
                </w:p>
              </w:tc>
              <w:tc>
                <w:tcPr>
                  <w:tcW w:w="0" w:type="auto"/>
                  <w:tcBorders>
                    <w:tl2br w:val="nil"/>
                    <w:tr2bl w:val="nil"/>
                  </w:tcBorders>
                  <w:vAlign w:val="center"/>
                </w:tcPr>
                <w:p w14:paraId="0BDA8C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0.000048</w:t>
                  </w:r>
                </w:p>
              </w:tc>
              <w:tc>
                <w:tcPr>
                  <w:tcW w:w="0" w:type="auto"/>
                  <w:tcBorders>
                    <w:tl2br w:val="nil"/>
                    <w:tr2bl w:val="nil"/>
                  </w:tcBorders>
                  <w:vAlign w:val="center"/>
                </w:tcPr>
                <w:p w14:paraId="3B7B51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0.00001</w:t>
                  </w:r>
                </w:p>
              </w:tc>
              <w:tc>
                <w:tcPr>
                  <w:tcW w:w="0" w:type="auto"/>
                  <w:tcBorders>
                    <w:tl2br w:val="nil"/>
                    <w:tr2bl w:val="nil"/>
                  </w:tcBorders>
                  <w:vAlign w:val="center"/>
                </w:tcPr>
                <w:p w14:paraId="23CE81C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tcBorders>
                    <w:tl2br w:val="nil"/>
                    <w:tr2bl w:val="nil"/>
                  </w:tcBorders>
                  <w:shd w:val="clear" w:color="auto" w:fill="auto"/>
                  <w:vAlign w:val="center"/>
                </w:tcPr>
                <w:p w14:paraId="5233912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u w:val="none"/>
                      <w:vertAlign w:val="baseline"/>
                      <w:lang w:val="en-US" w:eastAsia="zh-CN"/>
                    </w:rPr>
                    <w:t>/</w:t>
                  </w:r>
                </w:p>
              </w:tc>
              <w:tc>
                <w:tcPr>
                  <w:tcW w:w="0" w:type="auto"/>
                  <w:tcBorders>
                    <w:tl2br w:val="nil"/>
                    <w:tr2bl w:val="nil"/>
                  </w:tcBorders>
                  <w:shd w:val="clear" w:color="auto" w:fill="auto"/>
                  <w:vAlign w:val="center"/>
                </w:tcPr>
                <w:p w14:paraId="632D94A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shd w:val="clear" w:color="auto" w:fill="auto"/>
                  <w:vAlign w:val="center"/>
                </w:tcPr>
                <w:p w14:paraId="41E8DB3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shd w:val="clear" w:color="auto" w:fill="auto"/>
                  <w:vAlign w:val="center"/>
                </w:tcPr>
                <w:p w14:paraId="6C425B0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14:paraId="6D992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434F1D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合计</w:t>
                  </w:r>
                </w:p>
              </w:tc>
              <w:tc>
                <w:tcPr>
                  <w:tcW w:w="0" w:type="auto"/>
                  <w:gridSpan w:val="3"/>
                  <w:vAlign w:val="center"/>
                </w:tcPr>
                <w:p w14:paraId="7D82DE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lang w:val="en-US" w:eastAsia="zh-CN"/>
                    </w:rPr>
                    <w:t>污染物名称</w:t>
                  </w:r>
                </w:p>
              </w:tc>
              <w:tc>
                <w:tcPr>
                  <w:tcW w:w="0" w:type="auto"/>
                  <w:gridSpan w:val="4"/>
                  <w:shd w:val="clear" w:color="auto" w:fill="auto"/>
                  <w:vAlign w:val="center"/>
                </w:tcPr>
                <w:p w14:paraId="2174BB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有组织排放量</w:t>
                  </w:r>
                </w:p>
              </w:tc>
              <w:tc>
                <w:tcPr>
                  <w:tcW w:w="0" w:type="auto"/>
                  <w:gridSpan w:val="4"/>
                  <w:shd w:val="clear" w:color="auto" w:fill="auto"/>
                  <w:vAlign w:val="center"/>
                </w:tcPr>
                <w:p w14:paraId="37D3FBB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无组织排放量</w:t>
                  </w:r>
                </w:p>
              </w:tc>
              <w:tc>
                <w:tcPr>
                  <w:tcW w:w="0" w:type="auto"/>
                  <w:gridSpan w:val="4"/>
                  <w:vAlign w:val="center"/>
                </w:tcPr>
                <w:p w14:paraId="06C6F2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总</w:t>
                  </w:r>
                  <w:r>
                    <w:rPr>
                      <w:rFonts w:hint="default" w:ascii="Times New Roman" w:hAnsi="Times New Roman" w:eastAsia="宋体" w:cs="Times New Roman"/>
                      <w:color w:val="auto"/>
                      <w:sz w:val="21"/>
                      <w:szCs w:val="21"/>
                      <w:highlight w:val="none"/>
                      <w:vertAlign w:val="baseline"/>
                      <w:lang w:val="en-US" w:eastAsia="zh-CN"/>
                    </w:rPr>
                    <w:t>计</w:t>
                  </w:r>
                </w:p>
              </w:tc>
            </w:tr>
            <w:tr w14:paraId="4A81B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2D0AD7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p>
              </w:tc>
              <w:tc>
                <w:tcPr>
                  <w:tcW w:w="0" w:type="auto"/>
                  <w:gridSpan w:val="3"/>
                  <w:vAlign w:val="center"/>
                </w:tcPr>
                <w:p w14:paraId="55652B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颗粒物</w:t>
                  </w:r>
                  <w:r>
                    <w:rPr>
                      <w:rFonts w:hint="eastAsia" w:ascii="Times New Roman" w:hAnsi="Times New Roman" w:eastAsia="宋体" w:cs="Times New Roman"/>
                      <w:b w:val="0"/>
                      <w:bCs w:val="0"/>
                      <w:color w:val="auto"/>
                      <w:sz w:val="21"/>
                      <w:szCs w:val="21"/>
                      <w:u w:val="none"/>
                      <w:lang w:val="en-US" w:eastAsia="zh-CN"/>
                    </w:rPr>
                    <w:t>（kg/a）</w:t>
                  </w:r>
                </w:p>
              </w:tc>
              <w:tc>
                <w:tcPr>
                  <w:tcW w:w="0" w:type="auto"/>
                  <w:gridSpan w:val="4"/>
                  <w:shd w:val="clear" w:color="auto" w:fill="auto"/>
                  <w:vAlign w:val="center"/>
                </w:tcPr>
                <w:p w14:paraId="0A6CDA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kern w:val="2"/>
                      <w:sz w:val="21"/>
                      <w:szCs w:val="21"/>
                      <w:u w:val="none"/>
                      <w:vertAlign w:val="baseline"/>
                      <w:lang w:val="en-US" w:eastAsia="zh-CN" w:bidi="ar-SA"/>
                    </w:rPr>
                    <w:t>0.405</w:t>
                  </w:r>
                </w:p>
              </w:tc>
              <w:tc>
                <w:tcPr>
                  <w:tcW w:w="0" w:type="auto"/>
                  <w:gridSpan w:val="4"/>
                  <w:shd w:val="clear" w:color="auto" w:fill="auto"/>
                  <w:vAlign w:val="center"/>
                </w:tcPr>
                <w:p w14:paraId="0B92CA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lang w:val="en-US" w:eastAsia="zh-CN"/>
                    </w:rPr>
                  </w:pPr>
                  <w:r>
                    <w:rPr>
                      <w:rFonts w:hint="eastAsia" w:ascii="Times New Roman" w:hAnsi="Times New Roman" w:eastAsia="宋体"/>
                      <w:sz w:val="21"/>
                      <w:lang w:val="en-US" w:eastAsia="zh-CN"/>
                    </w:rPr>
                    <w:t>0.048</w:t>
                  </w:r>
                </w:p>
              </w:tc>
              <w:tc>
                <w:tcPr>
                  <w:tcW w:w="0" w:type="auto"/>
                  <w:gridSpan w:val="4"/>
                  <w:vAlign w:val="center"/>
                </w:tcPr>
                <w:p w14:paraId="0D18A9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0.453</w:t>
                  </w:r>
                </w:p>
              </w:tc>
            </w:tr>
            <w:tr w14:paraId="5E3DD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EE174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p>
              </w:tc>
              <w:tc>
                <w:tcPr>
                  <w:tcW w:w="0" w:type="auto"/>
                  <w:gridSpan w:val="3"/>
                  <w:vAlign w:val="center"/>
                </w:tcPr>
                <w:p w14:paraId="5B5E21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非甲烷总烃</w:t>
                  </w:r>
                  <w:r>
                    <w:rPr>
                      <w:rFonts w:hint="eastAsia" w:ascii="Times New Roman" w:hAnsi="Times New Roman" w:eastAsia="宋体" w:cs="Times New Roman"/>
                      <w:b w:val="0"/>
                      <w:bCs w:val="0"/>
                      <w:color w:val="auto"/>
                      <w:sz w:val="21"/>
                      <w:szCs w:val="21"/>
                      <w:u w:val="none"/>
                      <w:lang w:val="en-US" w:eastAsia="zh-CN"/>
                    </w:rPr>
                    <w:t>（t/a）</w:t>
                  </w:r>
                </w:p>
              </w:tc>
              <w:tc>
                <w:tcPr>
                  <w:tcW w:w="0" w:type="auto"/>
                  <w:gridSpan w:val="4"/>
                  <w:shd w:val="clear" w:color="auto" w:fill="auto"/>
                  <w:vAlign w:val="center"/>
                </w:tcPr>
                <w:p w14:paraId="6B2A69B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kern w:val="2"/>
                      <w:sz w:val="21"/>
                      <w:szCs w:val="21"/>
                      <w:u w:val="none"/>
                      <w:vertAlign w:val="baseline"/>
                      <w:lang w:val="en-US" w:eastAsia="zh-CN" w:bidi="ar-SA"/>
                    </w:rPr>
                    <w:t>0.0179</w:t>
                  </w:r>
                </w:p>
              </w:tc>
              <w:tc>
                <w:tcPr>
                  <w:tcW w:w="0" w:type="auto"/>
                  <w:gridSpan w:val="4"/>
                  <w:shd w:val="clear" w:color="auto" w:fill="auto"/>
                  <w:vAlign w:val="center"/>
                </w:tcPr>
                <w:p w14:paraId="2B47D4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eastAsia" w:ascii="Times New Roman" w:hAnsi="Times New Roman" w:eastAsia="宋体" w:cs="Times New Roman"/>
                      <w:b w:val="0"/>
                      <w:bCs w:val="0"/>
                      <w:color w:val="auto"/>
                      <w:kern w:val="2"/>
                      <w:sz w:val="21"/>
                      <w:szCs w:val="21"/>
                      <w:u w:val="none"/>
                      <w:vertAlign w:val="baseline"/>
                      <w:lang w:val="en-US" w:eastAsia="zh-CN" w:bidi="ar-SA"/>
                    </w:rPr>
                    <w:t>0.0179</w:t>
                  </w:r>
                </w:p>
              </w:tc>
              <w:tc>
                <w:tcPr>
                  <w:tcW w:w="0" w:type="auto"/>
                  <w:gridSpan w:val="4"/>
                  <w:vAlign w:val="center"/>
                </w:tcPr>
                <w:p w14:paraId="111C17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eastAsia="宋体" w:cs="Times New Roman"/>
                      <w:b w:val="0"/>
                      <w:bCs w:val="0"/>
                      <w:color w:val="auto"/>
                      <w:sz w:val="21"/>
                      <w:szCs w:val="21"/>
                      <w:u w:val="none"/>
                      <w:vertAlign w:val="baseline"/>
                      <w:lang w:val="en-US" w:eastAsia="zh-CN"/>
                    </w:rPr>
                    <w:t>0.0358</w:t>
                  </w:r>
                </w:p>
              </w:tc>
            </w:tr>
          </w:tbl>
          <w:p w14:paraId="4E6F3A08">
            <w:pPr>
              <w:numPr>
                <w:ilvl w:val="0"/>
                <w:numId w:val="0"/>
              </w:numPr>
              <w:adjustRightInd w:val="0"/>
              <w:snapToGrid w:val="0"/>
              <w:spacing w:line="348" w:lineRule="auto"/>
              <w:rPr>
                <w:rFonts w:hint="default" w:cs="Times New Roman"/>
                <w:color w:val="262626"/>
                <w:sz w:val="24"/>
                <w:lang w:val="en-US" w:eastAsia="zh-CN"/>
              </w:rPr>
            </w:pPr>
          </w:p>
        </w:tc>
      </w:tr>
    </w:tbl>
    <w:p w14:paraId="42C9CB24">
      <w:pPr>
        <w:jc w:val="center"/>
        <w:rPr>
          <w:rFonts w:hint="default" w:ascii="Times New Roman" w:hAnsi="Times New Roman" w:eastAsia="宋体" w:cs="Times New Roman"/>
          <w:color w:val="auto"/>
          <w:kern w:val="0"/>
          <w:sz w:val="24"/>
          <w:szCs w:val="24"/>
          <w:lang w:val="en-US" w:eastAsia="zh-CN"/>
        </w:rPr>
        <w:sectPr>
          <w:pgSz w:w="16838" w:h="11906" w:orient="landscape"/>
          <w:pgMar w:top="1417" w:right="1587" w:bottom="1417" w:left="1587" w:header="851" w:footer="992" w:gutter="0"/>
          <w:pgBorders>
            <w:top w:val="none" w:sz="0" w:space="0"/>
            <w:left w:val="none" w:sz="0" w:space="0"/>
            <w:bottom w:val="none" w:sz="0" w:space="0"/>
            <w:right w:val="none" w:sz="0" w:space="0"/>
          </w:pgBorders>
          <w:pgNumType w:fmt="decimal"/>
          <w:cols w:space="0" w:num="1"/>
          <w:rtlGutter w:val="0"/>
          <w:docGrid w:type="lines" w:linePitch="324" w:charSpace="0"/>
        </w:sectPr>
      </w:pP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9066"/>
      </w:tblGrid>
      <w:tr w14:paraId="08874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10" w:hRule="atLeast"/>
        </w:trPr>
        <w:tc>
          <w:tcPr>
            <w:tcW w:w="252" w:type="pct"/>
            <w:vAlign w:val="center"/>
          </w:tcPr>
          <w:p w14:paraId="0536775A">
            <w:pPr>
              <w:jc w:val="center"/>
              <w:rPr>
                <w:rFonts w:hint="default" w:ascii="Times New Roman" w:hAnsi="Times New Roman" w:eastAsia="宋体" w:cs="Times New Roman"/>
                <w:color w:val="auto"/>
                <w:kern w:val="0"/>
                <w:sz w:val="24"/>
                <w:szCs w:val="24"/>
                <w:lang w:val="en-US" w:eastAsia="zh-CN"/>
              </w:rPr>
            </w:pPr>
          </w:p>
        </w:tc>
        <w:tc>
          <w:tcPr>
            <w:tcW w:w="4747" w:type="pct"/>
          </w:tcPr>
          <w:p w14:paraId="1EAF0EE7">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US" w:eastAsia="zh-CN"/>
              </w:rPr>
            </w:pPr>
            <w:bookmarkStart w:id="85" w:name="_Toc7968"/>
            <w:r>
              <w:rPr>
                <w:rFonts w:hint="eastAsia"/>
                <w:b/>
                <w:color w:val="262626"/>
                <w:kern w:val="0"/>
                <w:sz w:val="24"/>
                <w:lang w:val="en-US" w:eastAsia="zh-CN"/>
              </w:rPr>
              <w:t>4.1.3运营期大气污染防治措施合理性分析</w:t>
            </w:r>
            <w:bookmarkEnd w:id="85"/>
          </w:p>
          <w:p w14:paraId="1C2D9E9A">
            <w:pPr>
              <w:pStyle w:val="46"/>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w:t>
            </w:r>
            <w:r>
              <w:rPr>
                <w:rFonts w:hint="eastAsia"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lang w:val="en-US" w:eastAsia="zh-CN"/>
              </w:rPr>
              <w:t>运营期产生的废气污染物因子为VOCs（以非甲烷总烃计）</w:t>
            </w:r>
            <w:r>
              <w:rPr>
                <w:rFonts w:hint="eastAsia" w:ascii="Times New Roman" w:hAnsi="Times New Roman" w:cs="Times New Roman"/>
                <w:color w:val="auto"/>
                <w:sz w:val="24"/>
                <w:szCs w:val="24"/>
                <w:lang w:val="en-US" w:eastAsia="zh-CN"/>
              </w:rPr>
              <w:t>、</w:t>
            </w:r>
            <w:r>
              <w:rPr>
                <w:rFonts w:hint="eastAsia" w:ascii="Times New Roman" w:hAnsi="Times New Roman" w:cs="Times New Roman"/>
                <w:bCs/>
                <w:color w:val="auto"/>
                <w:kern w:val="2"/>
                <w:sz w:val="24"/>
                <w:szCs w:val="24"/>
                <w:lang w:val="en-US" w:eastAsia="zh-CN" w:bidi="ar-SA"/>
              </w:rPr>
              <w:t>臭气、</w:t>
            </w:r>
            <w:r>
              <w:rPr>
                <w:rFonts w:hint="default"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w:t>
            </w:r>
          </w:p>
          <w:p w14:paraId="1895617B">
            <w:pPr>
              <w:pStyle w:val="46"/>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（1）生产车间密闭情况分析</w:t>
            </w:r>
          </w:p>
          <w:p w14:paraId="7587C353">
            <w:pPr>
              <w:pStyle w:val="46"/>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w:t>
            </w:r>
            <w:r>
              <w:rPr>
                <w:rFonts w:hint="eastAsia" w:ascii="Times New Roman" w:hAnsi="Times New Roman" w:cs="Times New Roman"/>
                <w:color w:val="auto"/>
                <w:sz w:val="24"/>
                <w:szCs w:val="24"/>
                <w:lang w:val="en-US" w:eastAsia="zh-CN"/>
              </w:rPr>
              <w:t>购置</w:t>
            </w:r>
            <w:r>
              <w:rPr>
                <w:rFonts w:hint="eastAsia" w:ascii="Times New Roman" w:hAnsi="Times New Roman" w:eastAsia="宋体" w:cs="Times New Roman"/>
                <w:color w:val="auto"/>
                <w:sz w:val="24"/>
                <w:szCs w:val="24"/>
                <w:lang w:val="en-US" w:eastAsia="zh-CN"/>
              </w:rPr>
              <w:t>厂房总体为钢筋混凝土结构，墙体、屋顶、门窗等均采用密闭设计。本项目所使用设备均设置在车间内，密闭条件较好</w:t>
            </w:r>
            <w:r>
              <w:rPr>
                <w:rFonts w:hint="eastAsia" w:ascii="Times New Roman" w:hAnsi="Times New Roman" w:cs="Times New Roman"/>
                <w:color w:val="auto"/>
                <w:sz w:val="24"/>
                <w:szCs w:val="24"/>
                <w:lang w:val="en-US" w:eastAsia="zh-CN"/>
              </w:rPr>
              <w:t>注塑机</w:t>
            </w:r>
            <w:r>
              <w:rPr>
                <w:rFonts w:hint="eastAsia" w:ascii="Times New Roman" w:hAnsi="Times New Roman" w:eastAsia="宋体" w:cs="Times New Roman"/>
                <w:color w:val="auto"/>
                <w:sz w:val="24"/>
                <w:szCs w:val="24"/>
                <w:lang w:val="en-US" w:eastAsia="zh-CN"/>
              </w:rPr>
              <w:t>等污染较大的设备，设置在厂房一角建设隔断墙密闭管理，可减少污染物无组织扩散。</w:t>
            </w:r>
          </w:p>
          <w:p w14:paraId="7816EBD4">
            <w:pPr>
              <w:pStyle w:val="46"/>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（2）</w:t>
            </w:r>
            <w:r>
              <w:rPr>
                <w:rFonts w:hint="eastAsia" w:ascii="Times New Roman" w:hAnsi="Times New Roman" w:cs="Times New Roman"/>
                <w:color w:val="000000"/>
                <w:sz w:val="24"/>
                <w:szCs w:val="24"/>
                <w:highlight w:val="none"/>
                <w:lang w:val="en-US" w:eastAsia="zh-CN"/>
              </w:rPr>
              <w:t>废气</w:t>
            </w:r>
            <w:r>
              <w:rPr>
                <w:rFonts w:hint="default" w:ascii="Times New Roman" w:hAnsi="Times New Roman" w:eastAsia="宋体" w:cs="Times New Roman"/>
                <w:color w:val="000000"/>
                <w:sz w:val="24"/>
                <w:szCs w:val="24"/>
                <w:highlight w:val="none"/>
                <w:lang w:val="en-US" w:eastAsia="zh-CN"/>
              </w:rPr>
              <w:t>治理措施</w:t>
            </w:r>
            <w:r>
              <w:rPr>
                <w:rFonts w:hint="eastAsia" w:ascii="Times New Roman" w:hAnsi="Times New Roman" w:cs="Times New Roman"/>
                <w:color w:val="000000"/>
                <w:sz w:val="24"/>
                <w:szCs w:val="24"/>
                <w:highlight w:val="none"/>
                <w:lang w:val="en-US" w:eastAsia="zh-CN"/>
              </w:rPr>
              <w:t>分析</w:t>
            </w:r>
          </w:p>
          <w:p w14:paraId="08F82F4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w:t>
            </w:r>
            <w:r>
              <w:rPr>
                <w:rFonts w:hint="eastAsia" w:ascii="Times New Roman" w:hAnsi="Times New Roman" w:cs="Times New Roman"/>
                <w:color w:val="auto"/>
                <w:kern w:val="0"/>
                <w:sz w:val="24"/>
                <w:szCs w:val="24"/>
                <w:highlight w:val="none"/>
                <w:lang w:val="en-US" w:eastAsia="zh-CN" w:bidi="ar-SA"/>
              </w:rPr>
              <w:t>注塑废气</w:t>
            </w:r>
            <w:r>
              <w:rPr>
                <w:rFonts w:hint="eastAsia" w:cs="Times New Roman"/>
                <w:color w:val="auto"/>
                <w:kern w:val="0"/>
                <w:sz w:val="24"/>
                <w:szCs w:val="24"/>
                <w:highlight w:val="none"/>
                <w:lang w:val="en-US" w:eastAsia="zh-CN" w:bidi="ar-SA"/>
              </w:rPr>
              <w:t>、烘烤废气、除油废气以及经过负压收集+滤芯回收系统的喷粉废气</w:t>
            </w:r>
            <w:r>
              <w:rPr>
                <w:rFonts w:hint="eastAsia" w:ascii="Times New Roman" w:hAnsi="Times New Roman" w:cs="Times New Roman"/>
                <w:color w:val="auto"/>
                <w:kern w:val="0"/>
                <w:sz w:val="24"/>
                <w:szCs w:val="24"/>
                <w:highlight w:val="none"/>
                <w:lang w:val="en-US" w:eastAsia="zh-CN" w:bidi="ar-SA"/>
              </w:rPr>
              <w:t>（非甲烷总烃（VOCs）</w:t>
            </w:r>
            <w:r>
              <w:rPr>
                <w:rFonts w:hint="default" w:ascii="Times New Roman" w:hAnsi="Times New Roman" w:cs="Times New Roman"/>
                <w:color w:val="auto"/>
                <w:sz w:val="24"/>
                <w:szCs w:val="24"/>
                <w:lang w:val="en-US" w:eastAsia="zh-CN"/>
              </w:rPr>
              <w:t>、</w:t>
            </w:r>
            <w:r>
              <w:rPr>
                <w:rFonts w:hint="eastAsia" w:cs="Times New Roman"/>
                <w:color w:val="auto"/>
                <w:kern w:val="0"/>
                <w:sz w:val="24"/>
                <w:szCs w:val="24"/>
                <w:highlight w:val="none"/>
                <w:lang w:val="en-US" w:eastAsia="zh-CN" w:bidi="ar-SA"/>
              </w:rPr>
              <w:t>臭气、颗粒物</w:t>
            </w:r>
            <w:r>
              <w:rPr>
                <w:rFonts w:hint="eastAsia" w:ascii="Times New Roman" w:hAnsi="Times New Roman" w:cs="Times New Roman"/>
                <w:color w:val="auto"/>
                <w:kern w:val="0"/>
                <w:sz w:val="24"/>
                <w:szCs w:val="24"/>
                <w:highlight w:val="none"/>
                <w:lang w:val="en-US" w:eastAsia="zh-CN" w:bidi="ar-SA"/>
              </w:rPr>
              <w:t>）经</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集气罩+</w:t>
            </w:r>
            <w:r>
              <w:rPr>
                <w:rFonts w:hint="eastAsia" w:cs="Times New Roman"/>
                <w:i w:val="0"/>
                <w:iCs w:val="0"/>
                <w:caps w:val="0"/>
                <w:color w:val="auto"/>
                <w:spacing w:val="0"/>
                <w:sz w:val="24"/>
                <w:szCs w:val="24"/>
                <w:highlight w:val="none"/>
                <w:shd w:val="clear" w:color="auto" w:fill="FFFFFF"/>
                <w:lang w:val="en-US" w:eastAsia="zh-CN"/>
              </w:rPr>
              <w:t>二级</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活性炭吸附装置</w:t>
            </w:r>
            <w:r>
              <w:rPr>
                <w:rFonts w:hint="eastAsia" w:ascii="Times New Roman" w:hAnsi="Times New Roman" w:eastAsia="宋体" w:cs="Times New Roman"/>
                <w:i w:val="0"/>
                <w:iCs w:val="0"/>
                <w:caps w:val="0"/>
                <w:color w:val="auto"/>
                <w:spacing w:val="0"/>
                <w:sz w:val="24"/>
                <w:szCs w:val="24"/>
                <w:highlight w:val="none"/>
                <w:shd w:val="clear" w:color="auto" w:fill="FFFFFF"/>
                <w:lang w:val="en-US" w:eastAsia="zh-CN"/>
              </w:rPr>
              <w:t>（TA00</w:t>
            </w:r>
            <w:r>
              <w:rPr>
                <w:rFonts w:hint="eastAsia" w:cs="Times New Roman"/>
                <w:i w:val="0"/>
                <w:iCs w:val="0"/>
                <w:caps w:val="0"/>
                <w:color w:val="auto"/>
                <w:spacing w:val="0"/>
                <w:sz w:val="24"/>
                <w:szCs w:val="24"/>
                <w:highlight w:val="none"/>
                <w:shd w:val="clear" w:color="auto" w:fill="FFFFFF"/>
                <w:lang w:val="en-US" w:eastAsia="zh-CN"/>
              </w:rPr>
              <w:t>1</w:t>
            </w:r>
            <w:r>
              <w:rPr>
                <w:rFonts w:hint="eastAsia" w:ascii="Times New Roman" w:hAnsi="Times New Roman" w:eastAsia="宋体" w:cs="Times New Roman"/>
                <w:i w:val="0"/>
                <w:iCs w:val="0"/>
                <w:caps w:val="0"/>
                <w:color w:val="auto"/>
                <w:spacing w:val="0"/>
                <w:sz w:val="24"/>
                <w:szCs w:val="24"/>
                <w:highlight w:val="none"/>
                <w:shd w:val="clear" w:color="auto" w:fill="FFFFFF"/>
                <w:lang w:val="en-US" w:eastAsia="zh-CN"/>
              </w:rPr>
              <w:t>）”</w:t>
            </w:r>
            <w:r>
              <w:rPr>
                <w:rFonts w:hint="default" w:ascii="Times New Roman" w:hAnsi="Times New Roman" w:eastAsia="宋体" w:cs="Times New Roman"/>
                <w:color w:val="auto"/>
                <w:kern w:val="0"/>
                <w:sz w:val="24"/>
                <w:szCs w:val="24"/>
                <w:highlight w:val="none"/>
                <w:lang w:val="en-US" w:eastAsia="zh-CN" w:bidi="ar-SA"/>
              </w:rPr>
              <w:t>处理后通过</w:t>
            </w:r>
            <w:r>
              <w:rPr>
                <w:rFonts w:hint="eastAsia" w:ascii="Times New Roman" w:hAnsi="Times New Roman" w:eastAsia="宋体" w:cs="Times New Roman"/>
                <w:color w:val="auto"/>
                <w:kern w:val="0"/>
                <w:sz w:val="24"/>
                <w:szCs w:val="24"/>
                <w:highlight w:val="none"/>
                <w:lang w:val="en-US" w:eastAsia="zh-CN" w:bidi="ar-SA"/>
              </w:rPr>
              <w:t>15</w:t>
            </w:r>
            <w:r>
              <w:rPr>
                <w:rFonts w:hint="default" w:ascii="Times New Roman" w:hAnsi="Times New Roman" w:eastAsia="宋体" w:cs="Times New Roman"/>
                <w:color w:val="auto"/>
                <w:kern w:val="0"/>
                <w:sz w:val="24"/>
                <w:szCs w:val="24"/>
                <w:highlight w:val="none"/>
                <w:lang w:val="en-US" w:eastAsia="zh-CN" w:bidi="ar-SA"/>
              </w:rPr>
              <w:t>m高的排气筒（DA001）排放</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料头粉碎过程所产生的粉碎废气（颗粒物）经“移动除尘器处理后”处理后无组织排放</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项目车间废气处理工艺流程图详见图4.</w:t>
            </w:r>
            <w:r>
              <w:rPr>
                <w:rFonts w:hint="eastAsia" w:ascii="Times New Roman" w:hAnsi="Times New Roman"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-1。</w:t>
            </w:r>
          </w:p>
          <w:p w14:paraId="7F617E9A">
            <w:pPr>
              <w:pStyle w:val="51"/>
              <w:ind w:left="0" w:leftChars="0" w:firstLine="0" w:firstLineChars="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drawing>
                <wp:inline distT="0" distB="0" distL="114300" distR="114300">
                  <wp:extent cx="5122545" cy="1955800"/>
                  <wp:effectExtent l="0" t="0" r="0" b="0"/>
                  <wp:docPr id="176"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ECB019B1-382A-4266-B25C-5B523AA43C14-2" descr="wps"/>
                          <pic:cNvPicPr>
                            <a:picLocks noChangeAspect="1"/>
                          </pic:cNvPicPr>
                        </pic:nvPicPr>
                        <pic:blipFill>
                          <a:blip r:embed="rId21"/>
                          <a:stretch>
                            <a:fillRect/>
                          </a:stretch>
                        </pic:blipFill>
                        <pic:spPr>
                          <a:xfrm>
                            <a:off x="0" y="0"/>
                            <a:ext cx="5122545" cy="1955800"/>
                          </a:xfrm>
                          <a:prstGeom prst="rect">
                            <a:avLst/>
                          </a:prstGeom>
                        </pic:spPr>
                      </pic:pic>
                    </a:graphicData>
                  </a:graphic>
                </wp:inline>
              </w:drawing>
            </w:r>
          </w:p>
          <w:p w14:paraId="2484C7A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图4.1-1项目</w:t>
            </w:r>
            <w:r>
              <w:rPr>
                <w:rFonts w:hint="eastAsia" w:cs="Times New Roman"/>
                <w:b/>
                <w:bCs/>
                <w:color w:val="auto"/>
                <w:sz w:val="24"/>
                <w:szCs w:val="24"/>
                <w:highlight w:val="none"/>
                <w:lang w:val="en-US" w:eastAsia="zh-CN"/>
              </w:rPr>
              <w:t>有组织</w:t>
            </w:r>
            <w:r>
              <w:rPr>
                <w:rFonts w:hint="eastAsia" w:ascii="Times New Roman" w:hAnsi="Times New Roman" w:eastAsia="宋体" w:cs="Times New Roman"/>
                <w:b/>
                <w:bCs/>
                <w:color w:val="auto"/>
                <w:sz w:val="24"/>
                <w:szCs w:val="24"/>
                <w:highlight w:val="none"/>
                <w:lang w:val="en-US" w:eastAsia="zh-CN"/>
              </w:rPr>
              <w:t>废气处理工艺流程图</w:t>
            </w:r>
          </w:p>
          <w:p w14:paraId="024E1C3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活性炭吸附</w:t>
            </w:r>
            <w:r>
              <w:rPr>
                <w:rFonts w:hint="default" w:ascii="Times New Roman" w:hAnsi="Times New Roman" w:eastAsia="宋体" w:cs="Times New Roman"/>
                <w:b/>
                <w:bCs/>
                <w:color w:val="auto"/>
                <w:sz w:val="24"/>
                <w:szCs w:val="24"/>
                <w:highlight w:val="none"/>
                <w:lang w:eastAsia="zh-CN"/>
              </w:rPr>
              <w:t>工艺原理：</w:t>
            </w:r>
            <w:r>
              <w:rPr>
                <w:rFonts w:hint="default" w:ascii="Times New Roman" w:hAnsi="Times New Roman" w:eastAsia="宋体" w:cs="Times New Roman"/>
                <w:color w:val="auto"/>
                <w:sz w:val="24"/>
                <w:szCs w:val="24"/>
                <w:highlight w:val="none"/>
              </w:rPr>
              <w:t>有机气体进入活性炭塔，有机气体进入塔内时，风速瞬间</w:t>
            </w:r>
            <w:r>
              <w:rPr>
                <w:rFonts w:hint="eastAsia" w:ascii="Times New Roman" w:hAnsi="Times New Roman" w:eastAsia="宋体" w:cs="Times New Roman"/>
                <w:color w:val="auto"/>
                <w:sz w:val="24"/>
                <w:szCs w:val="24"/>
                <w:highlight w:val="none"/>
                <w:lang w:eastAsia="zh-CN"/>
              </w:rPr>
              <w:t>下降</w:t>
            </w:r>
            <w:r>
              <w:rPr>
                <w:rFonts w:hint="default" w:ascii="Times New Roman" w:hAnsi="Times New Roman" w:eastAsia="宋体" w:cs="Times New Roman"/>
                <w:color w:val="auto"/>
                <w:sz w:val="24"/>
                <w:szCs w:val="24"/>
                <w:highlight w:val="none"/>
              </w:rPr>
              <w:t>，气体内含的较大颗粒杂物便自然沉降入塔底部，而</w:t>
            </w:r>
            <w:r>
              <w:rPr>
                <w:rFonts w:hint="eastAsia" w:ascii="Times New Roman" w:hAnsi="Times New Roman" w:eastAsia="宋体" w:cs="Times New Roman"/>
                <w:color w:val="auto"/>
                <w:sz w:val="24"/>
                <w:szCs w:val="24"/>
                <w:highlight w:val="none"/>
                <w:lang w:eastAsia="zh-CN"/>
              </w:rPr>
              <w:t>融入</w:t>
            </w:r>
            <w:r>
              <w:rPr>
                <w:rFonts w:hint="default" w:ascii="Times New Roman" w:hAnsi="Times New Roman" w:eastAsia="宋体" w:cs="Times New Roman"/>
                <w:color w:val="auto"/>
                <w:sz w:val="24"/>
                <w:szCs w:val="24"/>
                <w:highlight w:val="none"/>
              </w:rPr>
              <w:t>气体内的有机气体部分随气体流向流进活性炭过滤层，有机气体进入炭层时，有机气体被活性炭吸附进炭内，而干净的空气穿过炭层进入出气仓，气体经过机械自吸后排入大气中。</w:t>
            </w:r>
          </w:p>
          <w:p w14:paraId="71A44C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000000"/>
                <w:sz w:val="24"/>
                <w:szCs w:val="24"/>
                <w:lang w:val="en-US" w:eastAsia="zh-CN"/>
              </w:rPr>
              <w:t>本项目采用颗粒</w:t>
            </w:r>
            <w:r>
              <w:rPr>
                <w:rFonts w:hint="default" w:ascii="Times New Roman" w:hAnsi="Times New Roman" w:eastAsia="宋体" w:cs="Times New Roman"/>
                <w:color w:val="000000"/>
                <w:sz w:val="24"/>
                <w:szCs w:val="24"/>
                <w:lang w:val="en-US" w:eastAsia="zh-CN"/>
              </w:rPr>
              <w:t>活性炭，是一种具有多孔结构和大的内部比表面积的材料。由于其大的比表面积、微孔结构、高的吸附能力和很高的表面活性而成为独特的多功能吸附剂</w:t>
            </w:r>
            <w:r>
              <w:rPr>
                <w:rFonts w:hint="eastAsia" w:cs="Times New Roman"/>
                <w:color w:val="000000"/>
                <w:sz w:val="24"/>
                <w:szCs w:val="24"/>
                <w:lang w:val="en-US" w:eastAsia="zh-CN"/>
              </w:rPr>
              <w:t>且</w:t>
            </w:r>
            <w:r>
              <w:rPr>
                <w:rFonts w:hint="default" w:ascii="Times New Roman" w:hAnsi="Times New Roman" w:eastAsia="宋体" w:cs="Times New Roman"/>
                <w:color w:val="000000"/>
                <w:sz w:val="24"/>
                <w:szCs w:val="24"/>
                <w:lang w:val="en-US" w:eastAsia="zh-CN"/>
              </w:rPr>
              <w:t>其价廉易得，可再生活化，同时它可有效去除废水、废气中的大部分有机物和某些无机物，所以它被世界各国广泛地应用于污水及废气的处理、空气净化、回收溶剂等环境保护和资源回收等领域。活性炭分为粉末活性炭、粒状活性炭及活性炭纤维，但是由于粉末活性炭产生二次污染且不能再生而被限制使用。粒状活性炭粒径500～5000μm，有机废气通过吸附床，与活性炭接触，废气中的有机污染物被吸附在活性炭表面，从而从气流中脱离出来，达到净化效果。采用颗粒活性炭作为吸附剂时，其碘值不宜低于800mg/g。一次性活性炭吸附工艺宜采用颗粒活性炭作为吸附剂。活性炭、活性炭纤维产品销售时应提供产品质量证明材料，项目计</w:t>
            </w:r>
            <w:r>
              <w:rPr>
                <w:rFonts w:hint="default" w:ascii="Times New Roman" w:hAnsi="Times New Roman" w:eastAsia="宋体" w:cs="Times New Roman"/>
                <w:color w:val="auto"/>
                <w:sz w:val="24"/>
                <w:szCs w:val="24"/>
                <w:lang w:val="en-US" w:eastAsia="zh-CN"/>
              </w:rPr>
              <w:t>划每</w:t>
            </w:r>
            <w:r>
              <w:rPr>
                <w:rFonts w:hint="eastAsia" w:ascii="Times New Roman" w:hAnsi="Times New Roman" w:eastAsia="宋体" w:cs="Times New Roman"/>
                <w:color w:val="auto"/>
                <w:sz w:val="24"/>
                <w:szCs w:val="24"/>
                <w:lang w:val="en-US" w:eastAsia="zh-CN"/>
              </w:rPr>
              <w:t>三</w:t>
            </w:r>
            <w:r>
              <w:rPr>
                <w:rFonts w:hint="default" w:ascii="Times New Roman" w:hAnsi="Times New Roman" w:eastAsia="宋体" w:cs="Times New Roman"/>
                <w:color w:val="auto"/>
                <w:sz w:val="24"/>
                <w:szCs w:val="24"/>
                <w:lang w:val="en-US" w:eastAsia="zh-CN"/>
              </w:rPr>
              <w:t>个月更换一次活性炭。活性炭对</w:t>
            </w:r>
            <w:r>
              <w:rPr>
                <w:rFonts w:hint="default" w:ascii="Times New Roman" w:hAnsi="Times New Roman" w:eastAsia="宋体" w:cs="Times New Roman"/>
                <w:color w:val="000000"/>
                <w:sz w:val="24"/>
                <w:szCs w:val="24"/>
                <w:lang w:val="en-US" w:eastAsia="zh-CN"/>
              </w:rPr>
              <w:t>有机废气具有良好的吸附效果，可使得有机废气处理能力达</w:t>
            </w:r>
            <w:r>
              <w:rPr>
                <w:rFonts w:hint="default" w:ascii="Times New Roman" w:hAnsi="Times New Roman" w:eastAsia="宋体" w:cs="Times New Roman"/>
                <w:color w:val="auto"/>
                <w:sz w:val="24"/>
                <w:szCs w:val="24"/>
                <w:lang w:val="en-US" w:eastAsia="zh-CN"/>
              </w:rPr>
              <w:t>到</w:t>
            </w:r>
            <w:r>
              <w:rPr>
                <w:rFonts w:hint="eastAsia" w:ascii="Times New Roman" w:hAnsi="Times New Roman" w:eastAsia="宋体" w:cs="Times New Roman"/>
                <w:color w:val="auto"/>
                <w:sz w:val="24"/>
                <w:szCs w:val="24"/>
                <w:lang w:val="en-US" w:eastAsia="zh-CN"/>
              </w:rPr>
              <w:t>75</w:t>
            </w:r>
            <w:r>
              <w:rPr>
                <w:rFonts w:hint="default" w:ascii="Times New Roman" w:hAnsi="Times New Roman" w:eastAsia="宋体" w:cs="Times New Roman"/>
                <w:color w:val="auto"/>
                <w:sz w:val="24"/>
                <w:szCs w:val="24"/>
                <w:lang w:val="en-US" w:eastAsia="zh-CN"/>
              </w:rPr>
              <w:t>%以上。</w:t>
            </w:r>
          </w:p>
          <w:p w14:paraId="0B449BD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移动除尘器工作原理：</w:t>
            </w:r>
            <w:r>
              <w:rPr>
                <w:rFonts w:hint="default" w:ascii="Times New Roman" w:hAnsi="Times New Roman" w:eastAsia="宋体" w:cs="Times New Roman"/>
                <w:color w:val="auto"/>
                <w:sz w:val="24"/>
                <w:szCs w:val="24"/>
                <w:lang w:val="en-US" w:eastAsia="zh-CN"/>
              </w:rPr>
              <w:t>以滤筒作为过滤元件，通过表面过滤等方式捕捉粉尘，实现气体的净化，具体步骤为：含尘气体首先通过除尘器的收集口进入，通过布朗扩散和筛滤等组合效应，使粉尘沉积在滤料表面上，净化后的气体出气口排放；随着过滤的不断进行，滤筒表面的粉尘越积越多，滤筒阻力不断升高，当设备阻力达到一定的限值时，企业自行更换滤芯以保证除尘效率及设备的持续运行。</w:t>
            </w:r>
          </w:p>
          <w:p w14:paraId="1228962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滤芯除尘器处理原理：</w:t>
            </w:r>
            <w:r>
              <w:rPr>
                <w:rFonts w:hint="default" w:ascii="Times New Roman" w:hAnsi="Times New Roman" w:eastAsia="宋体" w:cs="Times New Roman"/>
                <w:color w:val="auto"/>
                <w:sz w:val="24"/>
                <w:szCs w:val="24"/>
                <w:lang w:val="en-US" w:eastAsia="zh-CN"/>
              </w:rPr>
              <w:t>滤芯除尘器主要由上箱体、中箱体、灰斗、卸灰系统、喷吹系统和控制系统等几部分组成，可采用多种进气分室结构。含尘烟气由进风口经中箱体下部进入灰斗；部分较大的尘粒由于惯性碰撞、自然沉降等作用直接落入灰斗，其它尘粒随气流上升进入各个袋室。经滤芯过滤后，尘粒被阻留在滤芯外侧，净化后的气体由滤芯内部进入箱体，再通过提升阀、出风口排入大气。灰斗中的粉尘定时或连续由</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"https://baike.so.com/doc/2558471-2702075.html" \t "https://baike.so.com/doc/_blank"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螺旋输送机</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及刚性叶轮卸料器卸出。随着过滤过程的不断进行，滤芯外侧所附积的粉尘不断增加，从而导致袋除尘器本身的阻力也逐渐升高。当阻力达到预先设定值时，清灰控制器发出信号，首先令一个过滤室的提升阀关闭以切断该室的过滤气流，然后打开电磁脉冲阀，压缩空气由气源顺序经气包、脉冲阀、喷吹管上的喷嘴以极短的时间(0.065~0.085秒)向滤芯喷射。压缩空气在箱内高速膨胀，使滤芯产生高频振动变形，再加上逆气流的作用，使滤袋外侧所附尘饼变形脱落。在充分考虑了粉尘的沉降时间(保证所脱落的粉尘能够有效落入灰斗)后，提升阀打开，此袋室滤袋恢复到过滤状态，而下一袋室则进入清灰状态，如此直到最后一袋室清灰完毕为一个周期。滤芯除尘器不但具有喷吹脉冲除尘器的清灰能力强、除尘效率高、排放浓度低等特点，还具有稳定可靠、能耗低、占地面积小的特点，特别适合处理大风量的烟气。</w:t>
            </w:r>
          </w:p>
          <w:p w14:paraId="77B7B6C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废气停留时间计算</w:t>
            </w:r>
          </w:p>
          <w:p w14:paraId="733C34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拟建项目</w:t>
            </w:r>
            <w:r>
              <w:rPr>
                <w:rFonts w:hint="default" w:ascii="Times New Roman" w:hAnsi="Times New Roman" w:eastAsia="宋体" w:cs="Times New Roman"/>
                <w:color w:val="auto"/>
                <w:sz w:val="24"/>
                <w:szCs w:val="24"/>
                <w:highlight w:val="none"/>
                <w:lang w:val="en-US" w:eastAsia="zh-CN"/>
              </w:rPr>
              <w:t>DA00</w:t>
            </w:r>
            <w:r>
              <w:rPr>
                <w:rFonts w:hint="eastAsia" w:ascii="Times New Roman" w:hAnsi="Times New Roman" w:eastAsia="宋体" w:cs="Times New Roman"/>
                <w:color w:val="auto"/>
                <w:sz w:val="24"/>
                <w:szCs w:val="24"/>
                <w:highlight w:val="none"/>
                <w:lang w:val="en-US" w:eastAsia="zh-CN"/>
              </w:rPr>
              <w:t>1排气筒配套的活性炭吸附装置对应的风量为</w:t>
            </w:r>
            <w:r>
              <w:rPr>
                <w:rFonts w:hint="eastAsia" w:ascii="Times New Roman" w:hAnsi="Times New Roman" w:cs="Times New Roman"/>
                <w:color w:val="auto"/>
                <w:sz w:val="24"/>
                <w:szCs w:val="24"/>
                <w:highlight w:val="none"/>
                <w:lang w:val="en-US" w:eastAsia="zh-CN"/>
              </w:rPr>
              <w:t>8000</w:t>
            </w:r>
            <w:r>
              <w:rPr>
                <w:rFonts w:hint="default"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eastAsia" w:ascii="Times New Roman" w:hAnsi="Times New Roman" w:cs="Times New Roman"/>
                <w:color w:val="auto"/>
                <w:sz w:val="24"/>
                <w:szCs w:val="24"/>
                <w:highlight w:val="none"/>
                <w:lang w:val="en-US" w:eastAsia="zh-CN"/>
              </w:rPr>
              <w:t>2.2222</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/s</w:t>
            </w:r>
            <w:r>
              <w:rPr>
                <w:rFonts w:hint="eastAsia" w:ascii="Times New Roman" w:hAnsi="Times New Roman" w:eastAsia="宋体" w:cs="Times New Roman"/>
                <w:color w:val="auto"/>
                <w:sz w:val="24"/>
                <w:szCs w:val="24"/>
                <w:highlight w:val="none"/>
                <w:lang w:val="en-US" w:eastAsia="zh-CN"/>
              </w:rPr>
              <w:t>，孔隙度取</w:t>
            </w:r>
            <w:r>
              <w:rPr>
                <w:rFonts w:hint="default" w:ascii="Times New Roman" w:hAnsi="Times New Roman" w:eastAsia="宋体" w:cs="Times New Roman"/>
                <w:color w:val="auto"/>
                <w:sz w:val="24"/>
                <w:szCs w:val="24"/>
                <w:highlight w:val="none"/>
                <w:lang w:val="en-US" w:eastAsia="zh-CN"/>
              </w:rPr>
              <w:t>0.75</w:t>
            </w:r>
            <w:r>
              <w:rPr>
                <w:rFonts w:hint="eastAsia" w:ascii="Times New Roman" w:hAnsi="Times New Roman" w:eastAsia="宋体" w:cs="Times New Roman"/>
                <w:color w:val="auto"/>
                <w:sz w:val="24"/>
                <w:szCs w:val="24"/>
                <w:highlight w:val="none"/>
                <w:lang w:val="en-US" w:eastAsia="zh-CN"/>
              </w:rPr>
              <w:t>，过滤风速</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风量</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宽度</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高度</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孔隙率；则过滤风速</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2.2222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lang w:val="en-US" w:eastAsia="zh-CN"/>
              </w:rPr>
              <w:t>/0.75=</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2315</w:t>
            </w:r>
            <w:r>
              <w:rPr>
                <w:rFonts w:hint="default" w:ascii="Times New Roman" w:hAnsi="Times New Roman" w:eastAsia="宋体" w:cs="Times New Roman"/>
                <w:color w:val="auto"/>
                <w:sz w:val="24"/>
                <w:szCs w:val="24"/>
                <w:highlight w:val="none"/>
                <w:lang w:val="en-US" w:eastAsia="zh-CN"/>
              </w:rPr>
              <w:t>m/s</w:t>
            </w:r>
            <w:r>
              <w:rPr>
                <w:rFonts w:hint="eastAsia" w:ascii="Times New Roman" w:hAnsi="Times New Roman" w:eastAsia="宋体" w:cs="Times New Roman"/>
                <w:color w:val="auto"/>
                <w:sz w:val="24"/>
                <w:szCs w:val="24"/>
                <w:highlight w:val="none"/>
                <w:lang w:val="en-US" w:eastAsia="zh-CN"/>
              </w:rPr>
              <w:t>满足《吸附法工业有机废气治理工程技术规范（</w:t>
            </w:r>
            <w:r>
              <w:rPr>
                <w:rFonts w:hint="default" w:ascii="Times New Roman" w:hAnsi="Times New Roman" w:eastAsia="宋体" w:cs="Times New Roman"/>
                <w:color w:val="auto"/>
                <w:sz w:val="24"/>
                <w:szCs w:val="24"/>
                <w:highlight w:val="none"/>
                <w:lang w:val="en-US" w:eastAsia="zh-CN"/>
              </w:rPr>
              <w:t>HJ2026-2013</w:t>
            </w:r>
            <w:r>
              <w:rPr>
                <w:rFonts w:hint="eastAsia" w:ascii="Times New Roman" w:hAnsi="Times New Roman" w:eastAsia="宋体" w:cs="Times New Roman"/>
                <w:color w:val="auto"/>
                <w:sz w:val="24"/>
                <w:szCs w:val="24"/>
                <w:highlight w:val="none"/>
                <w:lang w:val="en-US" w:eastAsia="zh-CN"/>
              </w:rPr>
              <w:t>）》中“采用颗粒状吸附剂时，气体流速宜低于</w:t>
            </w:r>
            <w:r>
              <w:rPr>
                <w:rFonts w:hint="default" w:ascii="Times New Roman" w:hAnsi="Times New Roman" w:eastAsia="宋体" w:cs="Times New Roman"/>
                <w:color w:val="auto"/>
                <w:sz w:val="24"/>
                <w:szCs w:val="24"/>
                <w:highlight w:val="none"/>
                <w:lang w:val="en-US" w:eastAsia="zh-CN"/>
              </w:rPr>
              <w:t>0.6m/s</w:t>
            </w:r>
            <w:r>
              <w:rPr>
                <w:rFonts w:hint="eastAsia" w:ascii="Times New Roman" w:hAnsi="Times New Roman" w:eastAsia="宋体" w:cs="Times New Roman"/>
                <w:color w:val="auto"/>
                <w:sz w:val="24"/>
                <w:szCs w:val="24"/>
                <w:highlight w:val="none"/>
                <w:lang w:val="en-US" w:eastAsia="zh-CN"/>
              </w:rPr>
              <w:t>”的要求；活性炭吸附停留时间</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活性炭吸附长度</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过滤风速</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2315</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8639</w:t>
            </w:r>
            <w:r>
              <w:rPr>
                <w:rFonts w:hint="default" w:ascii="Times New Roman" w:hAnsi="Times New Roman" w:eastAsia="宋体" w:cs="Times New Roman"/>
                <w:color w:val="auto"/>
                <w:sz w:val="24"/>
                <w:szCs w:val="24"/>
                <w:highlight w:val="none"/>
                <w:lang w:val="en-US" w:eastAsia="zh-CN"/>
              </w:rPr>
              <w:t>s</w:t>
            </w:r>
            <w:r>
              <w:rPr>
                <w:rFonts w:hint="eastAsia" w:ascii="Times New Roman" w:hAnsi="Times New Roman" w:eastAsia="宋体" w:cs="Times New Roman"/>
                <w:color w:val="auto"/>
                <w:sz w:val="24"/>
                <w:szCs w:val="24"/>
                <w:highlight w:val="none"/>
                <w:lang w:val="en-US" w:eastAsia="zh-CN"/>
              </w:rPr>
              <w:t>，符合吸附工程设计要求吸附剂与气体接触时间大于</w:t>
            </w:r>
            <w:r>
              <w:rPr>
                <w:rFonts w:hint="default" w:ascii="Times New Roman" w:hAnsi="Times New Roman" w:eastAsia="宋体" w:cs="Times New Roman"/>
                <w:color w:val="auto"/>
                <w:sz w:val="24"/>
                <w:szCs w:val="24"/>
                <w:highlight w:val="none"/>
                <w:lang w:val="en-US" w:eastAsia="zh-CN"/>
              </w:rPr>
              <w:t>0.5s</w:t>
            </w:r>
            <w:r>
              <w:rPr>
                <w:rFonts w:hint="eastAsia" w:ascii="Times New Roman" w:hAnsi="Times New Roman" w:eastAsia="宋体" w:cs="Times New Roman"/>
                <w:color w:val="auto"/>
                <w:sz w:val="24"/>
                <w:szCs w:val="24"/>
                <w:highlight w:val="none"/>
                <w:lang w:val="en-US" w:eastAsia="zh-CN"/>
              </w:rPr>
              <w:t>的要求。</w:t>
            </w:r>
          </w:p>
          <w:p w14:paraId="1273C75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B.</w:t>
            </w:r>
            <w:r>
              <w:rPr>
                <w:rFonts w:hint="eastAsia" w:ascii="Times New Roman" w:hAnsi="Times New Roman" w:eastAsia="宋体" w:cs="Times New Roman"/>
                <w:color w:val="auto"/>
                <w:sz w:val="24"/>
                <w:szCs w:val="24"/>
                <w:lang w:val="en-US" w:eastAsia="zh-CN"/>
              </w:rPr>
              <w:t>更换周期计算</w:t>
            </w:r>
          </w:p>
          <w:p w14:paraId="4D68A4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经对照《深圳市工业有机废气治理用活性炭更换技术指引（试行）》（深环办〔2023〕66号）中一次活性炭吸附工艺的更换周期计算公式，由表</w:t>
            </w: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1-4</w:t>
            </w:r>
            <w:r>
              <w:rPr>
                <w:rFonts w:hint="eastAsia" w:ascii="Times New Roman" w:hAnsi="Times New Roman" w:eastAsia="宋体" w:cs="Times New Roman"/>
                <w:color w:val="auto"/>
                <w:sz w:val="24"/>
                <w:szCs w:val="24"/>
                <w:highlight w:val="none"/>
                <w:lang w:val="en-US" w:eastAsia="zh-CN"/>
              </w:rPr>
              <w:t>分析可知，本项目理论更换周期</w:t>
            </w:r>
            <w:r>
              <w:rPr>
                <w:rFonts w:hint="eastAsia" w:cs="Times New Roman"/>
                <w:color w:val="auto"/>
                <w:sz w:val="24"/>
                <w:szCs w:val="24"/>
                <w:highlight w:val="none"/>
                <w:lang w:val="en-US" w:eastAsia="zh-CN"/>
              </w:rPr>
              <w:t>98</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，设计</w:t>
            </w:r>
            <w:r>
              <w:rPr>
                <w:rFonts w:hint="eastAsia"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，满足该规范要求。</w:t>
            </w:r>
          </w:p>
          <w:p w14:paraId="559F84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更换周期计算公式：T=（M×S</w:t>
            </w:r>
            <w:r>
              <w:rPr>
                <w:rFonts w:hint="default" w:ascii="Times New Roman" w:hAnsi="Times New Roman" w:eastAsia="宋体" w:cs="Times New Roman"/>
                <w:color w:val="auto"/>
                <w:sz w:val="24"/>
                <w:szCs w:val="24"/>
                <w:highlight w:val="none"/>
                <w:lang w:val="en-US" w:eastAsia="zh-CN"/>
              </w:rPr>
              <w:t>×10 6</w:t>
            </w:r>
            <w:r>
              <w:rPr>
                <w:rFonts w:hint="eastAsia" w:ascii="Times New Roman" w:hAnsi="Times New Roman" w:eastAsia="宋体" w:cs="Times New Roman"/>
                <w:color w:val="auto"/>
                <w:sz w:val="24"/>
                <w:szCs w:val="24"/>
                <w:highlight w:val="none"/>
                <w:lang w:val="en-US" w:eastAsia="zh-CN"/>
              </w:rPr>
              <w:t>）/(c</w:t>
            </w:r>
            <w:r>
              <w:rPr>
                <w:rFonts w:hint="default" w:ascii="Times New Roman" w:hAnsi="Times New Roman" w:eastAsia="宋体" w:cs="Times New Roman"/>
                <w:color w:val="auto"/>
                <w:sz w:val="24"/>
                <w:szCs w:val="24"/>
                <w:highlight w:val="none"/>
                <w:lang w:val="en-US" w:eastAsia="zh-CN"/>
              </w:rPr>
              <w:t>×Q×t</w:t>
            </w:r>
            <w:r>
              <w:rPr>
                <w:rFonts w:hint="eastAsia" w:ascii="Times New Roman" w:hAnsi="Times New Roman" w:eastAsia="宋体" w:cs="Times New Roman"/>
                <w:color w:val="auto"/>
                <w:sz w:val="24"/>
                <w:szCs w:val="24"/>
                <w:highlight w:val="none"/>
                <w:lang w:val="en-US" w:eastAsia="zh-CN"/>
              </w:rPr>
              <w:t>)</w:t>
            </w:r>
          </w:p>
          <w:p w14:paraId="5C0A070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lang w:val="en-US" w:eastAsia="zh-CN"/>
              </w:rPr>
            </w:pPr>
            <w:r>
              <w:drawing>
                <wp:inline distT="0" distB="0" distL="114300" distR="114300">
                  <wp:extent cx="5337175" cy="2501265"/>
                  <wp:effectExtent l="0" t="0" r="12065" b="133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2"/>
                          <a:stretch>
                            <a:fillRect/>
                          </a:stretch>
                        </pic:blipFill>
                        <pic:spPr>
                          <a:xfrm>
                            <a:off x="0" y="0"/>
                            <a:ext cx="5337175" cy="2501265"/>
                          </a:xfrm>
                          <a:prstGeom prst="rect">
                            <a:avLst/>
                          </a:prstGeom>
                          <a:noFill/>
                          <a:ln>
                            <a:noFill/>
                          </a:ln>
                        </pic:spPr>
                      </pic:pic>
                    </a:graphicData>
                  </a:graphic>
                </wp:inline>
              </w:drawing>
            </w:r>
          </w:p>
          <w:p w14:paraId="54120C41">
            <w:pPr>
              <w:pStyle w:val="53"/>
              <w:keepNext w:val="0"/>
              <w:keepLines w:val="0"/>
              <w:pageBreakBefore w:val="0"/>
              <w:widowControl w:val="0"/>
              <w:kinsoku/>
              <w:wordWrap/>
              <w:overflowPunct/>
              <w:topLinePunct w:val="0"/>
              <w:autoSpaceDE/>
              <w:autoSpaceDN/>
              <w:bidi w:val="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表4.</w:t>
            </w:r>
            <w:r>
              <w:rPr>
                <w:rFonts w:hint="eastAsia" w:cs="Times New Roman"/>
                <w:color w:val="auto"/>
                <w:lang w:val="en-US" w:eastAsia="zh-CN"/>
              </w:rPr>
              <w:t>1-4</w:t>
            </w:r>
            <w:r>
              <w:rPr>
                <w:rFonts w:hint="eastAsia" w:ascii="Times New Roman" w:hAnsi="Times New Roman" w:eastAsia="宋体" w:cs="Times New Roman"/>
                <w:color w:val="auto"/>
                <w:lang w:val="en-US" w:eastAsia="zh-CN"/>
              </w:rPr>
              <w:t xml:space="preserve"> 更换周期参数表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202"/>
              <w:gridCol w:w="1202"/>
              <w:gridCol w:w="1202"/>
              <w:gridCol w:w="1202"/>
              <w:gridCol w:w="1202"/>
              <w:gridCol w:w="1202"/>
            </w:tblGrid>
            <w:tr w14:paraId="0A95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201" w:type="dxa"/>
                  <w:noWrap w:val="0"/>
                  <w:vAlign w:val="center"/>
                </w:tcPr>
                <w:p w14:paraId="2988EF59">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参数</w:t>
                  </w:r>
                </w:p>
              </w:tc>
              <w:tc>
                <w:tcPr>
                  <w:tcW w:w="1202" w:type="dxa"/>
                  <w:noWrap w:val="0"/>
                  <w:vAlign w:val="center"/>
                </w:tcPr>
                <w:p w14:paraId="49D46746">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M</w:t>
                  </w:r>
                </w:p>
              </w:tc>
              <w:tc>
                <w:tcPr>
                  <w:tcW w:w="1202" w:type="dxa"/>
                  <w:noWrap w:val="0"/>
                  <w:vAlign w:val="center"/>
                </w:tcPr>
                <w:p w14:paraId="702D3A95">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S</w:t>
                  </w:r>
                </w:p>
              </w:tc>
              <w:tc>
                <w:tcPr>
                  <w:tcW w:w="1202" w:type="dxa"/>
                  <w:noWrap w:val="0"/>
                  <w:vAlign w:val="center"/>
                </w:tcPr>
                <w:p w14:paraId="5CCC3D23">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c</w:t>
                  </w:r>
                </w:p>
              </w:tc>
              <w:tc>
                <w:tcPr>
                  <w:tcW w:w="1202" w:type="dxa"/>
                  <w:noWrap w:val="0"/>
                  <w:vAlign w:val="center"/>
                </w:tcPr>
                <w:p w14:paraId="50FEC772">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Q</w:t>
                  </w:r>
                </w:p>
              </w:tc>
              <w:tc>
                <w:tcPr>
                  <w:tcW w:w="1202" w:type="dxa"/>
                  <w:noWrap w:val="0"/>
                  <w:vAlign w:val="center"/>
                </w:tcPr>
                <w:p w14:paraId="78C95752">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t</w:t>
                  </w:r>
                </w:p>
              </w:tc>
              <w:tc>
                <w:tcPr>
                  <w:tcW w:w="1202" w:type="dxa"/>
                  <w:noWrap w:val="0"/>
                  <w:vAlign w:val="center"/>
                </w:tcPr>
                <w:p w14:paraId="7F8E2BD0">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T</w:t>
                  </w:r>
                </w:p>
              </w:tc>
            </w:tr>
            <w:tr w14:paraId="31010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201" w:type="dxa"/>
                  <w:noWrap w:val="0"/>
                  <w:vAlign w:val="center"/>
                </w:tcPr>
                <w:p w14:paraId="2BE8C74A">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单位</w:t>
                  </w:r>
                </w:p>
              </w:tc>
              <w:tc>
                <w:tcPr>
                  <w:tcW w:w="1202" w:type="dxa"/>
                  <w:noWrap w:val="0"/>
                  <w:vAlign w:val="center"/>
                </w:tcPr>
                <w:p w14:paraId="7CEC4BDB">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kg</w:t>
                  </w:r>
                </w:p>
              </w:tc>
              <w:tc>
                <w:tcPr>
                  <w:tcW w:w="1202" w:type="dxa"/>
                  <w:noWrap w:val="0"/>
                  <w:vAlign w:val="center"/>
                </w:tcPr>
                <w:p w14:paraId="7B132A5A">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w:t>
                  </w:r>
                </w:p>
              </w:tc>
              <w:tc>
                <w:tcPr>
                  <w:tcW w:w="1202" w:type="dxa"/>
                  <w:noWrap w:val="0"/>
                  <w:vAlign w:val="center"/>
                </w:tcPr>
                <w:p w14:paraId="07C29C9B">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mg/m</w:t>
                  </w:r>
                  <w:r>
                    <w:rPr>
                      <w:rFonts w:hint="eastAsia" w:ascii="Times New Roman" w:hAnsi="Times New Roman" w:eastAsia="宋体" w:cs="Times New Roman"/>
                      <w:color w:val="auto"/>
                      <w:vertAlign w:val="superscript"/>
                      <w:lang w:val="en-US" w:eastAsia="zh-CN"/>
                    </w:rPr>
                    <w:t>3</w:t>
                  </w:r>
                </w:p>
              </w:tc>
              <w:tc>
                <w:tcPr>
                  <w:tcW w:w="1202" w:type="dxa"/>
                  <w:noWrap w:val="0"/>
                  <w:vAlign w:val="center"/>
                </w:tcPr>
                <w:p w14:paraId="3BF0ECCE">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vertAlign w:val="baseline"/>
                      <w:lang w:val="en-US" w:eastAsia="zh-CN"/>
                    </w:rPr>
                    <w:t>/h</w:t>
                  </w:r>
                </w:p>
              </w:tc>
              <w:tc>
                <w:tcPr>
                  <w:tcW w:w="1202" w:type="dxa"/>
                  <w:noWrap w:val="0"/>
                  <w:vAlign w:val="center"/>
                </w:tcPr>
                <w:p w14:paraId="04928043">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h/d</w:t>
                  </w:r>
                </w:p>
              </w:tc>
              <w:tc>
                <w:tcPr>
                  <w:tcW w:w="1202" w:type="dxa"/>
                  <w:noWrap w:val="0"/>
                  <w:vAlign w:val="center"/>
                </w:tcPr>
                <w:p w14:paraId="6FA1AC5F">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d</w:t>
                  </w:r>
                </w:p>
              </w:tc>
            </w:tr>
            <w:tr w14:paraId="5F875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201" w:type="dxa"/>
                  <w:noWrap w:val="0"/>
                  <w:vAlign w:val="center"/>
                </w:tcPr>
                <w:p w14:paraId="313C3465">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选取值</w:t>
                  </w:r>
                </w:p>
              </w:tc>
              <w:tc>
                <w:tcPr>
                  <w:tcW w:w="1202" w:type="dxa"/>
                  <w:noWrap w:val="0"/>
                  <w:vAlign w:val="center"/>
                </w:tcPr>
                <w:p w14:paraId="2FBA7B62">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699.1</w:t>
                  </w:r>
                </w:p>
              </w:tc>
              <w:tc>
                <w:tcPr>
                  <w:tcW w:w="1202" w:type="dxa"/>
                  <w:noWrap w:val="0"/>
                  <w:vAlign w:val="center"/>
                </w:tcPr>
                <w:p w14:paraId="4EBF78FD">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10</w:t>
                  </w:r>
                </w:p>
              </w:tc>
              <w:tc>
                <w:tcPr>
                  <w:tcW w:w="1202" w:type="dxa"/>
                  <w:noWrap w:val="0"/>
                  <w:vAlign w:val="center"/>
                </w:tcPr>
                <w:p w14:paraId="275B72BC">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11.2</w:t>
                  </w:r>
                </w:p>
              </w:tc>
              <w:tc>
                <w:tcPr>
                  <w:tcW w:w="1202" w:type="dxa"/>
                  <w:noWrap w:val="0"/>
                  <w:vAlign w:val="center"/>
                </w:tcPr>
                <w:p w14:paraId="46E3AAF3">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8000</w:t>
                  </w:r>
                </w:p>
              </w:tc>
              <w:tc>
                <w:tcPr>
                  <w:tcW w:w="1202" w:type="dxa"/>
                  <w:noWrap w:val="0"/>
                  <w:vAlign w:val="center"/>
                </w:tcPr>
                <w:p w14:paraId="50E7E3EE">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8</w:t>
                  </w:r>
                </w:p>
              </w:tc>
              <w:tc>
                <w:tcPr>
                  <w:tcW w:w="1202" w:type="dxa"/>
                  <w:noWrap w:val="0"/>
                  <w:vAlign w:val="center"/>
                </w:tcPr>
                <w:p w14:paraId="6CC18C69">
                  <w:pPr>
                    <w:pStyle w:val="53"/>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98</w:t>
                  </w:r>
                </w:p>
              </w:tc>
            </w:tr>
          </w:tbl>
          <w:p w14:paraId="1E8236ED">
            <w:pPr>
              <w:pStyle w:val="53"/>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lang w:val="en-US" w:eastAsia="zh-CN"/>
              </w:rPr>
            </w:pPr>
          </w:p>
          <w:p w14:paraId="406E45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C.</w:t>
            </w:r>
            <w:r>
              <w:rPr>
                <w:rFonts w:hint="eastAsia" w:ascii="Times New Roman" w:hAnsi="Times New Roman" w:eastAsia="宋体" w:cs="Times New Roman"/>
                <w:b w:val="0"/>
                <w:bCs w:val="0"/>
                <w:color w:val="auto"/>
                <w:sz w:val="24"/>
                <w:szCs w:val="24"/>
                <w:lang w:val="en-US" w:eastAsia="zh-CN"/>
              </w:rPr>
              <w:t>治理效率要求及可靠性分析</w:t>
            </w:r>
          </w:p>
          <w:p w14:paraId="45BC06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lang w:val="en-US" w:eastAsia="zh-CN"/>
              </w:rPr>
              <w:t>生态环境部发布</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关于印发〈主要污染物总量减排核算技术指南（2022年修订）〉的通知》〔2022〕350号中规定</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一次性活性炭的吸附效率50%。采用二级活性炭吸附效率为1-（1%～50%）</w:t>
            </w:r>
            <w:r>
              <w:rPr>
                <w:rFonts w:hint="default" w:ascii="Arial" w:hAnsi="Arial" w:eastAsia="宋体" w:cs="Arial"/>
                <w:color w:val="auto"/>
                <w:sz w:val="24"/>
                <w:szCs w:val="24"/>
                <w:lang w:val="en-US" w:eastAsia="zh-CN"/>
              </w:rPr>
              <w:t>×</w:t>
            </w:r>
            <w:r>
              <w:rPr>
                <w:rFonts w:hint="eastAsia" w:ascii="Times New Roman" w:hAnsi="Times New Roman" w:eastAsia="宋体" w:cs="Times New Roman"/>
                <w:color w:val="auto"/>
                <w:sz w:val="24"/>
                <w:szCs w:val="24"/>
                <w:lang w:val="en-US" w:eastAsia="zh-CN"/>
              </w:rPr>
              <w:t>（1%～50%）=75%。</w:t>
            </w:r>
            <w:r>
              <w:rPr>
                <w:rFonts w:hint="default" w:ascii="Times New Roman" w:hAnsi="Times New Roman" w:eastAsia="宋体" w:cs="Times New Roman"/>
                <w:color w:val="auto"/>
                <w:sz w:val="24"/>
                <w:szCs w:val="24"/>
                <w:lang w:val="en-US" w:eastAsia="zh-CN"/>
              </w:rPr>
              <w:t>为保证废气与活性炭的接触时间和吸附效果，要求控制吸附</w:t>
            </w:r>
            <w:r>
              <w:rPr>
                <w:rFonts w:hint="eastAsia" w:ascii="Times New Roman" w:hAnsi="Times New Roman" w:eastAsia="宋体" w:cs="Times New Roman"/>
                <w:color w:val="auto"/>
                <w:sz w:val="24"/>
                <w:szCs w:val="24"/>
                <w:lang w:val="en-US" w:eastAsia="zh-CN"/>
              </w:rPr>
              <w:t>装</w:t>
            </w:r>
            <w:r>
              <w:rPr>
                <w:rFonts w:hint="default" w:ascii="Times New Roman" w:hAnsi="Times New Roman" w:eastAsia="宋体" w:cs="Times New Roman"/>
                <w:color w:val="auto"/>
                <w:sz w:val="24"/>
                <w:szCs w:val="24"/>
                <w:lang w:val="en-US" w:eastAsia="zh-CN"/>
              </w:rPr>
              <w:t>置吸附层的风速，一般取0.10m/s～0.15m/s之间；吸附剂和气体的接触时间宜按不低于3s计；同时确保项目活性炭吸附装置一次性装置量，定期更换活性纤维，采取以上治理措</w:t>
            </w:r>
            <w:r>
              <w:rPr>
                <w:rFonts w:hint="eastAsia" w:cs="Times New Roman"/>
                <w:color w:val="auto"/>
                <w:sz w:val="24"/>
                <w:szCs w:val="24"/>
                <w:lang w:val="en-US" w:eastAsia="zh-CN"/>
              </w:rPr>
              <w:t>施和</w:t>
            </w:r>
            <w:r>
              <w:rPr>
                <w:rFonts w:hint="default" w:ascii="Times New Roman" w:hAnsi="Times New Roman" w:eastAsia="宋体" w:cs="Times New Roman"/>
                <w:color w:val="auto"/>
                <w:sz w:val="24"/>
                <w:szCs w:val="24"/>
                <w:lang w:val="en-US" w:eastAsia="zh-CN"/>
              </w:rPr>
              <w:t>综合治理措施后，本评价废气设施去除效率按</w:t>
            </w:r>
            <w:r>
              <w:rPr>
                <w:rFonts w:hint="eastAsia" w:ascii="Times New Roman" w:hAnsi="Times New Roman" w:eastAsia="宋体" w:cs="Times New Roman"/>
                <w:color w:val="auto"/>
                <w:sz w:val="24"/>
                <w:szCs w:val="24"/>
                <w:lang w:val="en-US" w:eastAsia="zh-CN"/>
              </w:rPr>
              <w:t>75</w:t>
            </w:r>
            <w:r>
              <w:rPr>
                <w:rFonts w:hint="default" w:ascii="Times New Roman" w:hAnsi="Times New Roman" w:eastAsia="宋体" w:cs="Times New Roman"/>
                <w:color w:val="auto"/>
                <w:sz w:val="24"/>
                <w:szCs w:val="24"/>
                <w:lang w:val="en-US" w:eastAsia="zh-CN"/>
              </w:rPr>
              <w:t>%计，根据预测，有机废气污染物非甲烷总烃可以达标排放，因此，项目有机废气经处理后对环境影响较小，采取的措施可行。</w:t>
            </w:r>
          </w:p>
          <w:p w14:paraId="74579413">
            <w:pPr>
              <w:pStyle w:val="51"/>
              <w:ind w:firstLine="480"/>
              <w:jc w:val="both"/>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（3）集气罩收集效率可行性分析</w:t>
            </w:r>
          </w:p>
          <w:p w14:paraId="0A7E8F77">
            <w:pPr>
              <w:pStyle w:val="51"/>
              <w:ind w:firstLine="48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根据《废气处理工程设计手册》（王纯、张殷印主编）中的经验公式：</w:t>
            </w:r>
          </w:p>
          <w:p w14:paraId="08BBCFBA">
            <w:pPr>
              <w:pStyle w:val="51"/>
              <w:ind w:firstLine="48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Q=3600Fvβ</w:t>
            </w:r>
          </w:p>
          <w:p w14:paraId="3F3EFB98">
            <w:pPr>
              <w:pStyle w:val="51"/>
              <w:ind w:firstLine="48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其中：Q为集气罩的计算风量m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p>
          <w:p w14:paraId="6C081D77">
            <w:pPr>
              <w:pStyle w:val="51"/>
              <w:ind w:firstLine="48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V罩口平均速度，m/s。可取0.5~1.5。本项目取0.5。</w:t>
            </w:r>
          </w:p>
          <w:p w14:paraId="106CA68C">
            <w:pPr>
              <w:pStyle w:val="51"/>
              <w:ind w:firstLine="48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F罩口面积m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，注塑机上方集气罩尺寸为0.5m、0.</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m，共计设置</w:t>
            </w:r>
            <w:r>
              <w:rPr>
                <w:rFonts w:hint="eastAsia"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个，则集气罩共计面积为</w:t>
            </w:r>
            <w:r>
              <w:rPr>
                <w:rFonts w:hint="eastAsia" w:cs="Times New Roman"/>
                <w:color w:val="auto"/>
                <w:sz w:val="24"/>
                <w:szCs w:val="24"/>
                <w:lang w:val="en-US" w:eastAsia="zh-CN"/>
              </w:rPr>
              <w:t>3.5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w:t>
            </w:r>
          </w:p>
          <w:p w14:paraId="474CB2CA">
            <w:pPr>
              <w:pStyle w:val="51"/>
              <w:ind w:firstLine="48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β—安全系数，一般取1.05~1.1，本环评取1.1：</w:t>
            </w:r>
          </w:p>
          <w:p w14:paraId="702AD163">
            <w:pPr>
              <w:pStyle w:val="51"/>
              <w:ind w:firstLine="480"/>
              <w:jc w:val="both"/>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计算可得，风机总风量为</w:t>
            </w:r>
            <w:r>
              <w:rPr>
                <w:rFonts w:hint="eastAsia" w:cs="Times New Roman"/>
                <w:color w:val="auto"/>
                <w:sz w:val="24"/>
                <w:szCs w:val="24"/>
                <w:lang w:val="en-US" w:eastAsia="zh-CN"/>
              </w:rPr>
              <w:t>6930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/h，考虑管阻等因素，引风机风量按不低于120%的集气罩风量进行设计，项目引风机风量按</w:t>
            </w:r>
            <w:r>
              <w:rPr>
                <w:rFonts w:hint="eastAsia" w:cs="Times New Roman"/>
                <w:color w:val="auto"/>
                <w:sz w:val="24"/>
                <w:szCs w:val="24"/>
                <w:lang w:val="en-US" w:eastAsia="zh-CN"/>
              </w:rPr>
              <w:t>8000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/h进行设计。</w:t>
            </w:r>
          </w:p>
          <w:p w14:paraId="780F86B9">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highlight w:val="none"/>
                <w:lang w:val="en-US" w:eastAsia="zh-CN"/>
              </w:rPr>
              <w:t>（3）污染物达标分析</w:t>
            </w:r>
          </w:p>
          <w:p w14:paraId="7F8C4858">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highlight w:val="none"/>
                <w:lang w:val="en-US" w:eastAsia="zh-CN"/>
              </w:rPr>
              <w:t>本项目运营期产生的废气主要包括非甲烷总烃和颗粒物。经核算，非甲烷总烃有组织排放浓度为0.42mg/m³，排放速率为0.0034kg/h；颗粒物有组织排放浓度为0.0105 mg/m³，排放速率为4g/h（即0.004kg/h）。根据《合成树脂工业污染物排放标准》（GB31572-2015含2024年修改单）中表4的标准限值要求，颗粒物有组织排放限值为≤30 mg/m³，非甲烷总烃有组织排放限值为≤100 mg/m³。本项目废气排放浓度及速率均满足上述标准要求。</w:t>
            </w:r>
          </w:p>
          <w:p w14:paraId="4EA2C2C6">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highlight w:val="none"/>
                <w:lang w:val="en-US" w:eastAsia="zh-CN"/>
              </w:rPr>
              <w:t>因此，项目废气经处理后对环境影响较小，采取的废气治理措施可行，能够确保废气达标排放。</w:t>
            </w:r>
          </w:p>
          <w:p w14:paraId="7099B984">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en-US" w:eastAsia="zh-CN"/>
              </w:rPr>
            </w:pPr>
            <w:bookmarkStart w:id="86" w:name="_Toc8398"/>
            <w:r>
              <w:rPr>
                <w:rFonts w:hint="eastAsia"/>
                <w:b/>
                <w:color w:val="262626"/>
                <w:kern w:val="0"/>
                <w:sz w:val="24"/>
                <w:lang w:val="en-US" w:eastAsia="zh-CN"/>
              </w:rPr>
              <w:t>4.1.4非正常工况排放量核算</w:t>
            </w:r>
            <w:bookmarkEnd w:id="86"/>
          </w:p>
          <w:p w14:paraId="3EA89623">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（1）非正常排放情形及排放源强</w:t>
            </w:r>
          </w:p>
          <w:p w14:paraId="09592A6B">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非正常排放情况指设备检修、污染物排放控制措施达不到应有效率、工艺设备运转异常等情况下的排污。根据本项目的情况，结合同类企业运营情况，确定项目非正常排放情况为污染治理设施发生故障、运转异常（如风机故障、集气管道破裂等），或维护不到位导致废气处理设施效率降低等非正常工况，情形如下：</w:t>
            </w:r>
          </w:p>
          <w:p w14:paraId="55E61841">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lang w:val="en-US" w:eastAsia="zh-CN"/>
              </w:rPr>
              <w:t>废气处理设施故障，导致废气非正常排放。</w:t>
            </w:r>
            <w:r>
              <w:rPr>
                <w:rFonts w:hint="default" w:ascii="Times New Roman" w:hAnsi="Times New Roman" w:eastAsia="宋体" w:cs="Times New Roman"/>
                <w:color w:val="000000"/>
                <w:kern w:val="2"/>
                <w:sz w:val="24"/>
                <w:szCs w:val="24"/>
                <w:lang w:val="en-US" w:eastAsia="zh-CN" w:bidi="ar-SA"/>
              </w:rPr>
              <w:t>本评价按最不利情况考虑，即废气处理效率降低为0%的情况下污染物排放对周边环境的影响。非正常工况下废气排放源强核算结果见下表4.</w:t>
            </w:r>
            <w:r>
              <w:rPr>
                <w:rFonts w:hint="eastAsia" w:ascii="Times New Roman" w:hAnsi="Times New Roman" w:eastAsia="宋体" w:cs="Times New Roman"/>
                <w:color w:val="000000"/>
                <w:kern w:val="2"/>
                <w:sz w:val="24"/>
                <w:szCs w:val="24"/>
                <w:lang w:val="en-US" w:eastAsia="zh-CN" w:bidi="ar-SA"/>
              </w:rPr>
              <w:t>1</w:t>
            </w:r>
            <w:r>
              <w:rPr>
                <w:rFonts w:hint="default" w:ascii="Times New Roman" w:hAnsi="Times New Roman" w:eastAsia="宋体" w:cs="Times New Roman"/>
                <w:color w:val="000000"/>
                <w:kern w:val="2"/>
                <w:sz w:val="24"/>
                <w:szCs w:val="24"/>
                <w:lang w:val="en-US" w:eastAsia="zh-CN" w:bidi="ar-SA"/>
              </w:rPr>
              <w:t>-</w:t>
            </w:r>
            <w:r>
              <w:rPr>
                <w:rFonts w:hint="eastAsia" w:ascii="Times New Roman" w:hAnsi="Times New Roman" w:eastAsia="宋体" w:cs="Times New Roman"/>
                <w:color w:val="000000"/>
                <w:kern w:val="2"/>
                <w:sz w:val="24"/>
                <w:szCs w:val="24"/>
                <w:lang w:val="en-US" w:eastAsia="zh-CN" w:bidi="ar-SA"/>
              </w:rPr>
              <w:t>5</w:t>
            </w:r>
            <w:r>
              <w:rPr>
                <w:rFonts w:hint="eastAsia" w:ascii="Times New Roman" w:hAnsi="Times New Roman" w:cs="Times New Roman"/>
                <w:color w:val="000000"/>
                <w:kern w:val="2"/>
                <w:sz w:val="24"/>
                <w:szCs w:val="24"/>
                <w:lang w:val="en-US" w:eastAsia="zh-CN" w:bidi="ar-SA"/>
              </w:rPr>
              <w:t>。</w:t>
            </w:r>
          </w:p>
          <w:p w14:paraId="46C98F93">
            <w:pPr>
              <w:pStyle w:val="53"/>
              <w:bidi w:val="0"/>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auto"/>
                <w:sz w:val="24"/>
                <w:szCs w:val="24"/>
                <w:highlight w:val="none"/>
                <w:lang w:val="en-US" w:eastAsia="zh-CN"/>
              </w:rPr>
              <w:t>表4.</w:t>
            </w:r>
            <w:r>
              <w:rPr>
                <w:rFonts w:hint="eastAsia"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 xml:space="preserve"> 污染源非正常排放量核算</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29"/>
              <w:gridCol w:w="1119"/>
              <w:gridCol w:w="1347"/>
              <w:gridCol w:w="1473"/>
              <w:gridCol w:w="1370"/>
              <w:gridCol w:w="1138"/>
              <w:gridCol w:w="1170"/>
            </w:tblGrid>
            <w:tr w14:paraId="66475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95" w:type="pct"/>
                  <w:vMerge w:val="restart"/>
                  <w:tcBorders>
                    <w:tl2br w:val="nil"/>
                    <w:tr2bl w:val="nil"/>
                  </w:tcBorders>
                  <w:vAlign w:val="center"/>
                </w:tcPr>
                <w:p w14:paraId="7EE9821A">
                  <w:pPr>
                    <w:pStyle w:val="83"/>
                    <w:spacing w:line="240" w:lineRule="auto"/>
                    <w:jc w:val="center"/>
                    <w:rPr>
                      <w:rFonts w:hint="eastAsia"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名称</w:t>
                  </w:r>
                </w:p>
              </w:tc>
              <w:tc>
                <w:tcPr>
                  <w:tcW w:w="632" w:type="pct"/>
                  <w:vMerge w:val="restart"/>
                  <w:tcBorders>
                    <w:tl2br w:val="nil"/>
                    <w:tr2bl w:val="nil"/>
                  </w:tcBorders>
                  <w:vAlign w:val="center"/>
                </w:tcPr>
                <w:p w14:paraId="36277066">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排放形式</w:t>
                  </w:r>
                </w:p>
              </w:tc>
              <w:tc>
                <w:tcPr>
                  <w:tcW w:w="761" w:type="pct"/>
                  <w:vMerge w:val="restart"/>
                  <w:tcBorders>
                    <w:tl2br w:val="nil"/>
                    <w:tr2bl w:val="nil"/>
                  </w:tcBorders>
                  <w:vAlign w:val="center"/>
                </w:tcPr>
                <w:p w14:paraId="1EA97750">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污染物种类</w:t>
                  </w:r>
                </w:p>
              </w:tc>
              <w:tc>
                <w:tcPr>
                  <w:tcW w:w="2249" w:type="pct"/>
                  <w:gridSpan w:val="3"/>
                  <w:tcBorders>
                    <w:tl2br w:val="nil"/>
                    <w:tr2bl w:val="nil"/>
                  </w:tcBorders>
                  <w:vAlign w:val="center"/>
                </w:tcPr>
                <w:p w14:paraId="037F2578">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污染物排放情况</w:t>
                  </w:r>
                </w:p>
              </w:tc>
              <w:tc>
                <w:tcPr>
                  <w:tcW w:w="661" w:type="pct"/>
                  <w:vMerge w:val="restart"/>
                  <w:tcBorders>
                    <w:tl2br w:val="nil"/>
                    <w:tr2bl w:val="nil"/>
                  </w:tcBorders>
                  <w:vAlign w:val="center"/>
                </w:tcPr>
                <w:p w14:paraId="35F10587">
                  <w:pPr>
                    <w:pStyle w:val="83"/>
                    <w:spacing w:line="240" w:lineRule="auto"/>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排放去向</w:t>
                  </w:r>
                </w:p>
              </w:tc>
            </w:tr>
            <w:tr w14:paraId="71963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95" w:type="pct"/>
                  <w:vMerge w:val="continue"/>
                  <w:tcBorders>
                    <w:tl2br w:val="nil"/>
                    <w:tr2bl w:val="nil"/>
                  </w:tcBorders>
                  <w:vAlign w:val="center"/>
                </w:tcPr>
                <w:p w14:paraId="533EC217">
                  <w:pPr>
                    <w:pStyle w:val="83"/>
                    <w:spacing w:line="240" w:lineRule="auto"/>
                    <w:jc w:val="center"/>
                    <w:rPr>
                      <w:rFonts w:ascii="Times New Roman" w:hAnsi="Times New Roman" w:cs="Times New Roman"/>
                      <w:color w:val="000000" w:themeColor="text1"/>
                      <w:sz w:val="21"/>
                      <w14:textFill>
                        <w14:solidFill>
                          <w14:schemeClr w14:val="tx1"/>
                        </w14:solidFill>
                      </w14:textFill>
                    </w:rPr>
                  </w:pPr>
                </w:p>
              </w:tc>
              <w:tc>
                <w:tcPr>
                  <w:tcW w:w="632" w:type="pct"/>
                  <w:vMerge w:val="continue"/>
                  <w:tcBorders>
                    <w:tl2br w:val="nil"/>
                    <w:tr2bl w:val="nil"/>
                  </w:tcBorders>
                  <w:vAlign w:val="center"/>
                </w:tcPr>
                <w:p w14:paraId="79ABEA8E">
                  <w:pPr>
                    <w:pStyle w:val="83"/>
                    <w:spacing w:line="240" w:lineRule="auto"/>
                    <w:jc w:val="center"/>
                    <w:rPr>
                      <w:rFonts w:ascii="Times New Roman" w:hAnsi="Times New Roman" w:cs="Times New Roman"/>
                      <w:color w:val="000000" w:themeColor="text1"/>
                      <w:sz w:val="21"/>
                      <w14:textFill>
                        <w14:solidFill>
                          <w14:schemeClr w14:val="tx1"/>
                        </w14:solidFill>
                      </w14:textFill>
                    </w:rPr>
                  </w:pPr>
                </w:p>
              </w:tc>
              <w:tc>
                <w:tcPr>
                  <w:tcW w:w="761" w:type="pct"/>
                  <w:vMerge w:val="continue"/>
                  <w:tcBorders>
                    <w:tl2br w:val="nil"/>
                    <w:tr2bl w:val="nil"/>
                  </w:tcBorders>
                  <w:vAlign w:val="center"/>
                </w:tcPr>
                <w:p w14:paraId="2FC1E076">
                  <w:pPr>
                    <w:pStyle w:val="83"/>
                    <w:spacing w:line="240" w:lineRule="auto"/>
                    <w:jc w:val="center"/>
                    <w:rPr>
                      <w:rFonts w:ascii="Times New Roman" w:hAnsi="Times New Roman" w:cs="Times New Roman"/>
                      <w:color w:val="000000" w:themeColor="text1"/>
                      <w:sz w:val="21"/>
                      <w14:textFill>
                        <w14:solidFill>
                          <w14:schemeClr w14:val="tx1"/>
                        </w14:solidFill>
                      </w14:textFill>
                    </w:rPr>
                  </w:pPr>
                </w:p>
              </w:tc>
              <w:tc>
                <w:tcPr>
                  <w:tcW w:w="832" w:type="pct"/>
                  <w:tcBorders>
                    <w:tl2br w:val="nil"/>
                    <w:tr2bl w:val="nil"/>
                  </w:tcBorders>
                  <w:vAlign w:val="center"/>
                </w:tcPr>
                <w:p w14:paraId="73E1C944">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排放浓度mg/m</w:t>
                  </w:r>
                  <w:r>
                    <w:rPr>
                      <w:rFonts w:ascii="Times New Roman" w:hAnsi="Times New Roman" w:cs="Times New Roman"/>
                      <w:color w:val="000000" w:themeColor="text1"/>
                      <w:sz w:val="21"/>
                      <w:vertAlign w:val="superscript"/>
                      <w14:textFill>
                        <w14:solidFill>
                          <w14:schemeClr w14:val="tx1"/>
                        </w14:solidFill>
                      </w14:textFill>
                    </w:rPr>
                    <w:t>3</w:t>
                  </w:r>
                </w:p>
              </w:tc>
              <w:tc>
                <w:tcPr>
                  <w:tcW w:w="774" w:type="pct"/>
                  <w:tcBorders>
                    <w:tl2br w:val="nil"/>
                    <w:tr2bl w:val="nil"/>
                  </w:tcBorders>
                  <w:vAlign w:val="center"/>
                </w:tcPr>
                <w:p w14:paraId="37655302">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排放速率kg/h</w:t>
                  </w:r>
                </w:p>
              </w:tc>
              <w:tc>
                <w:tcPr>
                  <w:tcW w:w="642" w:type="pct"/>
                  <w:tcBorders>
                    <w:tl2br w:val="nil"/>
                    <w:tr2bl w:val="nil"/>
                  </w:tcBorders>
                  <w:vAlign w:val="center"/>
                </w:tcPr>
                <w:p w14:paraId="3F5000B8">
                  <w:pPr>
                    <w:pStyle w:val="83"/>
                    <w:spacing w:line="240" w:lineRule="auto"/>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排放量t/a</w:t>
                  </w:r>
                </w:p>
              </w:tc>
              <w:tc>
                <w:tcPr>
                  <w:tcW w:w="661" w:type="pct"/>
                  <w:vMerge w:val="continue"/>
                  <w:tcBorders>
                    <w:tl2br w:val="nil"/>
                    <w:tr2bl w:val="nil"/>
                  </w:tcBorders>
                  <w:vAlign w:val="center"/>
                </w:tcPr>
                <w:p w14:paraId="06F5BB6A">
                  <w:pPr>
                    <w:pStyle w:val="83"/>
                    <w:spacing w:line="240" w:lineRule="auto"/>
                    <w:jc w:val="center"/>
                    <w:rPr>
                      <w:rFonts w:ascii="Times New Roman" w:hAnsi="Times New Roman" w:cs="Times New Roman"/>
                      <w:color w:val="000000" w:themeColor="text1"/>
                      <w:sz w:val="21"/>
                      <w14:textFill>
                        <w14:solidFill>
                          <w14:schemeClr w14:val="tx1"/>
                        </w14:solidFill>
                      </w14:textFill>
                    </w:rPr>
                  </w:pPr>
                </w:p>
              </w:tc>
            </w:tr>
            <w:tr w14:paraId="2E8E11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4" w:hRule="atLeast"/>
                <w:jc w:val="center"/>
              </w:trPr>
              <w:tc>
                <w:tcPr>
                  <w:tcW w:w="695" w:type="pct"/>
                  <w:vMerge w:val="restart"/>
                  <w:tcBorders>
                    <w:tl2br w:val="nil"/>
                    <w:tr2bl w:val="nil"/>
                  </w:tcBorders>
                  <w:vAlign w:val="center"/>
                </w:tcPr>
                <w:p w14:paraId="7E142010">
                  <w:pPr>
                    <w:pStyle w:val="83"/>
                    <w:spacing w:line="240" w:lineRule="auto"/>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DA001</w:t>
                  </w:r>
                </w:p>
              </w:tc>
              <w:tc>
                <w:tcPr>
                  <w:tcW w:w="632" w:type="pct"/>
                  <w:vMerge w:val="restart"/>
                  <w:tcBorders>
                    <w:tl2br w:val="nil"/>
                    <w:tr2bl w:val="nil"/>
                  </w:tcBorders>
                  <w:vAlign w:val="center"/>
                </w:tcPr>
                <w:p w14:paraId="19230508">
                  <w:pPr>
                    <w:pStyle w:val="83"/>
                    <w:spacing w:line="240" w:lineRule="auto"/>
                    <w:jc w:val="center"/>
                    <w:rPr>
                      <w:rFonts w:hint="eastAsia" w:ascii="Times New Roman" w:hAnsi="Times New Roman" w:eastAsia="宋体" w:cs="Times New Roman"/>
                      <w:snapToGrid w:val="0"/>
                      <w:color w:val="000000" w:themeColor="text1"/>
                      <w:spacing w:val="4"/>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lang w:val="en-US" w:eastAsia="zh-CN"/>
                      <w14:textFill>
                        <w14:solidFill>
                          <w14:schemeClr w14:val="tx1"/>
                        </w14:solidFill>
                      </w14:textFill>
                    </w:rPr>
                    <w:t>有组织</w:t>
                  </w:r>
                </w:p>
              </w:tc>
              <w:tc>
                <w:tcPr>
                  <w:tcW w:w="761" w:type="pct"/>
                  <w:tcBorders>
                    <w:tl2br w:val="nil"/>
                    <w:tr2bl w:val="nil"/>
                  </w:tcBorders>
                  <w:vAlign w:val="center"/>
                </w:tcPr>
                <w:p w14:paraId="53FE48B3">
                  <w:pPr>
                    <w:pStyle w:val="83"/>
                    <w:spacing w:line="240" w:lineRule="auto"/>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sz w:val="21"/>
                      <w:szCs w:val="21"/>
                      <w:lang w:val="en-US" w:eastAsia="zh-CN"/>
                    </w:rPr>
                    <w:t>VOCs（以非甲烷总烃计）</w:t>
                  </w:r>
                </w:p>
              </w:tc>
              <w:tc>
                <w:tcPr>
                  <w:tcW w:w="832" w:type="pct"/>
                  <w:tcBorders>
                    <w:tl2br w:val="nil"/>
                    <w:tr2bl w:val="nil"/>
                  </w:tcBorders>
                  <w:shd w:val="clear" w:color="auto" w:fill="auto"/>
                  <w:vAlign w:val="center"/>
                </w:tcPr>
                <w:p w14:paraId="08034652">
                  <w:pPr>
                    <w:pStyle w:val="83"/>
                    <w:spacing w:line="240" w:lineRule="auto"/>
                    <w:jc w:val="center"/>
                    <w:rPr>
                      <w:rFonts w:hint="default" w:ascii="Times New Roman" w:hAnsi="Times New Roman" w:eastAsia="宋体" w:cs="Times New Roman"/>
                      <w:snapToGrid w:val="0"/>
                      <w:color w:val="auto"/>
                      <w:spacing w:val="4"/>
                      <w:sz w:val="21"/>
                      <w:szCs w:val="21"/>
                      <w:lang w:val="en-US" w:eastAsia="zh-CN" w:bidi="ar-SA"/>
                    </w:rPr>
                  </w:pPr>
                  <w:r>
                    <w:rPr>
                      <w:rFonts w:hint="eastAsia" w:ascii="Times New Roman" w:hAnsi="Times New Roman" w:cs="Times New Roman"/>
                      <w:snapToGrid w:val="0"/>
                      <w:color w:val="auto"/>
                      <w:spacing w:val="4"/>
                      <w:sz w:val="21"/>
                      <w:szCs w:val="21"/>
                      <w:lang w:val="en-US" w:eastAsia="zh-CN" w:bidi="ar-SA"/>
                    </w:rPr>
                    <w:t>2.25</w:t>
                  </w:r>
                </w:p>
              </w:tc>
              <w:tc>
                <w:tcPr>
                  <w:tcW w:w="774" w:type="pct"/>
                  <w:tcBorders>
                    <w:tl2br w:val="nil"/>
                    <w:tr2bl w:val="nil"/>
                  </w:tcBorders>
                  <w:shd w:val="clear" w:color="auto" w:fill="auto"/>
                  <w:vAlign w:val="center"/>
                </w:tcPr>
                <w:p w14:paraId="5DD942A5">
                  <w:pPr>
                    <w:pStyle w:val="83"/>
                    <w:spacing w:line="240" w:lineRule="auto"/>
                    <w:jc w:val="center"/>
                    <w:rPr>
                      <w:rFonts w:hint="default" w:ascii="Times New Roman" w:hAnsi="Times New Roman" w:eastAsia="宋体" w:cs="Times New Roman"/>
                      <w:snapToGrid w:val="0"/>
                      <w:color w:val="000000" w:themeColor="text1"/>
                      <w:spacing w:val="4"/>
                      <w:sz w:val="21"/>
                      <w:szCs w:val="21"/>
                      <w:lang w:val="en-US" w:eastAsia="zh-CN" w:bidi="ar-SA"/>
                      <w14:textFill>
                        <w14:solidFill>
                          <w14:schemeClr w14:val="tx1"/>
                        </w14:solidFill>
                      </w14:textFill>
                    </w:rPr>
                  </w:pPr>
                  <w:r>
                    <w:rPr>
                      <w:rFonts w:hint="eastAsia" w:ascii="Times New Roman" w:hAnsi="Times New Roman" w:cs="Times New Roman"/>
                      <w:snapToGrid w:val="0"/>
                      <w:color w:val="000000" w:themeColor="text1"/>
                      <w:spacing w:val="4"/>
                      <w:sz w:val="21"/>
                      <w:szCs w:val="21"/>
                      <w:lang w:val="en-US" w:eastAsia="zh-CN" w:bidi="ar-SA"/>
                      <w14:textFill>
                        <w14:solidFill>
                          <w14:schemeClr w14:val="tx1"/>
                        </w14:solidFill>
                      </w14:textFill>
                    </w:rPr>
                    <w:t>0.018</w:t>
                  </w:r>
                </w:p>
              </w:tc>
              <w:tc>
                <w:tcPr>
                  <w:tcW w:w="1132" w:type="dxa"/>
                  <w:tcBorders>
                    <w:tl2br w:val="nil"/>
                    <w:tr2bl w:val="nil"/>
                  </w:tcBorders>
                  <w:shd w:val="clear" w:color="auto" w:fill="auto"/>
                  <w:vAlign w:val="center"/>
                </w:tcPr>
                <w:p w14:paraId="6B5B08AD">
                  <w:pPr>
                    <w:pStyle w:val="83"/>
                    <w:spacing w:line="240" w:lineRule="auto"/>
                    <w:jc w:val="center"/>
                    <w:rPr>
                      <w:rFonts w:hint="default" w:ascii="Times New Roman" w:hAnsi="Times New Roman" w:eastAsia="宋体" w:cs="Times New Roman"/>
                      <w:snapToGrid w:val="0"/>
                      <w:color w:val="000000" w:themeColor="text1"/>
                      <w:spacing w:val="4"/>
                      <w:sz w:val="21"/>
                      <w:szCs w:val="21"/>
                      <w:lang w:val="en-US" w:eastAsia="zh-CN" w:bidi="ar-SA"/>
                      <w14:textFill>
                        <w14:solidFill>
                          <w14:schemeClr w14:val="tx1"/>
                        </w14:solidFill>
                      </w14:textFill>
                    </w:rPr>
                  </w:pPr>
                  <w:r>
                    <w:rPr>
                      <w:rFonts w:hint="eastAsia" w:ascii="Times New Roman" w:hAnsi="Times New Roman" w:cs="Times New Roman"/>
                      <w:snapToGrid w:val="0"/>
                      <w:color w:val="auto"/>
                      <w:spacing w:val="4"/>
                      <w:sz w:val="21"/>
                      <w:szCs w:val="21"/>
                      <w:lang w:val="en-US" w:eastAsia="zh-CN" w:bidi="ar-SA"/>
                    </w:rPr>
                    <w:t>0.08625</w:t>
                  </w:r>
                </w:p>
              </w:tc>
              <w:tc>
                <w:tcPr>
                  <w:tcW w:w="661" w:type="pct"/>
                  <w:vMerge w:val="restart"/>
                  <w:tcBorders>
                    <w:tl2br w:val="nil"/>
                    <w:tr2bl w:val="nil"/>
                  </w:tcBorders>
                  <w:vAlign w:val="center"/>
                </w:tcPr>
                <w:p w14:paraId="0CD32264">
                  <w:pPr>
                    <w:pStyle w:val="83"/>
                    <w:spacing w:line="240" w:lineRule="auto"/>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大气环境</w:t>
                  </w:r>
                </w:p>
              </w:tc>
            </w:tr>
            <w:tr w14:paraId="46A38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4" w:hRule="atLeast"/>
                <w:jc w:val="center"/>
              </w:trPr>
              <w:tc>
                <w:tcPr>
                  <w:tcW w:w="695" w:type="pct"/>
                  <w:vMerge w:val="continue"/>
                  <w:tcBorders>
                    <w:tl2br w:val="nil"/>
                    <w:tr2bl w:val="nil"/>
                  </w:tcBorders>
                  <w:vAlign w:val="center"/>
                </w:tcPr>
                <w:p w14:paraId="1E8D508D">
                  <w:pPr>
                    <w:pStyle w:val="83"/>
                    <w:spacing w:line="240" w:lineRule="auto"/>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p>
              </w:tc>
              <w:tc>
                <w:tcPr>
                  <w:tcW w:w="632" w:type="pct"/>
                  <w:vMerge w:val="continue"/>
                  <w:tcBorders>
                    <w:tl2br w:val="nil"/>
                    <w:tr2bl w:val="nil"/>
                  </w:tcBorders>
                  <w:shd w:val="clear" w:color="auto" w:fill="auto"/>
                  <w:vAlign w:val="center"/>
                </w:tcPr>
                <w:p w14:paraId="73AB2EBB">
                  <w:pPr>
                    <w:pStyle w:val="83"/>
                    <w:spacing w:line="240" w:lineRule="auto"/>
                    <w:jc w:val="center"/>
                    <w:rPr>
                      <w:rFonts w:hint="eastAsia" w:ascii="Times New Roman" w:hAnsi="Times New Roman" w:eastAsia="宋体" w:cs="Times New Roman"/>
                      <w:snapToGrid w:val="0"/>
                      <w:color w:val="000000" w:themeColor="text1"/>
                      <w:spacing w:val="4"/>
                      <w:sz w:val="21"/>
                      <w:szCs w:val="21"/>
                      <w:lang w:val="en-US" w:eastAsia="zh-CN" w:bidi="ar-SA"/>
                      <w14:textFill>
                        <w14:solidFill>
                          <w14:schemeClr w14:val="tx1"/>
                        </w14:solidFill>
                      </w14:textFill>
                    </w:rPr>
                  </w:pPr>
                </w:p>
              </w:tc>
              <w:tc>
                <w:tcPr>
                  <w:tcW w:w="761" w:type="pct"/>
                  <w:tcBorders>
                    <w:tl2br w:val="nil"/>
                    <w:tr2bl w:val="nil"/>
                  </w:tcBorders>
                  <w:shd w:val="clear" w:color="auto" w:fill="auto"/>
                  <w:vAlign w:val="center"/>
                </w:tcPr>
                <w:p w14:paraId="4E04AD1C">
                  <w:pPr>
                    <w:pStyle w:val="83"/>
                    <w:spacing w:line="240" w:lineRule="auto"/>
                    <w:jc w:val="center"/>
                    <w:rPr>
                      <w:rFonts w:hint="eastAsia" w:ascii="Times New Roman" w:hAnsi="Times New Roman" w:eastAsia="宋体" w:cs="Times New Roman"/>
                      <w:snapToGrid w:val="0"/>
                      <w:color w:val="000000" w:themeColor="text1"/>
                      <w:spacing w:val="4"/>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颗粒物</w:t>
                  </w:r>
                </w:p>
              </w:tc>
              <w:tc>
                <w:tcPr>
                  <w:tcW w:w="832" w:type="pct"/>
                  <w:tcBorders>
                    <w:tl2br w:val="nil"/>
                    <w:tr2bl w:val="nil"/>
                  </w:tcBorders>
                  <w:shd w:val="clear" w:color="auto" w:fill="auto"/>
                  <w:vAlign w:val="center"/>
                </w:tcPr>
                <w:p w14:paraId="68A1CFC0">
                  <w:pPr>
                    <w:pStyle w:val="83"/>
                    <w:spacing w:line="240" w:lineRule="auto"/>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cs="Times New Roman"/>
                      <w:snapToGrid w:val="0"/>
                      <w:color w:val="auto"/>
                      <w:spacing w:val="4"/>
                      <w:sz w:val="21"/>
                      <w:szCs w:val="21"/>
                      <w:highlight w:val="none"/>
                      <w:lang w:val="en-US" w:eastAsia="zh-CN" w:bidi="ar-SA"/>
                    </w:rPr>
                    <w:t>0.24</w:t>
                  </w:r>
                </w:p>
              </w:tc>
              <w:tc>
                <w:tcPr>
                  <w:tcW w:w="774" w:type="pct"/>
                  <w:tcBorders>
                    <w:tl2br w:val="nil"/>
                    <w:tr2bl w:val="nil"/>
                  </w:tcBorders>
                  <w:shd w:val="clear" w:color="auto" w:fill="auto"/>
                  <w:vAlign w:val="center"/>
                </w:tcPr>
                <w:p w14:paraId="71B44544">
                  <w:pPr>
                    <w:pStyle w:val="83"/>
                    <w:spacing w:line="240" w:lineRule="auto"/>
                    <w:jc w:val="center"/>
                    <w:rPr>
                      <w:rFonts w:hint="default" w:ascii="Times New Roman" w:hAnsi="Times New Roman" w:eastAsia="宋体" w:cs="Times New Roman"/>
                      <w:snapToGrid w:val="0"/>
                      <w:color w:val="000000" w:themeColor="text1"/>
                      <w:spacing w:val="4"/>
                      <w:sz w:val="21"/>
                      <w:szCs w:val="21"/>
                      <w:highlight w:val="none"/>
                      <w:lang w:val="en-US" w:eastAsia="zh-CN" w:bidi="ar-SA"/>
                      <w14:textFill>
                        <w14:solidFill>
                          <w14:schemeClr w14:val="tx1"/>
                        </w14:solidFill>
                      </w14:textFill>
                    </w:rPr>
                  </w:pPr>
                  <w:r>
                    <w:rPr>
                      <w:rFonts w:hint="eastAsia" w:ascii="Times New Roman" w:hAnsi="Times New Roman" w:cs="Times New Roman"/>
                      <w:snapToGrid w:val="0"/>
                      <w:color w:val="000000" w:themeColor="text1"/>
                      <w:spacing w:val="4"/>
                      <w:sz w:val="21"/>
                      <w:szCs w:val="21"/>
                      <w:highlight w:val="none"/>
                      <w:lang w:val="en-US" w:eastAsia="zh-CN" w:bidi="ar-SA"/>
                      <w14:textFill>
                        <w14:solidFill>
                          <w14:schemeClr w14:val="tx1"/>
                        </w14:solidFill>
                      </w14:textFill>
                    </w:rPr>
                    <w:t>0.0019</w:t>
                  </w:r>
                </w:p>
              </w:tc>
              <w:tc>
                <w:tcPr>
                  <w:tcW w:w="1132" w:type="dxa"/>
                  <w:tcBorders>
                    <w:tl2br w:val="nil"/>
                    <w:tr2bl w:val="nil"/>
                  </w:tcBorders>
                  <w:shd w:val="clear" w:color="auto" w:fill="auto"/>
                  <w:vAlign w:val="center"/>
                </w:tcPr>
                <w:p w14:paraId="4FADC212">
                  <w:pPr>
                    <w:pStyle w:val="83"/>
                    <w:spacing w:line="240" w:lineRule="auto"/>
                    <w:jc w:val="center"/>
                    <w:rPr>
                      <w:rFonts w:hint="eastAsia" w:ascii="Times New Roman" w:hAnsi="Times New Roman" w:eastAsia="宋体" w:cs="Times New Roman"/>
                      <w:snapToGrid w:val="0"/>
                      <w:color w:val="000000" w:themeColor="text1"/>
                      <w:spacing w:val="4"/>
                      <w:sz w:val="21"/>
                      <w:szCs w:val="21"/>
                      <w:highlight w:val="none"/>
                      <w:lang w:val="en-US" w:eastAsia="zh-CN" w:bidi="ar-SA"/>
                      <w14:textFill>
                        <w14:solidFill>
                          <w14:schemeClr w14:val="tx1"/>
                        </w14:solidFill>
                      </w14:textFill>
                    </w:rPr>
                  </w:pPr>
                  <w:r>
                    <w:rPr>
                      <w:rFonts w:hint="eastAsia" w:ascii="Times New Roman" w:hAnsi="Times New Roman" w:cs="Times New Roman"/>
                      <w:snapToGrid w:val="0"/>
                      <w:color w:val="auto"/>
                      <w:spacing w:val="4"/>
                      <w:sz w:val="21"/>
                      <w:szCs w:val="21"/>
                      <w:highlight w:val="none"/>
                      <w:lang w:val="en-US" w:eastAsia="zh-CN" w:bidi="ar-SA"/>
                    </w:rPr>
                    <w:t>0.009</w:t>
                  </w:r>
                </w:p>
              </w:tc>
              <w:tc>
                <w:tcPr>
                  <w:tcW w:w="661" w:type="pct"/>
                  <w:vMerge w:val="continue"/>
                  <w:tcBorders>
                    <w:tl2br w:val="nil"/>
                    <w:tr2bl w:val="nil"/>
                  </w:tcBorders>
                  <w:vAlign w:val="center"/>
                </w:tcPr>
                <w:p w14:paraId="17066199">
                  <w:pPr>
                    <w:pStyle w:val="83"/>
                    <w:spacing w:line="240" w:lineRule="auto"/>
                    <w:jc w:val="center"/>
                    <w:rPr>
                      <w:rFonts w:hint="eastAsia" w:ascii="Times New Roman" w:hAnsi="Times New Roman" w:eastAsia="宋体" w:cs="Times New Roman"/>
                      <w:color w:val="000000" w:themeColor="text1"/>
                      <w:sz w:val="21"/>
                      <w:lang w:val="en-US" w:eastAsia="zh-CN"/>
                      <w14:textFill>
                        <w14:solidFill>
                          <w14:schemeClr w14:val="tx1"/>
                        </w14:solidFill>
                      </w14:textFill>
                    </w:rPr>
                  </w:pPr>
                </w:p>
              </w:tc>
            </w:tr>
          </w:tbl>
          <w:p w14:paraId="6C947002">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w:t>
            </w:r>
            <w:r>
              <w:rPr>
                <w:rFonts w:hint="default" w:ascii="Times New Roman" w:hAnsi="Times New Roman" w:eastAsia="宋体" w:cs="Times New Roman"/>
                <w:color w:val="000000"/>
                <w:lang w:val="en-US" w:eastAsia="zh-CN"/>
              </w:rPr>
              <w:t>2</w:t>
            </w:r>
            <w:r>
              <w:rPr>
                <w:rFonts w:hint="eastAsia" w:ascii="Times New Roman" w:hAnsi="Times New Roman" w:eastAsia="宋体" w:cs="Times New Roman"/>
                <w:color w:val="000000"/>
                <w:lang w:val="en-US" w:eastAsia="zh-CN"/>
              </w:rPr>
              <w:t>）非正常排放防治措施</w:t>
            </w:r>
          </w:p>
          <w:p w14:paraId="0038137F">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针对以上非正常排放情形，本评价建议建设单位在生产运营期间采取以下控制措施以避免或减少废气非正常排放。</w:t>
            </w:r>
          </w:p>
          <w:p w14:paraId="1F309799">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①规范车间生产操作，避免因员工操作不当导致工艺设备、环保设施故障引发废气事故排放。</w:t>
            </w:r>
          </w:p>
          <w:p w14:paraId="4B771378">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②定期对生产设施及废气处理设施进行检查维护，杜绝非正常工况发生，避免非正常排放出现后才采取维护措施。</w:t>
            </w:r>
          </w:p>
          <w:p w14:paraId="1E8551F1">
            <w:pPr>
              <w:pStyle w:val="46"/>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综上，项目在采取上述非正常排放防范措施后，非正常排放发生频率较低，非正常排放下污染物排放量较少，非正常工况可及时得到处理，因此本项目废气非正常排放对周边大气环境影响较小。</w:t>
            </w:r>
          </w:p>
          <w:p w14:paraId="2B751556">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8"/>
                <w:szCs w:val="28"/>
                <w:u w:val="none"/>
                <w:lang w:val="en-US" w:eastAsia="zh-CN"/>
              </w:rPr>
            </w:pPr>
            <w:bookmarkStart w:id="87" w:name="_Toc7062"/>
            <w:r>
              <w:rPr>
                <w:rFonts w:hint="eastAsia" w:ascii="Times New Roman" w:hAnsi="Times New Roman" w:eastAsia="宋体" w:cs="Times New Roman"/>
                <w:color w:val="auto"/>
                <w:sz w:val="28"/>
                <w:szCs w:val="28"/>
                <w:u w:val="none"/>
                <w:lang w:val="en-US" w:eastAsia="zh-CN"/>
              </w:rPr>
              <w:t>4.2水环境影响分析和污染防治措施</w:t>
            </w:r>
            <w:bookmarkEnd w:id="87"/>
          </w:p>
          <w:p w14:paraId="69ACD4FE">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en-US" w:eastAsia="zh-CN"/>
              </w:rPr>
            </w:pPr>
            <w:bookmarkStart w:id="88" w:name="_Toc12276"/>
            <w:r>
              <w:rPr>
                <w:rFonts w:hint="eastAsia"/>
                <w:b/>
                <w:color w:val="262626"/>
                <w:kern w:val="0"/>
                <w:sz w:val="24"/>
                <w:lang w:val="en-US" w:eastAsia="zh-CN"/>
              </w:rPr>
              <w:t>4.2.1运营期废水源强分析</w:t>
            </w:r>
            <w:bookmarkEnd w:id="88"/>
          </w:p>
          <w:p w14:paraId="63AE6B8D">
            <w:pPr>
              <w:keepNext w:val="0"/>
              <w:pageBreakBefore w:val="0"/>
              <w:numPr>
                <w:ilvl w:val="0"/>
                <w:numId w:val="0"/>
              </w:numPr>
              <w:kinsoku/>
              <w:wordWrap/>
              <w:overflowPunct/>
              <w:topLinePunct w:val="0"/>
              <w:bidi w:val="0"/>
              <w:adjustRightInd w:val="0"/>
              <w:snapToGrid w:val="0"/>
              <w:spacing w:line="360" w:lineRule="auto"/>
              <w:ind w:firstLine="480" w:firstLineChars="200"/>
              <w:rPr>
                <w:rFonts w:hint="default"/>
                <w:lang w:val="en-US" w:eastAsia="zh-CN"/>
              </w:rPr>
            </w:pPr>
            <w:r>
              <w:rPr>
                <w:rFonts w:hint="eastAsia" w:cs="Times New Roman"/>
                <w:bCs/>
                <w:color w:val="auto"/>
                <w:sz w:val="24"/>
                <w:highlight w:val="none"/>
                <w:lang w:val="en-US" w:eastAsia="zh-CN"/>
              </w:rPr>
              <w:t>（1）设备间接冷却水</w:t>
            </w:r>
          </w:p>
          <w:p w14:paraId="72967B08">
            <w:pPr>
              <w:widowControl/>
              <w:spacing w:line="360" w:lineRule="auto"/>
              <w:ind w:firstLine="480" w:firstLineChars="200"/>
              <w:jc w:val="left"/>
              <w:rPr>
                <w:sz w:val="24"/>
              </w:rPr>
            </w:pPr>
            <w:r>
              <w:rPr>
                <w:rFonts w:hint="eastAsia"/>
                <w:sz w:val="24"/>
              </w:rPr>
              <w:t>根据水平衡分析可知，项目拟设置1台冷却水塔，</w:t>
            </w:r>
            <w:r>
              <w:rPr>
                <w:sz w:val="24"/>
              </w:rPr>
              <w:t>在循环过程中因受热等因素损失的水量，</w:t>
            </w:r>
            <w:r>
              <w:rPr>
                <w:rFonts w:hint="eastAsia"/>
                <w:sz w:val="24"/>
              </w:rPr>
              <w:t>约</w:t>
            </w:r>
            <w:r>
              <w:rPr>
                <w:rFonts w:hint="eastAsia"/>
                <w:sz w:val="24"/>
                <w:lang w:val="en-US" w:eastAsia="zh-CN"/>
              </w:rPr>
              <w:t>0.094t</w:t>
            </w:r>
            <w:r>
              <w:rPr>
                <w:rFonts w:hint="eastAsia"/>
                <w:sz w:val="24"/>
              </w:rPr>
              <w:t>/d，</w:t>
            </w:r>
            <w:r>
              <w:rPr>
                <w:sz w:val="24"/>
              </w:rPr>
              <w:t>则年补充新鲜水量约</w:t>
            </w:r>
            <w:r>
              <w:rPr>
                <w:rFonts w:hint="eastAsia"/>
                <w:sz w:val="24"/>
                <w:lang w:val="en-US" w:eastAsia="zh-CN"/>
              </w:rPr>
              <w:t>449.28</w:t>
            </w:r>
            <w:r>
              <w:rPr>
                <w:sz w:val="24"/>
              </w:rPr>
              <w:t>t/a。</w:t>
            </w:r>
          </w:p>
          <w:p w14:paraId="04132B7E">
            <w:pPr>
              <w:keepNext w:val="0"/>
              <w:pageBreakBefore w:val="0"/>
              <w:kinsoku/>
              <w:wordWrap/>
              <w:overflowPunct/>
              <w:topLinePunct w:val="0"/>
              <w:bidi w:val="0"/>
              <w:adjustRightInd w:val="0"/>
              <w:snapToGrid w:val="0"/>
              <w:spacing w:line="360" w:lineRule="auto"/>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eastAsia="zh-CN"/>
              </w:rPr>
              <w:t>（</w:t>
            </w:r>
            <w:r>
              <w:rPr>
                <w:rFonts w:hint="eastAsia" w:cs="Times New Roman"/>
                <w:bCs/>
                <w:color w:val="auto"/>
                <w:sz w:val="24"/>
                <w:highlight w:val="none"/>
                <w:lang w:val="en-US" w:eastAsia="zh-CN"/>
              </w:rPr>
              <w:t>2</w:t>
            </w:r>
            <w:r>
              <w:rPr>
                <w:rFonts w:hint="eastAsia" w:cs="Times New Roman"/>
                <w:bCs/>
                <w:color w:val="auto"/>
                <w:sz w:val="24"/>
                <w:highlight w:val="none"/>
                <w:lang w:eastAsia="zh-CN"/>
              </w:rPr>
              <w:t>）</w:t>
            </w:r>
            <w:r>
              <w:rPr>
                <w:rFonts w:hint="eastAsia" w:cs="Times New Roman"/>
                <w:bCs/>
                <w:color w:val="auto"/>
                <w:sz w:val="24"/>
                <w:highlight w:val="none"/>
                <w:lang w:val="en-US" w:eastAsia="zh-CN"/>
              </w:rPr>
              <w:t>除油前清洗水、除油后清洗水、钝化后清洗水</w:t>
            </w:r>
          </w:p>
          <w:p w14:paraId="655B20DD">
            <w:pPr>
              <w:keepNext w:val="0"/>
              <w:pageBreakBefore w:val="0"/>
              <w:kinsoku/>
              <w:wordWrap/>
              <w:overflowPunct/>
              <w:topLinePunct w:val="0"/>
              <w:bidi w:val="0"/>
              <w:adjustRightInd w:val="0"/>
              <w:snapToGrid w:val="0"/>
              <w:spacing w:line="360" w:lineRule="auto"/>
              <w:ind w:firstLine="480" w:firstLineChars="200"/>
              <w:rPr>
                <w:rFonts w:hint="eastAsia" w:cs="Times New Roman"/>
                <w:b w:val="0"/>
                <w:bCs w:val="0"/>
                <w:color w:val="auto"/>
                <w:sz w:val="24"/>
                <w:szCs w:val="24"/>
                <w:highlight w:val="none"/>
                <w:lang w:val="en-US" w:eastAsia="zh-CN"/>
              </w:rPr>
            </w:pPr>
            <w:r>
              <w:rPr>
                <w:rFonts w:hint="eastAsia" w:cs="Times New Roman"/>
                <w:bCs/>
                <w:color w:val="auto"/>
                <w:sz w:val="24"/>
                <w:highlight w:val="none"/>
                <w:lang w:val="en-US" w:eastAsia="zh-CN"/>
              </w:rPr>
              <w:t>本项目喷粉前的预处理工序会产生除油前清洗水、除油后清洗水和钝化后清洗水。本项目产品为工业连接器及工业线缆，铝合金壳体需经“水洗→碱性除油→水洗→硅烷钝化→水洗”工序，属于《国民经济行业分类》（GB/T4754-2017）中“3360金属表面处理及热处理加工”大类下的“喷涂前钝化处理”单元。根据《排放源统计调查产排污核算方法和系数手册》中《3360 电镀行业（不含电子元器件和线路板）系数表》核算，除油前清洗水、除油后清洗水和钝化后清洗水</w:t>
            </w:r>
            <w:r>
              <w:rPr>
                <w:rFonts w:hint="default" w:ascii="Times New Roman" w:hAnsi="Times New Roman" w:eastAsia="宋体" w:cs="Times New Roman"/>
                <w:b w:val="0"/>
                <w:bCs w:val="0"/>
                <w:color w:val="auto"/>
                <w:sz w:val="24"/>
                <w:szCs w:val="24"/>
                <w:highlight w:val="none"/>
                <w:lang w:val="en-US" w:eastAsia="zh-CN"/>
              </w:rPr>
              <w:t>各污染物产排情况详见表4.</w:t>
            </w:r>
            <w:r>
              <w:rPr>
                <w:rFonts w:hint="eastAsia"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-1</w:t>
            </w:r>
            <w:r>
              <w:rPr>
                <w:rFonts w:hint="eastAsia" w:cs="Times New Roman"/>
                <w:b w:val="0"/>
                <w:bCs w:val="0"/>
                <w:color w:val="auto"/>
                <w:sz w:val="24"/>
                <w:szCs w:val="24"/>
                <w:highlight w:val="none"/>
                <w:lang w:val="en-US" w:eastAsia="zh-CN"/>
              </w:rPr>
              <w:t>。</w:t>
            </w:r>
          </w:p>
          <w:p w14:paraId="7EAB9C2A">
            <w:pPr>
              <w:pStyle w:val="53"/>
              <w:keepNext w:val="0"/>
              <w:keepLines w:val="0"/>
              <w:pageBreakBefore w:val="0"/>
              <w:widowControl w:val="0"/>
              <w:kinsoku/>
              <w:wordWrap/>
              <w:overflowPunct/>
              <w:topLinePunct w:val="0"/>
              <w:autoSpaceDE/>
              <w:autoSpaceDN/>
              <w:bidi w:val="0"/>
              <w:adjustRightInd w:val="0"/>
              <w:snapToGrid w:val="0"/>
              <w:spacing w:before="163" w:beforeLines="5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表4.</w:t>
            </w:r>
            <w:r>
              <w:rPr>
                <w:rFonts w:hint="eastAsia"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-1 废水污染物产生及排放情况一览表</w:t>
            </w:r>
          </w:p>
          <w:tbl>
            <w:tblPr>
              <w:tblStyle w:val="24"/>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2470"/>
              <w:gridCol w:w="1008"/>
              <w:gridCol w:w="1008"/>
              <w:gridCol w:w="1008"/>
              <w:gridCol w:w="1010"/>
              <w:gridCol w:w="1016"/>
            </w:tblGrid>
            <w:tr w14:paraId="1D5BB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tcBorders>
                    <w:bottom w:val="single" w:color="auto" w:sz="12" w:space="0"/>
                  </w:tcBorders>
                  <w:noWrap w:val="0"/>
                  <w:vAlign w:val="center"/>
                </w:tcPr>
                <w:p w14:paraId="47177BE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废水量</w:t>
                  </w:r>
                </w:p>
              </w:tc>
              <w:tc>
                <w:tcPr>
                  <w:tcW w:w="1395" w:type="pct"/>
                  <w:tcBorders>
                    <w:bottom w:val="single" w:color="auto" w:sz="12" w:space="0"/>
                  </w:tcBorders>
                  <w:noWrap w:val="0"/>
                  <w:vAlign w:val="center"/>
                </w:tcPr>
                <w:p w14:paraId="3E6FAD3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w:t>
                  </w:r>
                </w:p>
              </w:tc>
              <w:tc>
                <w:tcPr>
                  <w:tcW w:w="570" w:type="pct"/>
                  <w:tcBorders>
                    <w:bottom w:val="single" w:color="auto" w:sz="12" w:space="0"/>
                  </w:tcBorders>
                  <w:noWrap w:val="0"/>
                  <w:vAlign w:val="center"/>
                </w:tcPr>
                <w:p w14:paraId="0A5DC85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COD</w:t>
                  </w:r>
                  <w:r>
                    <w:rPr>
                      <w:rFonts w:hint="default" w:ascii="Times New Roman" w:hAnsi="Times New Roman" w:eastAsia="宋体" w:cs="Times New Roman"/>
                      <w:color w:val="auto"/>
                      <w:sz w:val="21"/>
                      <w:szCs w:val="21"/>
                      <w:vertAlign w:val="subscript"/>
                      <w:lang w:val="en-US" w:eastAsia="zh-CN"/>
                    </w:rPr>
                    <w:t>cr</w:t>
                  </w:r>
                </w:p>
              </w:tc>
              <w:tc>
                <w:tcPr>
                  <w:tcW w:w="570" w:type="pct"/>
                  <w:tcBorders>
                    <w:bottom w:val="single" w:color="auto" w:sz="12" w:space="0"/>
                  </w:tcBorders>
                  <w:noWrap w:val="0"/>
                  <w:vAlign w:val="center"/>
                </w:tcPr>
                <w:p w14:paraId="651F994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BOD</w:t>
                  </w:r>
                  <w:r>
                    <w:rPr>
                      <w:rFonts w:hint="default" w:ascii="Times New Roman" w:hAnsi="Times New Roman" w:eastAsia="宋体" w:cs="Times New Roman"/>
                      <w:color w:val="auto"/>
                      <w:sz w:val="21"/>
                      <w:szCs w:val="21"/>
                      <w:vertAlign w:val="subscript"/>
                      <w:lang w:val="en-US" w:eastAsia="zh-CN"/>
                    </w:rPr>
                    <w:t>5</w:t>
                  </w:r>
                </w:p>
              </w:tc>
              <w:tc>
                <w:tcPr>
                  <w:tcW w:w="570" w:type="pct"/>
                  <w:tcBorders>
                    <w:bottom w:val="single" w:color="auto" w:sz="12" w:space="0"/>
                  </w:tcBorders>
                  <w:noWrap w:val="0"/>
                  <w:vAlign w:val="center"/>
                </w:tcPr>
                <w:p w14:paraId="5BB5725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SS</w:t>
                  </w:r>
                </w:p>
              </w:tc>
              <w:tc>
                <w:tcPr>
                  <w:tcW w:w="571" w:type="pct"/>
                  <w:tcBorders>
                    <w:bottom w:val="single" w:color="auto" w:sz="12" w:space="0"/>
                  </w:tcBorders>
                  <w:noWrap w:val="0"/>
                  <w:vAlign w:val="center"/>
                </w:tcPr>
                <w:p w14:paraId="0C3A104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vertAlign w:val="baseline"/>
                      <w:lang w:val="en-US" w:eastAsia="zh-CN"/>
                    </w:rPr>
                    <w:t>-N</w:t>
                  </w:r>
                </w:p>
              </w:tc>
              <w:tc>
                <w:tcPr>
                  <w:tcW w:w="571" w:type="pct"/>
                  <w:tcBorders>
                    <w:bottom w:val="single" w:color="auto" w:sz="12" w:space="0"/>
                  </w:tcBorders>
                  <w:noWrap w:val="0"/>
                  <w:vAlign w:val="center"/>
                </w:tcPr>
                <w:p w14:paraId="720BCFF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石油类</w:t>
                  </w:r>
                </w:p>
              </w:tc>
            </w:tr>
            <w:tr w14:paraId="2AD5A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op w:val="single" w:color="auto" w:sz="12" w:space="0"/>
                    <w:tl2br w:val="nil"/>
                    <w:tr2bl w:val="nil"/>
                  </w:tcBorders>
                  <w:noWrap w:val="0"/>
                  <w:vAlign w:val="center"/>
                </w:tcPr>
                <w:p w14:paraId="1378BC2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除油前清洗水（</w:t>
                  </w:r>
                  <w:r>
                    <w:rPr>
                      <w:rFonts w:hint="eastAsia" w:ascii="Times New Roman" w:hAnsi="Times New Roman" w:eastAsia="宋体" w:cs="Times New Roman"/>
                      <w:color w:val="auto"/>
                      <w:sz w:val="21"/>
                      <w:szCs w:val="21"/>
                      <w:vertAlign w:val="baseline"/>
                      <w:lang w:val="en-US" w:eastAsia="zh-CN"/>
                    </w:rPr>
                    <w:t>17.09</w:t>
                  </w:r>
                  <w:r>
                    <w:rPr>
                      <w:rFonts w:hint="default" w:ascii="Times New Roman" w:hAnsi="Times New Roman" w:eastAsia="宋体" w:cs="Times New Roman"/>
                      <w:color w:val="auto"/>
                      <w:sz w:val="21"/>
                      <w:szCs w:val="21"/>
                      <w:vertAlign w:val="baseline"/>
                      <w:lang w:val="en-US" w:eastAsia="zh-CN"/>
                    </w:rPr>
                    <w:t>t/a）</w:t>
                  </w:r>
                </w:p>
              </w:tc>
              <w:tc>
                <w:tcPr>
                  <w:tcW w:w="1395" w:type="pct"/>
                  <w:tcBorders>
                    <w:top w:val="single" w:color="auto" w:sz="12" w:space="0"/>
                    <w:tl2br w:val="nil"/>
                    <w:tr2bl w:val="nil"/>
                  </w:tcBorders>
                  <w:noWrap w:val="0"/>
                  <w:vAlign w:val="center"/>
                </w:tcPr>
                <w:p w14:paraId="58B61C4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污染物产生浓度（mg/L）</w:t>
                  </w:r>
                </w:p>
              </w:tc>
              <w:tc>
                <w:tcPr>
                  <w:tcW w:w="570" w:type="pct"/>
                  <w:tcBorders>
                    <w:top w:val="single" w:color="auto" w:sz="12" w:space="0"/>
                    <w:tl2br w:val="nil"/>
                    <w:tr2bl w:val="nil"/>
                  </w:tcBorders>
                  <w:noWrap w:val="0"/>
                  <w:vAlign w:val="center"/>
                </w:tcPr>
                <w:p w14:paraId="3FABE81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w:t>
                  </w:r>
                </w:p>
              </w:tc>
              <w:tc>
                <w:tcPr>
                  <w:tcW w:w="570" w:type="pct"/>
                  <w:tcBorders>
                    <w:top w:val="single" w:color="auto" w:sz="12" w:space="0"/>
                    <w:tl2br w:val="nil"/>
                    <w:tr2bl w:val="nil"/>
                  </w:tcBorders>
                  <w:noWrap w:val="0"/>
                  <w:vAlign w:val="center"/>
                </w:tcPr>
                <w:p w14:paraId="2CAAA8B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c>
                <w:tcPr>
                  <w:tcW w:w="570" w:type="pct"/>
                  <w:tcBorders>
                    <w:top w:val="single" w:color="auto" w:sz="12" w:space="0"/>
                    <w:tl2br w:val="nil"/>
                    <w:tr2bl w:val="nil"/>
                  </w:tcBorders>
                  <w:noWrap w:val="0"/>
                  <w:vAlign w:val="center"/>
                </w:tcPr>
                <w:p w14:paraId="52A3B2F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w:t>
                  </w:r>
                </w:p>
              </w:tc>
              <w:tc>
                <w:tcPr>
                  <w:tcW w:w="571" w:type="pct"/>
                  <w:tcBorders>
                    <w:top w:val="single" w:color="auto" w:sz="12" w:space="0"/>
                    <w:tl2br w:val="nil"/>
                    <w:tr2bl w:val="nil"/>
                  </w:tcBorders>
                  <w:noWrap w:val="0"/>
                  <w:vAlign w:val="center"/>
                </w:tcPr>
                <w:p w14:paraId="7B8837F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571" w:type="pct"/>
                  <w:tcBorders>
                    <w:top w:val="single" w:color="auto" w:sz="12" w:space="0"/>
                    <w:tl2br w:val="nil"/>
                    <w:tr2bl w:val="nil"/>
                  </w:tcBorders>
                  <w:noWrap w:val="0"/>
                  <w:vAlign w:val="center"/>
                </w:tcPr>
                <w:p w14:paraId="17CCB08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113EC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544FBAF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55BC631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污染物产生量（t/a）</w:t>
                  </w:r>
                </w:p>
              </w:tc>
              <w:tc>
                <w:tcPr>
                  <w:tcW w:w="570" w:type="pct"/>
                  <w:tcBorders>
                    <w:tl2br w:val="nil"/>
                    <w:tr2bl w:val="nil"/>
                  </w:tcBorders>
                  <w:noWrap w:val="0"/>
                  <w:vAlign w:val="center"/>
                </w:tcPr>
                <w:p w14:paraId="79A70B4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0.003418</w:t>
                  </w:r>
                </w:p>
              </w:tc>
              <w:tc>
                <w:tcPr>
                  <w:tcW w:w="570" w:type="pct"/>
                  <w:tcBorders>
                    <w:tl2br w:val="nil"/>
                    <w:tr2bl w:val="nil"/>
                  </w:tcBorders>
                  <w:noWrap w:val="0"/>
                  <w:vAlign w:val="center"/>
                </w:tcPr>
                <w:p w14:paraId="51C7E04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0.001709</w:t>
                  </w:r>
                </w:p>
              </w:tc>
              <w:tc>
                <w:tcPr>
                  <w:tcW w:w="570" w:type="pct"/>
                  <w:tcBorders>
                    <w:tl2br w:val="nil"/>
                    <w:tr2bl w:val="nil"/>
                  </w:tcBorders>
                  <w:noWrap w:val="0"/>
                  <w:vAlign w:val="center"/>
                </w:tcPr>
                <w:p w14:paraId="276FEA6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0.002564</w:t>
                  </w:r>
                </w:p>
              </w:tc>
              <w:tc>
                <w:tcPr>
                  <w:tcW w:w="571" w:type="pct"/>
                  <w:tcBorders>
                    <w:tl2br w:val="nil"/>
                    <w:tr2bl w:val="nil"/>
                  </w:tcBorders>
                  <w:noWrap w:val="0"/>
                  <w:vAlign w:val="center"/>
                </w:tcPr>
                <w:p w14:paraId="37A94CB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0.000171</w:t>
                  </w:r>
                </w:p>
              </w:tc>
              <w:tc>
                <w:tcPr>
                  <w:tcW w:w="571" w:type="pct"/>
                  <w:tcBorders>
                    <w:tl2br w:val="nil"/>
                    <w:tr2bl w:val="nil"/>
                  </w:tcBorders>
                  <w:noWrap w:val="0"/>
                  <w:vAlign w:val="center"/>
                </w:tcPr>
                <w:p w14:paraId="5BCF806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69620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l2br w:val="nil"/>
                    <w:tr2bl w:val="nil"/>
                  </w:tcBorders>
                  <w:noWrap w:val="0"/>
                  <w:vAlign w:val="center"/>
                </w:tcPr>
                <w:p w14:paraId="1A2F132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除油后清洗水（</w:t>
                  </w:r>
                  <w:r>
                    <w:rPr>
                      <w:rFonts w:hint="eastAsia" w:ascii="Times New Roman" w:hAnsi="Times New Roman" w:eastAsia="宋体" w:cs="Times New Roman"/>
                      <w:color w:val="auto"/>
                      <w:sz w:val="21"/>
                      <w:szCs w:val="21"/>
                      <w:vertAlign w:val="baseline"/>
                      <w:lang w:val="en-US" w:eastAsia="zh-CN"/>
                    </w:rPr>
                    <w:t>17.09</w:t>
                  </w:r>
                  <w:r>
                    <w:rPr>
                      <w:rFonts w:hint="default" w:ascii="Times New Roman" w:hAnsi="Times New Roman" w:eastAsia="宋体" w:cs="Times New Roman"/>
                      <w:color w:val="auto"/>
                      <w:sz w:val="21"/>
                      <w:szCs w:val="21"/>
                      <w:vertAlign w:val="baseline"/>
                      <w:lang w:val="en-US" w:eastAsia="zh-CN"/>
                    </w:rPr>
                    <w:t>t/a）</w:t>
                  </w:r>
                </w:p>
              </w:tc>
              <w:tc>
                <w:tcPr>
                  <w:tcW w:w="1395" w:type="pct"/>
                  <w:tcBorders>
                    <w:tl2br w:val="nil"/>
                    <w:tr2bl w:val="nil"/>
                  </w:tcBorders>
                  <w:noWrap w:val="0"/>
                  <w:vAlign w:val="center"/>
                </w:tcPr>
                <w:p w14:paraId="4E8548B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污染物产生浓度（mg/L）</w:t>
                  </w:r>
                </w:p>
              </w:tc>
              <w:tc>
                <w:tcPr>
                  <w:tcW w:w="570" w:type="pct"/>
                  <w:tcBorders>
                    <w:tl2br w:val="nil"/>
                    <w:tr2bl w:val="nil"/>
                  </w:tcBorders>
                  <w:noWrap w:val="0"/>
                  <w:vAlign w:val="center"/>
                </w:tcPr>
                <w:p w14:paraId="6FE644F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450</w:t>
                  </w:r>
                </w:p>
              </w:tc>
              <w:tc>
                <w:tcPr>
                  <w:tcW w:w="570" w:type="pct"/>
                  <w:tcBorders>
                    <w:tl2br w:val="nil"/>
                    <w:tr2bl w:val="nil"/>
                  </w:tcBorders>
                  <w:noWrap w:val="0"/>
                  <w:vAlign w:val="center"/>
                </w:tcPr>
                <w:p w14:paraId="3119896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225</w:t>
                  </w:r>
                </w:p>
              </w:tc>
              <w:tc>
                <w:tcPr>
                  <w:tcW w:w="570" w:type="pct"/>
                  <w:tcBorders>
                    <w:tl2br w:val="nil"/>
                    <w:tr2bl w:val="nil"/>
                  </w:tcBorders>
                  <w:noWrap w:val="0"/>
                  <w:vAlign w:val="center"/>
                </w:tcPr>
                <w:p w14:paraId="78EDF51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120</w:t>
                  </w:r>
                </w:p>
              </w:tc>
              <w:tc>
                <w:tcPr>
                  <w:tcW w:w="571" w:type="pct"/>
                  <w:tcBorders>
                    <w:tl2br w:val="nil"/>
                    <w:tr2bl w:val="nil"/>
                  </w:tcBorders>
                  <w:noWrap w:val="0"/>
                  <w:vAlign w:val="center"/>
                </w:tcPr>
                <w:p w14:paraId="4A9DD157">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571" w:type="pct"/>
                  <w:tcBorders>
                    <w:tl2br w:val="nil"/>
                    <w:tr2bl w:val="nil"/>
                  </w:tcBorders>
                  <w:noWrap w:val="0"/>
                  <w:vAlign w:val="center"/>
                </w:tcPr>
                <w:p w14:paraId="45B8F63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w:t>
                  </w:r>
                </w:p>
              </w:tc>
            </w:tr>
            <w:tr w14:paraId="2F61B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144BE45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7D2811E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污染物产生量（t/a）</w:t>
                  </w:r>
                </w:p>
              </w:tc>
              <w:tc>
                <w:tcPr>
                  <w:tcW w:w="570" w:type="pct"/>
                  <w:tcBorders>
                    <w:tl2br w:val="nil"/>
                    <w:tr2bl w:val="nil"/>
                  </w:tcBorders>
                  <w:noWrap w:val="0"/>
                  <w:vAlign w:val="center"/>
                </w:tcPr>
                <w:p w14:paraId="0F42FF9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0.00769</w:t>
                  </w:r>
                </w:p>
              </w:tc>
              <w:tc>
                <w:tcPr>
                  <w:tcW w:w="570" w:type="pct"/>
                  <w:tcBorders>
                    <w:tl2br w:val="nil"/>
                    <w:tr2bl w:val="nil"/>
                  </w:tcBorders>
                  <w:noWrap w:val="0"/>
                  <w:vAlign w:val="center"/>
                </w:tcPr>
                <w:p w14:paraId="1C21DCA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0.003845</w:t>
                  </w:r>
                </w:p>
              </w:tc>
              <w:tc>
                <w:tcPr>
                  <w:tcW w:w="570" w:type="pct"/>
                  <w:tcBorders>
                    <w:tl2br w:val="nil"/>
                    <w:tr2bl w:val="nil"/>
                  </w:tcBorders>
                  <w:noWrap w:val="0"/>
                  <w:vAlign w:val="center"/>
                </w:tcPr>
                <w:p w14:paraId="182F495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0.002051</w:t>
                  </w:r>
                </w:p>
              </w:tc>
              <w:tc>
                <w:tcPr>
                  <w:tcW w:w="571" w:type="pct"/>
                  <w:tcBorders>
                    <w:tl2br w:val="nil"/>
                    <w:tr2bl w:val="nil"/>
                  </w:tcBorders>
                  <w:noWrap w:val="0"/>
                  <w:vAlign w:val="center"/>
                </w:tcPr>
                <w:p w14:paraId="467E21D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0.000256</w:t>
                  </w:r>
                </w:p>
              </w:tc>
              <w:tc>
                <w:tcPr>
                  <w:tcW w:w="571" w:type="pct"/>
                  <w:tcBorders>
                    <w:tl2br w:val="nil"/>
                    <w:tr2bl w:val="nil"/>
                  </w:tcBorders>
                  <w:noWrap w:val="0"/>
                  <w:vAlign w:val="center"/>
                </w:tcPr>
                <w:p w14:paraId="76CCD44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0.001709</w:t>
                  </w:r>
                </w:p>
              </w:tc>
            </w:tr>
            <w:tr w14:paraId="6E48C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l2br w:val="nil"/>
                    <w:tr2bl w:val="nil"/>
                  </w:tcBorders>
                  <w:noWrap w:val="0"/>
                  <w:vAlign w:val="center"/>
                </w:tcPr>
                <w:p w14:paraId="5BA3712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钝化后清洗水（</w:t>
                  </w:r>
                  <w:r>
                    <w:rPr>
                      <w:rFonts w:hint="eastAsia" w:ascii="Times New Roman" w:hAnsi="Times New Roman" w:eastAsia="宋体" w:cs="Times New Roman"/>
                      <w:color w:val="auto"/>
                      <w:sz w:val="21"/>
                      <w:szCs w:val="21"/>
                      <w:vertAlign w:val="baseline"/>
                      <w:lang w:val="en-US" w:eastAsia="zh-CN"/>
                    </w:rPr>
                    <w:t>17.09</w:t>
                  </w:r>
                  <w:r>
                    <w:rPr>
                      <w:rFonts w:hint="default" w:ascii="Times New Roman" w:hAnsi="Times New Roman" w:eastAsia="宋体" w:cs="Times New Roman"/>
                      <w:color w:val="auto"/>
                      <w:sz w:val="21"/>
                      <w:szCs w:val="21"/>
                      <w:vertAlign w:val="baseline"/>
                      <w:lang w:val="en-US" w:eastAsia="zh-CN"/>
                    </w:rPr>
                    <w:t>t/a）</w:t>
                  </w:r>
                </w:p>
              </w:tc>
              <w:tc>
                <w:tcPr>
                  <w:tcW w:w="1395" w:type="pct"/>
                  <w:tcBorders>
                    <w:tl2br w:val="nil"/>
                    <w:tr2bl w:val="nil"/>
                  </w:tcBorders>
                  <w:noWrap w:val="0"/>
                  <w:vAlign w:val="center"/>
                </w:tcPr>
                <w:p w14:paraId="2D34866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污染物产生浓度（mg/L）</w:t>
                  </w:r>
                </w:p>
              </w:tc>
              <w:tc>
                <w:tcPr>
                  <w:tcW w:w="570" w:type="pct"/>
                  <w:tcBorders>
                    <w:tl2br w:val="nil"/>
                    <w:tr2bl w:val="nil"/>
                  </w:tcBorders>
                  <w:noWrap w:val="0"/>
                  <w:vAlign w:val="center"/>
                </w:tcPr>
                <w:p w14:paraId="2DDD758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300</w:t>
                  </w:r>
                </w:p>
              </w:tc>
              <w:tc>
                <w:tcPr>
                  <w:tcW w:w="570" w:type="pct"/>
                  <w:tcBorders>
                    <w:tl2br w:val="nil"/>
                    <w:tr2bl w:val="nil"/>
                  </w:tcBorders>
                  <w:noWrap w:val="0"/>
                  <w:vAlign w:val="center"/>
                </w:tcPr>
                <w:p w14:paraId="233E50A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150</w:t>
                  </w:r>
                </w:p>
              </w:tc>
              <w:tc>
                <w:tcPr>
                  <w:tcW w:w="570" w:type="pct"/>
                  <w:tcBorders>
                    <w:tl2br w:val="nil"/>
                    <w:tr2bl w:val="nil"/>
                  </w:tcBorders>
                  <w:noWrap w:val="0"/>
                  <w:vAlign w:val="center"/>
                </w:tcPr>
                <w:p w14:paraId="2394DBF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w:t>
                  </w:r>
                </w:p>
              </w:tc>
              <w:tc>
                <w:tcPr>
                  <w:tcW w:w="571" w:type="pct"/>
                  <w:tcBorders>
                    <w:tl2br w:val="nil"/>
                    <w:tr2bl w:val="nil"/>
                  </w:tcBorders>
                  <w:noWrap w:val="0"/>
                  <w:vAlign w:val="center"/>
                </w:tcPr>
                <w:p w14:paraId="16E0A2F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w:t>
                  </w:r>
                </w:p>
              </w:tc>
              <w:tc>
                <w:tcPr>
                  <w:tcW w:w="571" w:type="pct"/>
                  <w:tcBorders>
                    <w:tl2br w:val="nil"/>
                    <w:tr2bl w:val="nil"/>
                  </w:tcBorders>
                  <w:noWrap w:val="0"/>
                  <w:vAlign w:val="center"/>
                </w:tcPr>
                <w:p w14:paraId="4B939EE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210E1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2019C5E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589B7BE7">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污染物产生量（t/a）</w:t>
                  </w:r>
                </w:p>
              </w:tc>
              <w:tc>
                <w:tcPr>
                  <w:tcW w:w="570" w:type="pct"/>
                  <w:tcBorders>
                    <w:tl2br w:val="nil"/>
                    <w:tr2bl w:val="nil"/>
                  </w:tcBorders>
                  <w:noWrap w:val="0"/>
                  <w:vAlign w:val="center"/>
                </w:tcPr>
                <w:p w14:paraId="7B5EDF6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0.005127</w:t>
                  </w:r>
                </w:p>
              </w:tc>
              <w:tc>
                <w:tcPr>
                  <w:tcW w:w="570" w:type="pct"/>
                  <w:tcBorders>
                    <w:tl2br w:val="nil"/>
                    <w:tr2bl w:val="nil"/>
                  </w:tcBorders>
                  <w:noWrap w:val="0"/>
                  <w:vAlign w:val="center"/>
                </w:tcPr>
                <w:p w14:paraId="24B0B12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0.002564</w:t>
                  </w:r>
                </w:p>
              </w:tc>
              <w:tc>
                <w:tcPr>
                  <w:tcW w:w="570" w:type="pct"/>
                  <w:tcBorders>
                    <w:tl2br w:val="nil"/>
                    <w:tr2bl w:val="nil"/>
                  </w:tcBorders>
                  <w:noWrap w:val="0"/>
                  <w:vAlign w:val="center"/>
                </w:tcPr>
                <w:p w14:paraId="259B46B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0.001709</w:t>
                  </w:r>
                </w:p>
              </w:tc>
              <w:tc>
                <w:tcPr>
                  <w:tcW w:w="571" w:type="pct"/>
                  <w:tcBorders>
                    <w:tl2br w:val="nil"/>
                    <w:tr2bl w:val="nil"/>
                  </w:tcBorders>
                  <w:noWrap w:val="0"/>
                  <w:vAlign w:val="center"/>
                </w:tcPr>
                <w:p w14:paraId="5A7A8C0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0.000171</w:t>
                  </w:r>
                </w:p>
              </w:tc>
              <w:tc>
                <w:tcPr>
                  <w:tcW w:w="571" w:type="pct"/>
                  <w:tcBorders>
                    <w:tl2br w:val="nil"/>
                    <w:tr2bl w:val="nil"/>
                  </w:tcBorders>
                  <w:noWrap w:val="0"/>
                  <w:vAlign w:val="center"/>
                </w:tcPr>
                <w:p w14:paraId="4C87890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72EDB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tcBorders>
                    <w:tl2br w:val="nil"/>
                    <w:tr2bl w:val="nil"/>
                  </w:tcBorders>
                  <w:noWrap w:val="0"/>
                  <w:vAlign w:val="center"/>
                </w:tcPr>
                <w:p w14:paraId="381D9B1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处理措施</w:t>
                  </w:r>
                </w:p>
              </w:tc>
              <w:tc>
                <w:tcPr>
                  <w:tcW w:w="4250" w:type="pct"/>
                  <w:gridSpan w:val="6"/>
                  <w:tcBorders>
                    <w:tl2br w:val="nil"/>
                    <w:tr2bl w:val="nil"/>
                  </w:tcBorders>
                  <w:noWrap w:val="0"/>
                  <w:vAlign w:val="center"/>
                </w:tcPr>
                <w:p w14:paraId="4213B95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cs="宋体"/>
                      <w:color w:val="000000" w:themeColor="text1"/>
                      <w:sz w:val="21"/>
                      <w:szCs w:val="21"/>
                      <w:highlight w:val="none"/>
                      <w:lang w:val="en-US" w:eastAsia="zh-CN"/>
                      <w14:textFill>
                        <w14:solidFill>
                          <w14:schemeClr w14:val="tx1"/>
                        </w14:solidFill>
                      </w14:textFill>
                    </w:rPr>
                    <w:t>经过“气浮+A/O+沉淀”处理后回用于清洗工序</w:t>
                  </w:r>
                </w:p>
              </w:tc>
            </w:tr>
            <w:tr w14:paraId="2F086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pct"/>
                  <w:gridSpan w:val="2"/>
                  <w:tcBorders>
                    <w:tl2br w:val="nil"/>
                    <w:tr2bl w:val="nil"/>
                  </w:tcBorders>
                  <w:noWrap w:val="0"/>
                  <w:vAlign w:val="center"/>
                </w:tcPr>
                <w:p w14:paraId="3EB1F73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处理效率</w:t>
                  </w:r>
                </w:p>
              </w:tc>
              <w:tc>
                <w:tcPr>
                  <w:tcW w:w="570" w:type="pct"/>
                  <w:tcBorders>
                    <w:tl2br w:val="nil"/>
                    <w:tr2bl w:val="nil"/>
                  </w:tcBorders>
                  <w:noWrap w:val="0"/>
                  <w:vAlign w:val="center"/>
                </w:tcPr>
                <w:p w14:paraId="012548E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570" w:type="pct"/>
                  <w:tcBorders>
                    <w:tl2br w:val="nil"/>
                    <w:tr2bl w:val="nil"/>
                  </w:tcBorders>
                  <w:noWrap w:val="0"/>
                  <w:vAlign w:val="center"/>
                </w:tcPr>
                <w:p w14:paraId="76D606A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570" w:type="pct"/>
                  <w:tcBorders>
                    <w:tl2br w:val="nil"/>
                    <w:tr2bl w:val="nil"/>
                  </w:tcBorders>
                  <w:noWrap w:val="0"/>
                  <w:vAlign w:val="center"/>
                </w:tcPr>
                <w:p w14:paraId="3830DE4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65%</w:t>
                  </w:r>
                </w:p>
              </w:tc>
              <w:tc>
                <w:tcPr>
                  <w:tcW w:w="571" w:type="pct"/>
                  <w:tcBorders>
                    <w:tl2br w:val="nil"/>
                    <w:tr2bl w:val="nil"/>
                  </w:tcBorders>
                  <w:noWrap w:val="0"/>
                  <w:vAlign w:val="center"/>
                </w:tcPr>
                <w:p w14:paraId="1922EAD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w:t>
                  </w:r>
                </w:p>
              </w:tc>
              <w:tc>
                <w:tcPr>
                  <w:tcW w:w="571" w:type="pct"/>
                  <w:tcBorders>
                    <w:tl2br w:val="nil"/>
                    <w:tr2bl w:val="nil"/>
                  </w:tcBorders>
                  <w:noWrap w:val="0"/>
                  <w:vAlign w:val="center"/>
                </w:tcPr>
                <w:p w14:paraId="1DA55D2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r>
            <w:tr w14:paraId="7C318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l2br w:val="nil"/>
                    <w:tr2bl w:val="nil"/>
                  </w:tcBorders>
                  <w:noWrap w:val="0"/>
                  <w:vAlign w:val="center"/>
                </w:tcPr>
                <w:p w14:paraId="0A71D05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除油前清洗水（</w:t>
                  </w:r>
                  <w:r>
                    <w:rPr>
                      <w:rFonts w:hint="eastAsia" w:ascii="Times New Roman" w:hAnsi="Times New Roman" w:eastAsia="宋体" w:cs="Times New Roman"/>
                      <w:color w:val="auto"/>
                      <w:sz w:val="21"/>
                      <w:szCs w:val="21"/>
                      <w:vertAlign w:val="baseline"/>
                      <w:lang w:val="en-US" w:eastAsia="zh-CN"/>
                    </w:rPr>
                    <w:t>15.38</w:t>
                  </w:r>
                  <w:r>
                    <w:rPr>
                      <w:rFonts w:hint="default" w:ascii="Times New Roman" w:hAnsi="Times New Roman" w:eastAsia="宋体" w:cs="Times New Roman"/>
                      <w:color w:val="auto"/>
                      <w:sz w:val="21"/>
                      <w:szCs w:val="21"/>
                      <w:vertAlign w:val="baseline"/>
                      <w:lang w:val="en-US" w:eastAsia="zh-CN"/>
                    </w:rPr>
                    <w:t>t/a）</w:t>
                  </w:r>
                </w:p>
              </w:tc>
              <w:tc>
                <w:tcPr>
                  <w:tcW w:w="1395" w:type="pct"/>
                  <w:tcBorders>
                    <w:tl2br w:val="nil"/>
                    <w:tr2bl w:val="nil"/>
                  </w:tcBorders>
                  <w:noWrap w:val="0"/>
                  <w:vAlign w:val="center"/>
                </w:tcPr>
                <w:p w14:paraId="6F325AA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经处理后废水排放浓度（mg/L）</w:t>
                  </w:r>
                </w:p>
              </w:tc>
              <w:tc>
                <w:tcPr>
                  <w:tcW w:w="570" w:type="pct"/>
                  <w:tcBorders>
                    <w:tl2br w:val="nil"/>
                    <w:tr2bl w:val="nil"/>
                  </w:tcBorders>
                  <w:noWrap w:val="0"/>
                  <w:vAlign w:val="center"/>
                </w:tcPr>
                <w:p w14:paraId="59A8805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w:t>
                  </w:r>
                </w:p>
              </w:tc>
              <w:tc>
                <w:tcPr>
                  <w:tcW w:w="570" w:type="pct"/>
                  <w:tcBorders>
                    <w:tl2br w:val="nil"/>
                    <w:tr2bl w:val="nil"/>
                  </w:tcBorders>
                  <w:noWrap w:val="0"/>
                  <w:vAlign w:val="center"/>
                </w:tcPr>
                <w:p w14:paraId="34544FF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570" w:type="pct"/>
                  <w:tcBorders>
                    <w:tl2br w:val="nil"/>
                    <w:tr2bl w:val="nil"/>
                  </w:tcBorders>
                  <w:noWrap w:val="0"/>
                  <w:vAlign w:val="center"/>
                </w:tcPr>
                <w:p w14:paraId="3C8615D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52.5</w:t>
                  </w:r>
                </w:p>
              </w:tc>
              <w:tc>
                <w:tcPr>
                  <w:tcW w:w="571" w:type="pct"/>
                  <w:tcBorders>
                    <w:tl2br w:val="nil"/>
                    <w:tr2bl w:val="nil"/>
                  </w:tcBorders>
                  <w:noWrap w:val="0"/>
                  <w:vAlign w:val="center"/>
                </w:tcPr>
                <w:p w14:paraId="2FA660C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571" w:type="pct"/>
                  <w:tcBorders>
                    <w:tl2br w:val="nil"/>
                    <w:tr2bl w:val="nil"/>
                  </w:tcBorders>
                  <w:noWrap w:val="0"/>
                  <w:vAlign w:val="center"/>
                </w:tcPr>
                <w:p w14:paraId="0CA4FB1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1CB50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5E12316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4EC87BC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经处理后废水排放量（t/a）</w:t>
                  </w:r>
                </w:p>
              </w:tc>
              <w:tc>
                <w:tcPr>
                  <w:tcW w:w="570" w:type="pct"/>
                  <w:tcBorders>
                    <w:tl2br w:val="nil"/>
                    <w:tr2bl w:val="nil"/>
                  </w:tcBorders>
                  <w:noWrap w:val="0"/>
                  <w:vAlign w:val="center"/>
                </w:tcPr>
                <w:p w14:paraId="0912233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0.000923</w:t>
                  </w:r>
                </w:p>
              </w:tc>
              <w:tc>
                <w:tcPr>
                  <w:tcW w:w="570" w:type="pct"/>
                  <w:tcBorders>
                    <w:tl2br w:val="nil"/>
                    <w:tr2bl w:val="nil"/>
                  </w:tcBorders>
                  <w:noWrap w:val="0"/>
                  <w:vAlign w:val="center"/>
                </w:tcPr>
                <w:p w14:paraId="618B491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0.000385</w:t>
                  </w:r>
                </w:p>
              </w:tc>
              <w:tc>
                <w:tcPr>
                  <w:tcW w:w="570" w:type="pct"/>
                  <w:tcBorders>
                    <w:tl2br w:val="nil"/>
                    <w:tr2bl w:val="nil"/>
                  </w:tcBorders>
                  <w:noWrap w:val="0"/>
                  <w:vAlign w:val="center"/>
                </w:tcPr>
                <w:p w14:paraId="6A955DA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0.000807</w:t>
                  </w:r>
                </w:p>
              </w:tc>
              <w:tc>
                <w:tcPr>
                  <w:tcW w:w="571" w:type="pct"/>
                  <w:tcBorders>
                    <w:tl2br w:val="nil"/>
                    <w:tr2bl w:val="nil"/>
                  </w:tcBorders>
                  <w:noWrap w:val="0"/>
                  <w:vAlign w:val="center"/>
                </w:tcPr>
                <w:p w14:paraId="229EC58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0.000062</w:t>
                  </w:r>
                </w:p>
              </w:tc>
              <w:tc>
                <w:tcPr>
                  <w:tcW w:w="571" w:type="pct"/>
                  <w:tcBorders>
                    <w:tl2br w:val="nil"/>
                    <w:tr2bl w:val="nil"/>
                  </w:tcBorders>
                  <w:noWrap w:val="0"/>
                  <w:vAlign w:val="center"/>
                </w:tcPr>
                <w:p w14:paraId="6763A7B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391DB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l2br w:val="nil"/>
                    <w:tr2bl w:val="nil"/>
                  </w:tcBorders>
                  <w:noWrap w:val="0"/>
                  <w:vAlign w:val="center"/>
                </w:tcPr>
                <w:p w14:paraId="16B09DB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除油后清洗水（</w:t>
                  </w:r>
                  <w:r>
                    <w:rPr>
                      <w:rFonts w:hint="eastAsia" w:ascii="Times New Roman" w:hAnsi="Times New Roman" w:eastAsia="宋体" w:cs="Times New Roman"/>
                      <w:color w:val="auto"/>
                      <w:sz w:val="21"/>
                      <w:szCs w:val="21"/>
                      <w:vertAlign w:val="baseline"/>
                      <w:lang w:val="en-US" w:eastAsia="zh-CN"/>
                    </w:rPr>
                    <w:t>15.38</w:t>
                  </w:r>
                  <w:r>
                    <w:rPr>
                      <w:rFonts w:hint="default" w:ascii="Times New Roman" w:hAnsi="Times New Roman" w:eastAsia="宋体" w:cs="Times New Roman"/>
                      <w:color w:val="auto"/>
                      <w:sz w:val="21"/>
                      <w:szCs w:val="21"/>
                      <w:vertAlign w:val="baseline"/>
                      <w:lang w:val="en-US" w:eastAsia="zh-CN"/>
                    </w:rPr>
                    <w:t>t/a）</w:t>
                  </w:r>
                </w:p>
              </w:tc>
              <w:tc>
                <w:tcPr>
                  <w:tcW w:w="1395" w:type="pct"/>
                  <w:tcBorders>
                    <w:tl2br w:val="nil"/>
                    <w:tr2bl w:val="nil"/>
                  </w:tcBorders>
                  <w:noWrap w:val="0"/>
                  <w:vAlign w:val="center"/>
                </w:tcPr>
                <w:p w14:paraId="40CBC4D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经处理后废水排放浓度（mg/L）</w:t>
                  </w:r>
                </w:p>
              </w:tc>
              <w:tc>
                <w:tcPr>
                  <w:tcW w:w="570" w:type="pct"/>
                  <w:tcBorders>
                    <w:tl2br w:val="nil"/>
                    <w:tr2bl w:val="nil"/>
                  </w:tcBorders>
                  <w:noWrap w:val="0"/>
                  <w:vAlign w:val="center"/>
                </w:tcPr>
                <w:p w14:paraId="3F5EB883">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112.5</w:t>
                  </w:r>
                </w:p>
              </w:tc>
              <w:tc>
                <w:tcPr>
                  <w:tcW w:w="570" w:type="pct"/>
                  <w:tcBorders>
                    <w:tl2br w:val="nil"/>
                    <w:tr2bl w:val="nil"/>
                  </w:tcBorders>
                  <w:noWrap w:val="0"/>
                  <w:vAlign w:val="center"/>
                </w:tcPr>
                <w:p w14:paraId="2CA07C2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78.75</w:t>
                  </w:r>
                </w:p>
              </w:tc>
              <w:tc>
                <w:tcPr>
                  <w:tcW w:w="570" w:type="pct"/>
                  <w:tcBorders>
                    <w:tl2br w:val="nil"/>
                    <w:tr2bl w:val="nil"/>
                  </w:tcBorders>
                  <w:noWrap w:val="0"/>
                  <w:vAlign w:val="center"/>
                </w:tcPr>
                <w:p w14:paraId="1340465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48</w:t>
                  </w:r>
                </w:p>
              </w:tc>
              <w:tc>
                <w:tcPr>
                  <w:tcW w:w="571" w:type="pct"/>
                  <w:tcBorders>
                    <w:tl2br w:val="nil"/>
                    <w:tr2bl w:val="nil"/>
                  </w:tcBorders>
                  <w:noWrap w:val="0"/>
                  <w:vAlign w:val="center"/>
                </w:tcPr>
                <w:p w14:paraId="55781556">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3.75</w:t>
                  </w:r>
                </w:p>
              </w:tc>
              <w:tc>
                <w:tcPr>
                  <w:tcW w:w="571" w:type="pct"/>
                  <w:tcBorders>
                    <w:tl2br w:val="nil"/>
                    <w:tr2bl w:val="nil"/>
                  </w:tcBorders>
                  <w:noWrap w:val="0"/>
                  <w:vAlign w:val="center"/>
                </w:tcPr>
                <w:p w14:paraId="36F1DD96">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25</w:t>
                  </w:r>
                </w:p>
              </w:tc>
            </w:tr>
            <w:tr w14:paraId="4AF2F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2ADEBB67">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0482CC9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经处理后废水排放量（t/a）</w:t>
                  </w:r>
                </w:p>
              </w:tc>
              <w:tc>
                <w:tcPr>
                  <w:tcW w:w="570" w:type="pct"/>
                  <w:tcBorders>
                    <w:tl2br w:val="nil"/>
                    <w:tr2bl w:val="nil"/>
                  </w:tcBorders>
                  <w:noWrap w:val="0"/>
                  <w:vAlign w:val="center"/>
                </w:tcPr>
                <w:p w14:paraId="6A8A8265">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0.00173</w:t>
                  </w:r>
                </w:p>
              </w:tc>
              <w:tc>
                <w:tcPr>
                  <w:tcW w:w="570" w:type="pct"/>
                  <w:tcBorders>
                    <w:tl2br w:val="nil"/>
                    <w:tr2bl w:val="nil"/>
                  </w:tcBorders>
                  <w:noWrap w:val="0"/>
                  <w:vAlign w:val="center"/>
                </w:tcPr>
                <w:p w14:paraId="3400624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0.001211</w:t>
                  </w:r>
                </w:p>
              </w:tc>
              <w:tc>
                <w:tcPr>
                  <w:tcW w:w="570" w:type="pct"/>
                  <w:tcBorders>
                    <w:tl2br w:val="nil"/>
                    <w:tr2bl w:val="nil"/>
                  </w:tcBorders>
                  <w:noWrap w:val="0"/>
                  <w:vAlign w:val="center"/>
                </w:tcPr>
                <w:p w14:paraId="2130B43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0.000738</w:t>
                  </w:r>
                </w:p>
              </w:tc>
              <w:tc>
                <w:tcPr>
                  <w:tcW w:w="571" w:type="pct"/>
                  <w:tcBorders>
                    <w:tl2br w:val="nil"/>
                    <w:tr2bl w:val="nil"/>
                  </w:tcBorders>
                  <w:noWrap w:val="0"/>
                  <w:vAlign w:val="center"/>
                </w:tcPr>
                <w:p w14:paraId="5291B6B2">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0.000058</w:t>
                  </w:r>
                </w:p>
              </w:tc>
              <w:tc>
                <w:tcPr>
                  <w:tcW w:w="571" w:type="pct"/>
                  <w:tcBorders>
                    <w:tl2br w:val="nil"/>
                    <w:tr2bl w:val="nil"/>
                  </w:tcBorders>
                  <w:noWrap w:val="0"/>
                  <w:vAlign w:val="center"/>
                </w:tcPr>
                <w:p w14:paraId="1EC1B9F9">
                  <w:pPr>
                    <w:keepNext w:val="0"/>
                    <w:keepLines w:val="0"/>
                    <w:pageBreakBefore w:val="0"/>
                    <w:widowControl/>
                    <w:suppressLineNumbers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0.000385</w:t>
                  </w:r>
                </w:p>
              </w:tc>
            </w:tr>
            <w:tr w14:paraId="5B4DF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restart"/>
                  <w:tcBorders>
                    <w:tl2br w:val="nil"/>
                    <w:tr2bl w:val="nil"/>
                  </w:tcBorders>
                  <w:noWrap w:val="0"/>
                  <w:vAlign w:val="center"/>
                </w:tcPr>
                <w:p w14:paraId="11754DB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钝化后清洗水（</w:t>
                  </w:r>
                  <w:r>
                    <w:rPr>
                      <w:rFonts w:hint="eastAsia" w:ascii="Times New Roman" w:hAnsi="Times New Roman" w:eastAsia="宋体" w:cs="Times New Roman"/>
                      <w:color w:val="auto"/>
                      <w:sz w:val="21"/>
                      <w:szCs w:val="21"/>
                      <w:vertAlign w:val="baseline"/>
                      <w:lang w:val="en-US" w:eastAsia="zh-CN"/>
                    </w:rPr>
                    <w:t>16.24</w:t>
                  </w:r>
                  <w:r>
                    <w:rPr>
                      <w:rFonts w:hint="default" w:ascii="Times New Roman" w:hAnsi="Times New Roman" w:eastAsia="宋体" w:cs="Times New Roman"/>
                      <w:color w:val="auto"/>
                      <w:sz w:val="21"/>
                      <w:szCs w:val="21"/>
                      <w:vertAlign w:val="baseline"/>
                      <w:lang w:val="en-US" w:eastAsia="zh-CN"/>
                    </w:rPr>
                    <w:t>t/a）</w:t>
                  </w:r>
                </w:p>
              </w:tc>
              <w:tc>
                <w:tcPr>
                  <w:tcW w:w="1395" w:type="pct"/>
                  <w:tcBorders>
                    <w:tl2br w:val="nil"/>
                    <w:tr2bl w:val="nil"/>
                  </w:tcBorders>
                  <w:noWrap w:val="0"/>
                  <w:vAlign w:val="center"/>
                </w:tcPr>
                <w:p w14:paraId="001903E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经处理后废水排放浓度（mg/L）</w:t>
                  </w:r>
                </w:p>
              </w:tc>
              <w:tc>
                <w:tcPr>
                  <w:tcW w:w="570" w:type="pct"/>
                  <w:tcBorders>
                    <w:tl2br w:val="nil"/>
                    <w:tr2bl w:val="nil"/>
                  </w:tcBorders>
                  <w:noWrap w:val="0"/>
                  <w:vAlign w:val="center"/>
                </w:tcPr>
                <w:p w14:paraId="135727F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c>
                <w:tcPr>
                  <w:tcW w:w="570" w:type="pct"/>
                  <w:tcBorders>
                    <w:tl2br w:val="nil"/>
                    <w:tr2bl w:val="nil"/>
                  </w:tcBorders>
                  <w:noWrap w:val="0"/>
                  <w:vAlign w:val="center"/>
                </w:tcPr>
                <w:p w14:paraId="676D55D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w:t>
                  </w:r>
                </w:p>
              </w:tc>
              <w:tc>
                <w:tcPr>
                  <w:tcW w:w="570" w:type="pct"/>
                  <w:tcBorders>
                    <w:tl2br w:val="nil"/>
                    <w:tr2bl w:val="nil"/>
                  </w:tcBorders>
                  <w:noWrap w:val="0"/>
                  <w:vAlign w:val="center"/>
                </w:tcPr>
                <w:p w14:paraId="3AC924B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w:t>
                  </w:r>
                </w:p>
              </w:tc>
              <w:tc>
                <w:tcPr>
                  <w:tcW w:w="571" w:type="pct"/>
                  <w:tcBorders>
                    <w:tl2br w:val="nil"/>
                    <w:tr2bl w:val="nil"/>
                  </w:tcBorders>
                  <w:noWrap w:val="0"/>
                  <w:vAlign w:val="center"/>
                </w:tcPr>
                <w:p w14:paraId="5C049C7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009" w:type="dxa"/>
                  <w:tcBorders>
                    <w:tl2br w:val="nil"/>
                    <w:tr2bl w:val="nil"/>
                  </w:tcBorders>
                  <w:noWrap w:val="0"/>
                  <w:vAlign w:val="center"/>
                </w:tcPr>
                <w:p w14:paraId="14FF750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76375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9" w:type="pct"/>
                  <w:vMerge w:val="continue"/>
                  <w:tcBorders>
                    <w:tl2br w:val="nil"/>
                    <w:tr2bl w:val="nil"/>
                  </w:tcBorders>
                  <w:noWrap w:val="0"/>
                  <w:vAlign w:val="center"/>
                </w:tcPr>
                <w:p w14:paraId="48E8069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95" w:type="pct"/>
                  <w:tcBorders>
                    <w:tl2br w:val="nil"/>
                    <w:tr2bl w:val="nil"/>
                  </w:tcBorders>
                  <w:noWrap w:val="0"/>
                  <w:vAlign w:val="center"/>
                </w:tcPr>
                <w:p w14:paraId="06CC418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经处理后废水排放量（t/a）</w:t>
                  </w:r>
                </w:p>
              </w:tc>
              <w:tc>
                <w:tcPr>
                  <w:tcW w:w="570" w:type="pct"/>
                  <w:tcBorders>
                    <w:tl2br w:val="nil"/>
                    <w:tr2bl w:val="nil"/>
                  </w:tcBorders>
                  <w:noWrap w:val="0"/>
                  <w:vAlign w:val="center"/>
                </w:tcPr>
                <w:p w14:paraId="3927E51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0.001949</w:t>
                  </w:r>
                </w:p>
              </w:tc>
              <w:tc>
                <w:tcPr>
                  <w:tcW w:w="570" w:type="pct"/>
                  <w:tcBorders>
                    <w:tl2br w:val="nil"/>
                    <w:tr2bl w:val="nil"/>
                  </w:tcBorders>
                  <w:noWrap w:val="0"/>
                  <w:vAlign w:val="center"/>
                </w:tcPr>
                <w:p w14:paraId="000DBC9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0.000974</w:t>
                  </w:r>
                </w:p>
              </w:tc>
              <w:tc>
                <w:tcPr>
                  <w:tcW w:w="570" w:type="pct"/>
                  <w:tcBorders>
                    <w:tl2br w:val="nil"/>
                    <w:tr2bl w:val="nil"/>
                  </w:tcBorders>
                  <w:noWrap w:val="0"/>
                  <w:vAlign w:val="center"/>
                </w:tcPr>
                <w:p w14:paraId="473EFAC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0.00065</w:t>
                  </w:r>
                </w:p>
              </w:tc>
              <w:tc>
                <w:tcPr>
                  <w:tcW w:w="571" w:type="pct"/>
                  <w:tcBorders>
                    <w:tl2br w:val="nil"/>
                    <w:tr2bl w:val="nil"/>
                  </w:tcBorders>
                  <w:noWrap w:val="0"/>
                  <w:vAlign w:val="center"/>
                </w:tcPr>
                <w:p w14:paraId="53ADEE5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0.000065</w:t>
                  </w:r>
                </w:p>
              </w:tc>
              <w:tc>
                <w:tcPr>
                  <w:tcW w:w="1009" w:type="dxa"/>
                  <w:tcBorders>
                    <w:tl2br w:val="nil"/>
                    <w:tr2bl w:val="nil"/>
                  </w:tcBorders>
                  <w:noWrap w:val="0"/>
                  <w:vAlign w:val="center"/>
                </w:tcPr>
                <w:p w14:paraId="09106C8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14:paraId="38B76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pct"/>
                  <w:gridSpan w:val="2"/>
                  <w:tcBorders>
                    <w:bottom w:val="single" w:color="000000" w:sz="12" w:space="0"/>
                    <w:tl2br w:val="nil"/>
                    <w:tr2bl w:val="nil"/>
                  </w:tcBorders>
                  <w:noWrap w:val="0"/>
                  <w:vAlign w:val="center"/>
                </w:tcPr>
                <w:p w14:paraId="4D638887">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总计（</w:t>
                  </w:r>
                  <w:r>
                    <w:rPr>
                      <w:rFonts w:hint="default" w:ascii="Times New Roman" w:hAnsi="Times New Roman" w:eastAsia="宋体" w:cs="Times New Roman"/>
                      <w:color w:val="auto"/>
                      <w:sz w:val="21"/>
                      <w:szCs w:val="21"/>
                      <w:vertAlign w:val="baseline"/>
                      <w:lang w:val="en-US" w:eastAsia="zh-CN"/>
                    </w:rPr>
                    <w:t>经处理后废水量（t/a）</w:t>
                  </w:r>
                  <w:r>
                    <w:rPr>
                      <w:rFonts w:hint="eastAsia" w:ascii="Times New Roman" w:hAnsi="Times New Roman" w:eastAsia="宋体" w:cs="Times New Roman"/>
                      <w:color w:val="auto"/>
                      <w:sz w:val="21"/>
                      <w:szCs w:val="21"/>
                      <w:vertAlign w:val="baseline"/>
                      <w:lang w:val="en-US" w:eastAsia="zh-CN"/>
                    </w:rPr>
                    <w:t>）</w:t>
                  </w:r>
                </w:p>
              </w:tc>
              <w:tc>
                <w:tcPr>
                  <w:tcW w:w="570" w:type="pct"/>
                  <w:tcBorders>
                    <w:bottom w:val="single" w:color="000000" w:sz="12" w:space="0"/>
                    <w:tl2br w:val="nil"/>
                    <w:tr2bl w:val="nil"/>
                  </w:tcBorders>
                  <w:noWrap w:val="0"/>
                  <w:vAlign w:val="center"/>
                </w:tcPr>
                <w:p w14:paraId="15C9097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0.004602</w:t>
                  </w:r>
                </w:p>
              </w:tc>
              <w:tc>
                <w:tcPr>
                  <w:tcW w:w="570" w:type="pct"/>
                  <w:tcBorders>
                    <w:bottom w:val="single" w:color="000000" w:sz="12" w:space="0"/>
                    <w:tl2br w:val="nil"/>
                    <w:tr2bl w:val="nil"/>
                  </w:tcBorders>
                  <w:noWrap w:val="0"/>
                  <w:vAlign w:val="center"/>
                </w:tcPr>
                <w:p w14:paraId="36F38CB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0.002570</w:t>
                  </w:r>
                </w:p>
              </w:tc>
              <w:tc>
                <w:tcPr>
                  <w:tcW w:w="570" w:type="pct"/>
                  <w:tcBorders>
                    <w:bottom w:val="single" w:color="000000" w:sz="12" w:space="0"/>
                    <w:tl2br w:val="nil"/>
                    <w:tr2bl w:val="nil"/>
                  </w:tcBorders>
                  <w:noWrap w:val="0"/>
                  <w:vAlign w:val="center"/>
                </w:tcPr>
                <w:p w14:paraId="3C03CA9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0.002195</w:t>
                  </w:r>
                </w:p>
              </w:tc>
              <w:tc>
                <w:tcPr>
                  <w:tcW w:w="571" w:type="pct"/>
                  <w:tcBorders>
                    <w:bottom w:val="single" w:color="000000" w:sz="12" w:space="0"/>
                    <w:tl2br w:val="nil"/>
                    <w:tr2bl w:val="nil"/>
                  </w:tcBorders>
                  <w:noWrap w:val="0"/>
                  <w:vAlign w:val="center"/>
                </w:tcPr>
                <w:p w14:paraId="25814E7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0.000185</w:t>
                  </w:r>
                </w:p>
              </w:tc>
              <w:tc>
                <w:tcPr>
                  <w:tcW w:w="571" w:type="pct"/>
                  <w:tcBorders>
                    <w:bottom w:val="single" w:color="000000" w:sz="12" w:space="0"/>
                    <w:tl2br w:val="nil"/>
                    <w:tr2bl w:val="nil"/>
                  </w:tcBorders>
                  <w:noWrap w:val="0"/>
                  <w:vAlign w:val="center"/>
                </w:tcPr>
                <w:p w14:paraId="2D1AF40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0.000385</w:t>
                  </w:r>
                </w:p>
              </w:tc>
            </w:tr>
            <w:tr w14:paraId="07848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tcBorders>
                    <w:top w:val="single" w:color="000000" w:sz="12" w:space="0"/>
                    <w:tl2br w:val="nil"/>
                    <w:tr2bl w:val="nil"/>
                  </w:tcBorders>
                  <w:noWrap w:val="0"/>
                  <w:vAlign w:val="center"/>
                </w:tcPr>
                <w:p w14:paraId="27A2AF6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left"/>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注：</w:t>
                  </w:r>
                  <w:r>
                    <w:rPr>
                      <w:rFonts w:ascii="Times New Roman" w:hAnsi="Times New Roman" w:eastAsia="宋体" w:cs="Times New Roman"/>
                      <w:spacing w:val="2"/>
                      <w:position w:val="1"/>
                      <w:sz w:val="21"/>
                      <w:szCs w:val="21"/>
                      <w:highlight w:val="none"/>
                    </w:rPr>
                    <w:t>废水净化效率取值依据为《污染源源强核算技术指南 电子元件及电子专用材料制造》（HJ 1175-2021）、《废水污染控制技术手册》（化学工业出版社）。</w:t>
                  </w:r>
                </w:p>
              </w:tc>
            </w:tr>
          </w:tbl>
          <w:p w14:paraId="2C73326D">
            <w:pPr>
              <w:keepNext w:val="0"/>
              <w:pageBreakBefore w:val="0"/>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eastAsia="zh-CN"/>
              </w:rPr>
              <w:t>（</w:t>
            </w:r>
            <w:r>
              <w:rPr>
                <w:rFonts w:hint="eastAsia" w:cs="Times New Roman"/>
                <w:bCs/>
                <w:color w:val="auto"/>
                <w:sz w:val="24"/>
                <w:highlight w:val="none"/>
                <w:lang w:val="en-US" w:eastAsia="zh-CN"/>
              </w:rPr>
              <w:t>3</w:t>
            </w:r>
            <w:r>
              <w:rPr>
                <w:rFonts w:hint="eastAsia" w:cs="Times New Roman"/>
                <w:bCs/>
                <w:color w:val="auto"/>
                <w:sz w:val="24"/>
                <w:highlight w:val="none"/>
                <w:lang w:eastAsia="zh-CN"/>
              </w:rPr>
              <w:t>）</w:t>
            </w:r>
            <w:r>
              <w:rPr>
                <w:rFonts w:hint="eastAsia" w:cs="Times New Roman"/>
                <w:bCs/>
                <w:color w:val="auto"/>
                <w:sz w:val="24"/>
                <w:highlight w:val="none"/>
                <w:lang w:val="en-US" w:eastAsia="zh-CN"/>
              </w:rPr>
              <w:t>生活污水</w:t>
            </w:r>
          </w:p>
          <w:p w14:paraId="1125D531">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bookmarkStart w:id="89" w:name="_Toc28146"/>
            <w:bookmarkStart w:id="90" w:name="_Toc4624"/>
            <w:bookmarkStart w:id="91" w:name="_Toc22817"/>
            <w:r>
              <w:rPr>
                <w:rFonts w:hint="default" w:ascii="Times New Roman" w:hAnsi="Times New Roman" w:eastAsia="宋体" w:cs="Times New Roman"/>
                <w:b w:val="0"/>
                <w:bCs w:val="0"/>
                <w:color w:val="auto"/>
                <w:sz w:val="24"/>
                <w:szCs w:val="24"/>
                <w:highlight w:val="none"/>
                <w:lang w:val="en-US" w:eastAsia="zh-CN"/>
              </w:rPr>
              <w:t>本项目劳动定员</w:t>
            </w:r>
            <w:r>
              <w:rPr>
                <w:rFonts w:hint="eastAsia" w:eastAsia="宋体" w:cs="Times New Roman"/>
                <w:b w:val="0"/>
                <w:bCs w:val="0"/>
                <w:color w:val="auto"/>
                <w:sz w:val="24"/>
                <w:szCs w:val="24"/>
                <w:highlight w:val="none"/>
                <w:lang w:val="en-US" w:eastAsia="zh-CN"/>
              </w:rPr>
              <w:t>70</w:t>
            </w:r>
            <w:r>
              <w:rPr>
                <w:rFonts w:hint="default" w:ascii="Times New Roman" w:hAnsi="Times New Roman" w:eastAsia="宋体" w:cs="Times New Roman"/>
                <w:b w:val="0"/>
                <w:bCs w:val="0"/>
                <w:color w:val="auto"/>
                <w:sz w:val="24"/>
                <w:szCs w:val="24"/>
                <w:highlight w:val="none"/>
                <w:lang w:val="en-US" w:eastAsia="zh-CN"/>
              </w:rPr>
              <w:t>人，均不住厂，根据《建筑给水排水设计标准》（GB50015-2019），车间工作人员的生活用水额定</w:t>
            </w:r>
            <w:r>
              <w:rPr>
                <w:rFonts w:hint="eastAsia" w:eastAsia="宋体" w:cs="Times New Roman"/>
                <w:b w:val="0"/>
                <w:bCs w:val="0"/>
                <w:color w:val="auto"/>
                <w:sz w:val="24"/>
                <w:szCs w:val="24"/>
                <w:highlight w:val="none"/>
                <w:lang w:val="en-US" w:eastAsia="zh-CN"/>
              </w:rPr>
              <w:t>应</w:t>
            </w:r>
            <w:r>
              <w:rPr>
                <w:rFonts w:hint="default" w:ascii="Times New Roman" w:hAnsi="Times New Roman" w:eastAsia="宋体" w:cs="Times New Roman"/>
                <w:b w:val="0"/>
                <w:bCs w:val="0"/>
                <w:color w:val="auto"/>
                <w:sz w:val="24"/>
                <w:szCs w:val="24"/>
                <w:highlight w:val="none"/>
                <w:lang w:val="en-US" w:eastAsia="zh-CN"/>
              </w:rPr>
              <w:t>根据车间性质确定，一般宜采用30</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50L/人·班，本项目不住厂职工生活用水额定按50L/人·班计。项目年工作日按300天计，则本项目职工生活用水量约</w:t>
            </w:r>
            <w:r>
              <w:rPr>
                <w:rFonts w:hint="eastAsia" w:eastAsia="宋体" w:cs="Times New Roman"/>
                <w:b w:val="0"/>
                <w:bCs w:val="0"/>
                <w:color w:val="auto"/>
                <w:sz w:val="24"/>
                <w:szCs w:val="24"/>
                <w:highlight w:val="none"/>
                <w:lang w:val="en-US" w:eastAsia="zh-CN"/>
              </w:rPr>
              <w:t>3.5</w:t>
            </w:r>
            <w:r>
              <w:rPr>
                <w:rFonts w:hint="default" w:ascii="Times New Roman" w:hAnsi="Times New Roman" w:eastAsia="宋体" w:cs="Times New Roman"/>
                <w:b w:val="0"/>
                <w:bCs w:val="0"/>
                <w:color w:val="auto"/>
                <w:sz w:val="24"/>
                <w:szCs w:val="24"/>
                <w:highlight w:val="none"/>
                <w:lang w:val="en-US" w:eastAsia="zh-CN"/>
              </w:rPr>
              <w:t>t/d（</w:t>
            </w:r>
            <w:r>
              <w:rPr>
                <w:rFonts w:hint="eastAsia" w:eastAsia="宋体" w:cs="Times New Roman"/>
                <w:b w:val="0"/>
                <w:bCs w:val="0"/>
                <w:color w:val="auto"/>
                <w:sz w:val="24"/>
                <w:szCs w:val="24"/>
                <w:highlight w:val="none"/>
                <w:lang w:val="en-US" w:eastAsia="zh-CN"/>
              </w:rPr>
              <w:t>1277.5</w:t>
            </w:r>
            <w:r>
              <w:rPr>
                <w:rFonts w:hint="default" w:ascii="Times New Roman" w:hAnsi="Times New Roman" w:eastAsia="宋体" w:cs="Times New Roman"/>
                <w:b w:val="0"/>
                <w:bCs w:val="0"/>
                <w:color w:val="auto"/>
                <w:sz w:val="24"/>
                <w:szCs w:val="24"/>
                <w:highlight w:val="none"/>
                <w:lang w:val="en-US" w:eastAsia="zh-CN"/>
              </w:rPr>
              <w:t>t/a），根据《排水源统计调查产排污计算方法和核算手册》中《生活源产排污系数手册》，人均日生活用水量≤150升/人·天时，折污系数取0.8，则项目生活污水产生量约</w:t>
            </w:r>
            <w:r>
              <w:rPr>
                <w:rFonts w:hint="eastAsia" w:eastAsia="宋体" w:cs="Times New Roman"/>
                <w:b w:val="0"/>
                <w:bCs w:val="0"/>
                <w:color w:val="auto"/>
                <w:sz w:val="24"/>
                <w:szCs w:val="24"/>
                <w:highlight w:val="none"/>
                <w:lang w:val="en-US" w:eastAsia="zh-CN"/>
              </w:rPr>
              <w:t>2.8</w:t>
            </w:r>
            <w:r>
              <w:rPr>
                <w:rFonts w:hint="default" w:ascii="Times New Roman" w:hAnsi="Times New Roman" w:eastAsia="宋体" w:cs="Times New Roman"/>
                <w:b w:val="0"/>
                <w:bCs w:val="0"/>
                <w:color w:val="auto"/>
                <w:sz w:val="24"/>
                <w:szCs w:val="24"/>
                <w:highlight w:val="none"/>
                <w:lang w:val="en-US" w:eastAsia="zh-CN"/>
              </w:rPr>
              <w:t>t/d（</w:t>
            </w:r>
            <w:r>
              <w:rPr>
                <w:rFonts w:hint="eastAsia" w:eastAsia="宋体" w:cs="Times New Roman"/>
                <w:b w:val="0"/>
                <w:bCs w:val="0"/>
                <w:color w:val="auto"/>
                <w:sz w:val="24"/>
                <w:szCs w:val="24"/>
                <w:highlight w:val="none"/>
                <w:lang w:val="en-US" w:eastAsia="zh-CN"/>
              </w:rPr>
              <w:t>1022</w:t>
            </w:r>
            <w:r>
              <w:rPr>
                <w:rFonts w:hint="default" w:ascii="Times New Roman" w:hAnsi="Times New Roman" w:eastAsia="宋体" w:cs="Times New Roman"/>
                <w:b w:val="0"/>
                <w:bCs w:val="0"/>
                <w:color w:val="auto"/>
                <w:sz w:val="24"/>
                <w:szCs w:val="24"/>
                <w:highlight w:val="none"/>
                <w:lang w:val="en-US" w:eastAsia="zh-CN"/>
              </w:rPr>
              <w:t>t/a）。</w:t>
            </w:r>
            <w:r>
              <w:rPr>
                <w:rFonts w:hint="eastAsia" w:ascii="Times New Roman" w:hAnsi="Times New Roman" w:eastAsia="宋体" w:cs="Times New Roman"/>
                <w:b w:val="0"/>
                <w:bCs w:val="0"/>
                <w:color w:val="auto"/>
                <w:sz w:val="24"/>
                <w:szCs w:val="24"/>
                <w:highlight w:val="none"/>
                <w:lang w:val="en-US" w:eastAsia="zh-CN"/>
              </w:rPr>
              <w:t>生活污水依托厂区现有的化粪池处理达标后排入市政污水管网，最终进入</w:t>
            </w:r>
            <w:bookmarkEnd w:id="89"/>
            <w:bookmarkEnd w:id="90"/>
            <w:bookmarkEnd w:id="91"/>
            <w:r>
              <w:rPr>
                <w:rFonts w:hint="eastAsia" w:eastAsia="宋体" w:cs="Times New Roman"/>
                <w:color w:val="auto"/>
                <w:sz w:val="24"/>
                <w:szCs w:val="24"/>
                <w:lang w:val="en-US" w:eastAsia="zh-CN"/>
              </w:rPr>
              <w:t>福清市融元污水处理厂集</w:t>
            </w:r>
            <w:r>
              <w:rPr>
                <w:rFonts w:hint="eastAsia" w:ascii="Times New Roman" w:hAnsi="Times New Roman" w:eastAsia="宋体" w:cs="Times New Roman"/>
                <w:b w:val="0"/>
                <w:bCs w:val="0"/>
                <w:color w:val="auto"/>
                <w:sz w:val="24"/>
                <w:szCs w:val="24"/>
                <w:highlight w:val="none"/>
                <w:lang w:val="en-US" w:eastAsia="zh-CN"/>
              </w:rPr>
              <w:t>中进行处理，污水处理厂</w:t>
            </w:r>
            <w:r>
              <w:rPr>
                <w:rFonts w:hint="default" w:ascii="Times New Roman" w:hAnsi="Times New Roman" w:eastAsia="宋体" w:cs="Times New Roman"/>
                <w:b w:val="0"/>
                <w:bCs w:val="0"/>
                <w:color w:val="auto"/>
                <w:sz w:val="24"/>
                <w:szCs w:val="24"/>
                <w:highlight w:val="none"/>
                <w:lang w:val="en-US" w:eastAsia="zh-CN"/>
              </w:rPr>
              <w:t>尾水排入龙江，所处龙江</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南门桥水闸至龙江入海口</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断面。</w:t>
            </w:r>
          </w:p>
          <w:p w14:paraId="0091FC92">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bookmarkStart w:id="92" w:name="_Toc6977"/>
            <w:bookmarkStart w:id="93" w:name="_Toc14324"/>
            <w:bookmarkStart w:id="94" w:name="_Toc22915"/>
            <w:r>
              <w:rPr>
                <w:rFonts w:hint="default" w:ascii="Times New Roman" w:hAnsi="Times New Roman" w:eastAsia="宋体" w:cs="Times New Roman"/>
                <w:b w:val="0"/>
                <w:bCs w:val="0"/>
                <w:color w:val="auto"/>
                <w:sz w:val="24"/>
                <w:szCs w:val="24"/>
                <w:highlight w:val="none"/>
                <w:lang w:val="en-US" w:eastAsia="zh-CN"/>
              </w:rPr>
              <w:t>参考</w:t>
            </w:r>
            <w:r>
              <w:rPr>
                <w:rFonts w:hint="eastAsia" w:ascii="Times New Roman" w:hAnsi="Times New Roman" w:eastAsia="宋体" w:cs="Times New Roman"/>
                <w:b w:val="0"/>
                <w:bCs w:val="0"/>
                <w:color w:val="auto"/>
                <w:sz w:val="24"/>
                <w:szCs w:val="24"/>
                <w:highlight w:val="none"/>
                <w:lang w:val="en-US" w:eastAsia="zh-CN"/>
              </w:rPr>
              <w:t>《给排水设计手册》第五册《城镇排水》表</w:t>
            </w:r>
            <w:r>
              <w:rPr>
                <w:rFonts w:hint="default" w:ascii="Times New Roman" w:hAnsi="Times New Roman" w:eastAsia="宋体" w:cs="Times New Roman"/>
                <w:b w:val="0"/>
                <w:bCs w:val="0"/>
                <w:color w:val="auto"/>
                <w:sz w:val="24"/>
                <w:szCs w:val="24"/>
                <w:highlight w:val="none"/>
                <w:lang w:val="en-US" w:eastAsia="zh-CN"/>
              </w:rPr>
              <w:t>4-1</w:t>
            </w:r>
            <w:r>
              <w:rPr>
                <w:rFonts w:hint="eastAsia" w:ascii="Times New Roman" w:hAnsi="Times New Roman" w:eastAsia="宋体" w:cs="Times New Roman"/>
                <w:b w:val="0"/>
                <w:bCs w:val="0"/>
                <w:color w:val="auto"/>
                <w:sz w:val="24"/>
                <w:szCs w:val="24"/>
                <w:highlight w:val="none"/>
                <w:lang w:val="en-US" w:eastAsia="zh-CN"/>
              </w:rPr>
              <w:t>典型生活污水水质示例的低浓度；因此，不住厂职工产生的生活污水中各主要污染物浓度按</w:t>
            </w:r>
            <w:r>
              <w:rPr>
                <w:rFonts w:hint="default" w:ascii="Times New Roman" w:hAnsi="Times New Roman" w:eastAsia="宋体" w:cs="Times New Roman"/>
                <w:b w:val="0"/>
                <w:bCs w:val="0"/>
                <w:color w:val="auto"/>
                <w:sz w:val="24"/>
                <w:szCs w:val="24"/>
                <w:highlight w:val="none"/>
                <w:lang w:val="en-US" w:eastAsia="zh-CN"/>
              </w:rPr>
              <w:t>CODcr：</w:t>
            </w:r>
            <w:r>
              <w:rPr>
                <w:rFonts w:hint="eastAsia" w:ascii="Times New Roman" w:hAnsi="Times New Roman" w:eastAsia="宋体" w:cs="Times New Roman"/>
                <w:b w:val="0"/>
                <w:bCs w:val="0"/>
                <w:color w:val="auto"/>
                <w:sz w:val="24"/>
                <w:szCs w:val="24"/>
                <w:highlight w:val="none"/>
                <w:lang w:val="en-US" w:eastAsia="zh-CN"/>
              </w:rPr>
              <w:t>250</w:t>
            </w:r>
            <w:r>
              <w:rPr>
                <w:rFonts w:hint="default" w:ascii="Times New Roman" w:hAnsi="Times New Roman" w:eastAsia="宋体" w:cs="Times New Roman"/>
                <w:b w:val="0"/>
                <w:bCs w:val="0"/>
                <w:color w:val="auto"/>
                <w:sz w:val="24"/>
                <w:szCs w:val="24"/>
                <w:highlight w:val="none"/>
                <w:lang w:val="en-US" w:eastAsia="zh-CN"/>
              </w:rPr>
              <w:t>mg/L、BOD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eastAsia" w:eastAsia="宋体" w:cs="Times New Roman"/>
                <w:b w:val="0"/>
                <w:bCs w:val="0"/>
                <w:color w:val="auto"/>
                <w:sz w:val="24"/>
                <w:szCs w:val="24"/>
                <w:highlight w:val="none"/>
                <w:vertAlign w:val="subscript"/>
                <w:lang w:val="en-US" w:eastAsia="zh-CN"/>
              </w:rPr>
              <w:t>:</w:t>
            </w:r>
            <w:r>
              <w:rPr>
                <w:rFonts w:hint="eastAsia" w:ascii="Times New Roman" w:hAnsi="Times New Roman" w:eastAsia="宋体" w:cs="Times New Roman"/>
                <w:b w:val="0"/>
                <w:bCs w:val="0"/>
                <w:color w:val="auto"/>
                <w:sz w:val="24"/>
                <w:szCs w:val="24"/>
                <w:highlight w:val="none"/>
                <w:lang w:val="en-US" w:eastAsia="zh-CN"/>
              </w:rPr>
              <w:t>110</w:t>
            </w:r>
            <w:r>
              <w:rPr>
                <w:rFonts w:hint="default" w:ascii="Times New Roman" w:hAnsi="Times New Roman" w:eastAsia="宋体" w:cs="Times New Roman"/>
                <w:b w:val="0"/>
                <w:bCs w:val="0"/>
                <w:color w:val="auto"/>
                <w:sz w:val="24"/>
                <w:szCs w:val="24"/>
                <w:highlight w:val="none"/>
                <w:lang w:val="en-US" w:eastAsia="zh-CN"/>
              </w:rPr>
              <w:t>mg/L、NH</w:t>
            </w:r>
            <w:r>
              <w:rPr>
                <w:rFonts w:hint="default" w:ascii="Times New Roman" w:hAnsi="Times New Roman" w:eastAsia="宋体" w:cs="Times New Roman"/>
                <w:b w:val="0"/>
                <w:bCs w:val="0"/>
                <w:color w:val="auto"/>
                <w:sz w:val="24"/>
                <w:szCs w:val="24"/>
                <w:highlight w:val="none"/>
                <w:vertAlign w:val="subscript"/>
                <w:lang w:val="en-US" w:eastAsia="zh-CN"/>
              </w:rPr>
              <w:t>3</w:t>
            </w:r>
            <w:r>
              <w:rPr>
                <w:rFonts w:hint="default" w:ascii="Times New Roman" w:hAnsi="Times New Roman" w:eastAsia="宋体" w:cs="Times New Roman"/>
                <w:b w:val="0"/>
                <w:bCs w:val="0"/>
                <w:color w:val="auto"/>
                <w:sz w:val="24"/>
                <w:szCs w:val="24"/>
                <w:highlight w:val="none"/>
                <w:lang w:val="en-US" w:eastAsia="zh-CN"/>
              </w:rPr>
              <w:t>-N：</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宋体" w:cs="Times New Roman"/>
                <w:b w:val="0"/>
                <w:bCs w:val="0"/>
                <w:color w:val="auto"/>
                <w:sz w:val="24"/>
                <w:szCs w:val="24"/>
                <w:highlight w:val="none"/>
                <w:lang w:val="en-US" w:eastAsia="zh-CN"/>
              </w:rPr>
              <w:t>mg/L、SS：</w:t>
            </w:r>
            <w:r>
              <w:rPr>
                <w:rFonts w:hint="eastAsia" w:ascii="Times New Roman" w:hAnsi="Times New Roman" w:eastAsia="宋体" w:cs="Times New Roman"/>
                <w:b w:val="0"/>
                <w:bCs w:val="0"/>
                <w:color w:val="auto"/>
                <w:sz w:val="24"/>
                <w:szCs w:val="24"/>
                <w:highlight w:val="none"/>
                <w:lang w:val="en-US" w:eastAsia="zh-CN"/>
              </w:rPr>
              <w:t>100</w:t>
            </w:r>
            <w:r>
              <w:rPr>
                <w:rFonts w:hint="default" w:ascii="Times New Roman" w:hAnsi="Times New Roman" w:eastAsia="宋体" w:cs="Times New Roman"/>
                <w:b w:val="0"/>
                <w:bCs w:val="0"/>
                <w:color w:val="auto"/>
                <w:sz w:val="24"/>
                <w:szCs w:val="24"/>
                <w:highlight w:val="none"/>
                <w:lang w:val="en-US" w:eastAsia="zh-CN"/>
              </w:rPr>
              <w:t>mg/L。参考环评手册中《常用污水处理设备及去除率》，化粪池对生活污水中COD、BOD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、SS、NH3-N的处理效率分别为20%、15%、30%、0%，则生活污水中各污染物产排情况详见表4.</w:t>
            </w:r>
            <w:r>
              <w:rPr>
                <w:rFonts w:hint="eastAsia"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w:t>
            </w:r>
            <w:r>
              <w:rPr>
                <w:rFonts w:hint="eastAsia"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w:t>
            </w:r>
            <w:bookmarkEnd w:id="92"/>
            <w:bookmarkEnd w:id="93"/>
            <w:bookmarkEnd w:id="94"/>
          </w:p>
          <w:p w14:paraId="6F722C2B">
            <w:pPr>
              <w:pStyle w:val="53"/>
              <w:keepNext w:val="0"/>
              <w:keepLines w:val="0"/>
              <w:pageBreakBefore w:val="0"/>
              <w:widowControl w:val="0"/>
              <w:kinsoku/>
              <w:wordWrap/>
              <w:overflowPunct/>
              <w:topLinePunct w:val="0"/>
              <w:autoSpaceDE/>
              <w:autoSpaceDN/>
              <w:bidi w:val="0"/>
              <w:adjustRightInd w:val="0"/>
              <w:snapToGrid w:val="0"/>
              <w:spacing w:before="163" w:beforeLines="5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表4.</w:t>
            </w:r>
            <w:r>
              <w:rPr>
                <w:rFonts w:hint="eastAsia"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生活污水</w:t>
            </w:r>
            <w:r>
              <w:rPr>
                <w:rFonts w:hint="default" w:ascii="Times New Roman" w:hAnsi="Times New Roman" w:eastAsia="宋体" w:cs="Times New Roman"/>
                <w:color w:val="auto"/>
                <w:sz w:val="24"/>
                <w:szCs w:val="24"/>
                <w:highlight w:val="none"/>
                <w:lang w:val="en-US" w:eastAsia="zh-CN"/>
              </w:rPr>
              <w:t>污染物产生及排放情况一览表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3804"/>
              <w:gridCol w:w="951"/>
              <w:gridCol w:w="862"/>
              <w:gridCol w:w="979"/>
              <w:gridCol w:w="826"/>
            </w:tblGrid>
            <w:tr w14:paraId="39A7C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74" w:type="pct"/>
                  <w:tcBorders>
                    <w:tl2br w:val="nil"/>
                    <w:tr2bl w:val="nil"/>
                  </w:tcBorders>
                  <w:noWrap w:val="0"/>
                  <w:vAlign w:val="center"/>
                </w:tcPr>
                <w:p w14:paraId="75B301B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废水量</w:t>
                  </w:r>
                </w:p>
              </w:tc>
              <w:tc>
                <w:tcPr>
                  <w:tcW w:w="2176" w:type="pct"/>
                  <w:tcBorders>
                    <w:tl2br w:val="nil"/>
                    <w:tr2bl w:val="nil"/>
                  </w:tcBorders>
                  <w:noWrap w:val="0"/>
                  <w:vAlign w:val="center"/>
                </w:tcPr>
                <w:p w14:paraId="58A7558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w:t>
                  </w:r>
                </w:p>
              </w:tc>
              <w:tc>
                <w:tcPr>
                  <w:tcW w:w="564" w:type="pct"/>
                  <w:tcBorders>
                    <w:tl2br w:val="nil"/>
                    <w:tr2bl w:val="nil"/>
                  </w:tcBorders>
                  <w:noWrap w:val="0"/>
                  <w:vAlign w:val="center"/>
                </w:tcPr>
                <w:p w14:paraId="1898B15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COD</w:t>
                  </w:r>
                  <w:r>
                    <w:rPr>
                      <w:rFonts w:hint="default" w:ascii="Times New Roman" w:hAnsi="Times New Roman" w:eastAsia="宋体" w:cs="Times New Roman"/>
                      <w:color w:val="auto"/>
                      <w:sz w:val="21"/>
                      <w:szCs w:val="21"/>
                      <w:vertAlign w:val="subscript"/>
                      <w:lang w:val="en-US" w:eastAsia="zh-CN"/>
                    </w:rPr>
                    <w:t>cr</w:t>
                  </w:r>
                </w:p>
              </w:tc>
              <w:tc>
                <w:tcPr>
                  <w:tcW w:w="513" w:type="pct"/>
                  <w:tcBorders>
                    <w:tl2br w:val="nil"/>
                    <w:tr2bl w:val="nil"/>
                  </w:tcBorders>
                  <w:noWrap w:val="0"/>
                  <w:vAlign w:val="center"/>
                </w:tcPr>
                <w:p w14:paraId="12F9183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BOD</w:t>
                  </w:r>
                  <w:r>
                    <w:rPr>
                      <w:rFonts w:hint="default" w:ascii="Times New Roman" w:hAnsi="Times New Roman" w:eastAsia="宋体" w:cs="Times New Roman"/>
                      <w:color w:val="auto"/>
                      <w:sz w:val="21"/>
                      <w:szCs w:val="21"/>
                      <w:vertAlign w:val="subscript"/>
                      <w:lang w:val="en-US" w:eastAsia="zh-CN"/>
                    </w:rPr>
                    <w:t>5</w:t>
                  </w:r>
                </w:p>
              </w:tc>
              <w:tc>
                <w:tcPr>
                  <w:tcW w:w="579" w:type="pct"/>
                  <w:tcBorders>
                    <w:tl2br w:val="nil"/>
                    <w:tr2bl w:val="nil"/>
                  </w:tcBorders>
                  <w:noWrap w:val="0"/>
                  <w:vAlign w:val="center"/>
                </w:tcPr>
                <w:p w14:paraId="62FD287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SS</w:t>
                  </w:r>
                </w:p>
              </w:tc>
              <w:tc>
                <w:tcPr>
                  <w:tcW w:w="491" w:type="pct"/>
                  <w:tcBorders>
                    <w:tl2br w:val="nil"/>
                    <w:tr2bl w:val="nil"/>
                  </w:tcBorders>
                  <w:noWrap w:val="0"/>
                  <w:vAlign w:val="center"/>
                </w:tcPr>
                <w:p w14:paraId="089C0335">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vertAlign w:val="baseline"/>
                      <w:lang w:val="en-US" w:eastAsia="zh-CN"/>
                    </w:rPr>
                    <w:t>-N</w:t>
                  </w:r>
                </w:p>
              </w:tc>
            </w:tr>
            <w:tr w14:paraId="08AAD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674" w:type="pct"/>
                  <w:vMerge w:val="restart"/>
                  <w:tcBorders>
                    <w:tl2br w:val="nil"/>
                    <w:tr2bl w:val="nil"/>
                  </w:tcBorders>
                  <w:noWrap w:val="0"/>
                  <w:vAlign w:val="center"/>
                </w:tcPr>
                <w:p w14:paraId="2BE04E0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生活</w:t>
                  </w:r>
                  <w:r>
                    <w:rPr>
                      <w:rFonts w:hint="eastAsia" w:ascii="Times New Roman" w:hAnsi="Times New Roman" w:eastAsia="宋体" w:cs="Times New Roman"/>
                      <w:color w:val="auto"/>
                      <w:sz w:val="21"/>
                      <w:szCs w:val="21"/>
                      <w:vertAlign w:val="baseline"/>
                      <w:lang w:val="en-US" w:eastAsia="zh-CN"/>
                    </w:rPr>
                    <w:t>用水</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1277.5</w:t>
                  </w:r>
                  <w:r>
                    <w:rPr>
                      <w:rFonts w:hint="default" w:ascii="Times New Roman" w:hAnsi="Times New Roman" w:eastAsia="宋体" w:cs="Times New Roman"/>
                      <w:color w:val="auto"/>
                      <w:sz w:val="21"/>
                      <w:szCs w:val="21"/>
                      <w:vertAlign w:val="baseline"/>
                      <w:lang w:val="en-US" w:eastAsia="zh-CN"/>
                    </w:rPr>
                    <w:t>t/a）</w:t>
                  </w:r>
                </w:p>
              </w:tc>
              <w:tc>
                <w:tcPr>
                  <w:tcW w:w="2176" w:type="pct"/>
                  <w:tcBorders>
                    <w:tl2br w:val="nil"/>
                    <w:tr2bl w:val="nil"/>
                  </w:tcBorders>
                  <w:noWrap w:val="0"/>
                  <w:vAlign w:val="center"/>
                </w:tcPr>
                <w:p w14:paraId="41FDBF7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污染物产生浓度（mg/L）</w:t>
                  </w:r>
                </w:p>
              </w:tc>
              <w:tc>
                <w:tcPr>
                  <w:tcW w:w="564" w:type="pct"/>
                  <w:tcBorders>
                    <w:tl2br w:val="nil"/>
                    <w:tr2bl w:val="nil"/>
                  </w:tcBorders>
                  <w:noWrap w:val="0"/>
                  <w:vAlign w:val="center"/>
                </w:tcPr>
                <w:p w14:paraId="3D08014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250</w:t>
                  </w:r>
                </w:p>
              </w:tc>
              <w:tc>
                <w:tcPr>
                  <w:tcW w:w="513" w:type="pct"/>
                  <w:tcBorders>
                    <w:tl2br w:val="nil"/>
                    <w:tr2bl w:val="nil"/>
                  </w:tcBorders>
                  <w:noWrap w:val="0"/>
                  <w:vAlign w:val="center"/>
                </w:tcPr>
                <w:p w14:paraId="1DDA30D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w:t>
                  </w:r>
                </w:p>
              </w:tc>
              <w:tc>
                <w:tcPr>
                  <w:tcW w:w="579" w:type="pct"/>
                  <w:tcBorders>
                    <w:tl2br w:val="nil"/>
                    <w:tr2bl w:val="nil"/>
                  </w:tcBorders>
                  <w:noWrap w:val="0"/>
                  <w:vAlign w:val="center"/>
                </w:tcPr>
                <w:p w14:paraId="0E4FA03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c>
                <w:tcPr>
                  <w:tcW w:w="491" w:type="pct"/>
                  <w:tcBorders>
                    <w:tl2br w:val="nil"/>
                    <w:tr2bl w:val="nil"/>
                  </w:tcBorders>
                  <w:noWrap w:val="0"/>
                  <w:vAlign w:val="center"/>
                </w:tcPr>
                <w:p w14:paraId="3581850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r>
            <w:tr w14:paraId="587C9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674" w:type="pct"/>
                  <w:vMerge w:val="continue"/>
                  <w:tcBorders>
                    <w:tl2br w:val="nil"/>
                    <w:tr2bl w:val="nil"/>
                  </w:tcBorders>
                  <w:noWrap w:val="0"/>
                  <w:vAlign w:val="center"/>
                </w:tcPr>
                <w:p w14:paraId="6B22789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176" w:type="pct"/>
                  <w:tcBorders>
                    <w:tl2br w:val="nil"/>
                    <w:tr2bl w:val="nil"/>
                  </w:tcBorders>
                  <w:noWrap w:val="0"/>
                  <w:vAlign w:val="center"/>
                </w:tcPr>
                <w:p w14:paraId="1AAD332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污染物产生量（t/a）</w:t>
                  </w:r>
                </w:p>
              </w:tc>
              <w:tc>
                <w:tcPr>
                  <w:tcW w:w="564" w:type="pct"/>
                  <w:tcBorders>
                    <w:tl2br w:val="nil"/>
                    <w:tr2bl w:val="nil"/>
                  </w:tcBorders>
                  <w:noWrap w:val="0"/>
                  <w:vAlign w:val="center"/>
                </w:tcPr>
                <w:p w14:paraId="6AB8AB5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0.319</w:t>
                  </w:r>
                </w:p>
              </w:tc>
              <w:tc>
                <w:tcPr>
                  <w:tcW w:w="513" w:type="pct"/>
                  <w:tcBorders>
                    <w:tl2br w:val="nil"/>
                    <w:tr2bl w:val="nil"/>
                  </w:tcBorders>
                  <w:noWrap w:val="0"/>
                  <w:vAlign w:val="center"/>
                </w:tcPr>
                <w:p w14:paraId="3986D10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0.141</w:t>
                  </w:r>
                </w:p>
              </w:tc>
              <w:tc>
                <w:tcPr>
                  <w:tcW w:w="579" w:type="pct"/>
                  <w:tcBorders>
                    <w:tl2br w:val="nil"/>
                    <w:tr2bl w:val="nil"/>
                  </w:tcBorders>
                  <w:noWrap w:val="0"/>
                  <w:vAlign w:val="center"/>
                </w:tcPr>
                <w:p w14:paraId="42E919C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0.128</w:t>
                  </w:r>
                </w:p>
              </w:tc>
              <w:tc>
                <w:tcPr>
                  <w:tcW w:w="491" w:type="pct"/>
                  <w:tcBorders>
                    <w:tl2br w:val="nil"/>
                    <w:tr2bl w:val="nil"/>
                  </w:tcBorders>
                  <w:noWrap w:val="0"/>
                  <w:vAlign w:val="center"/>
                </w:tcPr>
                <w:p w14:paraId="126B0D4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0.031</w:t>
                  </w:r>
                </w:p>
              </w:tc>
            </w:tr>
            <w:tr w14:paraId="07DD6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674" w:type="pct"/>
                  <w:tcBorders>
                    <w:tl2br w:val="nil"/>
                    <w:tr2bl w:val="nil"/>
                  </w:tcBorders>
                  <w:noWrap w:val="0"/>
                  <w:vAlign w:val="center"/>
                </w:tcPr>
                <w:p w14:paraId="3931790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处理措施</w:t>
                  </w:r>
                </w:p>
              </w:tc>
              <w:tc>
                <w:tcPr>
                  <w:tcW w:w="4325" w:type="pct"/>
                  <w:gridSpan w:val="5"/>
                  <w:tcBorders>
                    <w:tl2br w:val="nil"/>
                    <w:tr2bl w:val="nil"/>
                  </w:tcBorders>
                  <w:noWrap w:val="0"/>
                  <w:vAlign w:val="center"/>
                </w:tcPr>
                <w:p w14:paraId="07C5791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依托厂区现有的化粪池处理达标后排入市政污水管网，最终进入</w:t>
                  </w:r>
                  <w:r>
                    <w:rPr>
                      <w:rFonts w:hint="eastAsia" w:eastAsia="宋体" w:cs="Times New Roman"/>
                      <w:color w:val="auto"/>
                      <w:sz w:val="21"/>
                      <w:szCs w:val="21"/>
                      <w:lang w:val="en-US" w:eastAsia="zh-CN"/>
                    </w:rPr>
                    <w:t>福清市融元污水处理厂</w:t>
                  </w:r>
                  <w:r>
                    <w:rPr>
                      <w:rFonts w:hint="eastAsia" w:ascii="Times New Roman" w:hAnsi="Times New Roman" w:eastAsia="宋体" w:cs="Times New Roman"/>
                      <w:color w:val="auto"/>
                      <w:sz w:val="21"/>
                      <w:szCs w:val="21"/>
                      <w:highlight w:val="none"/>
                      <w:vertAlign w:val="baseline"/>
                      <w:lang w:val="en-US" w:eastAsia="zh-CN"/>
                    </w:rPr>
                    <w:t>进行处理</w:t>
                  </w:r>
                </w:p>
              </w:tc>
            </w:tr>
            <w:tr w14:paraId="4652A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674" w:type="pct"/>
                  <w:vMerge w:val="restart"/>
                  <w:tcBorders>
                    <w:tl2br w:val="nil"/>
                    <w:tr2bl w:val="nil"/>
                  </w:tcBorders>
                  <w:noWrap w:val="0"/>
                  <w:vAlign w:val="center"/>
                </w:tcPr>
                <w:p w14:paraId="20B0FE7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生活污水（</w:t>
                  </w:r>
                  <w:r>
                    <w:rPr>
                      <w:rFonts w:hint="eastAsia" w:ascii="Times New Roman" w:hAnsi="Times New Roman" w:eastAsia="宋体" w:cs="Times New Roman"/>
                      <w:color w:val="auto"/>
                      <w:sz w:val="21"/>
                      <w:szCs w:val="21"/>
                      <w:vertAlign w:val="baseline"/>
                      <w:lang w:val="en-US" w:eastAsia="zh-CN"/>
                    </w:rPr>
                    <w:t>1022</w:t>
                  </w:r>
                  <w:r>
                    <w:rPr>
                      <w:rFonts w:hint="default" w:ascii="Times New Roman" w:hAnsi="Times New Roman" w:eastAsia="宋体" w:cs="Times New Roman"/>
                      <w:color w:val="auto"/>
                      <w:sz w:val="21"/>
                      <w:szCs w:val="21"/>
                      <w:vertAlign w:val="baseline"/>
                      <w:lang w:val="en-US" w:eastAsia="zh-CN"/>
                    </w:rPr>
                    <w:t>t/a）</w:t>
                  </w:r>
                </w:p>
              </w:tc>
              <w:tc>
                <w:tcPr>
                  <w:tcW w:w="2176" w:type="pct"/>
                  <w:tcBorders>
                    <w:tl2br w:val="nil"/>
                    <w:tr2bl w:val="nil"/>
                  </w:tcBorders>
                  <w:noWrap w:val="0"/>
                  <w:vAlign w:val="center"/>
                </w:tcPr>
                <w:p w14:paraId="096A6E5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化粪池处理效率</w:t>
                  </w:r>
                </w:p>
              </w:tc>
              <w:tc>
                <w:tcPr>
                  <w:tcW w:w="564" w:type="pct"/>
                  <w:tcBorders>
                    <w:tl2br w:val="nil"/>
                    <w:tr2bl w:val="nil"/>
                  </w:tcBorders>
                  <w:noWrap w:val="0"/>
                  <w:vAlign w:val="center"/>
                </w:tcPr>
                <w:p w14:paraId="427CC39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13" w:type="pct"/>
                  <w:tcBorders>
                    <w:tl2br w:val="nil"/>
                    <w:tr2bl w:val="nil"/>
                  </w:tcBorders>
                  <w:noWrap w:val="0"/>
                  <w:vAlign w:val="center"/>
                </w:tcPr>
                <w:p w14:paraId="53B8F87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579" w:type="pct"/>
                  <w:tcBorders>
                    <w:tl2br w:val="nil"/>
                    <w:tr2bl w:val="nil"/>
                  </w:tcBorders>
                  <w:noWrap w:val="0"/>
                  <w:vAlign w:val="center"/>
                </w:tcPr>
                <w:p w14:paraId="68ABE564">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w:t>
                  </w:r>
                </w:p>
              </w:tc>
              <w:tc>
                <w:tcPr>
                  <w:tcW w:w="491" w:type="pct"/>
                  <w:tcBorders>
                    <w:tl2br w:val="nil"/>
                    <w:tr2bl w:val="nil"/>
                  </w:tcBorders>
                  <w:noWrap w:val="0"/>
                  <w:vAlign w:val="center"/>
                </w:tcPr>
                <w:p w14:paraId="5C4B947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11710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674" w:type="pct"/>
                  <w:vMerge w:val="continue"/>
                  <w:tcBorders>
                    <w:tl2br w:val="nil"/>
                    <w:tr2bl w:val="nil"/>
                  </w:tcBorders>
                  <w:noWrap w:val="0"/>
                  <w:vAlign w:val="center"/>
                </w:tcPr>
                <w:p w14:paraId="672589AA">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176" w:type="pct"/>
                  <w:tcBorders>
                    <w:tl2br w:val="nil"/>
                    <w:tr2bl w:val="nil"/>
                  </w:tcBorders>
                  <w:noWrap w:val="0"/>
                  <w:vAlign w:val="center"/>
                </w:tcPr>
                <w:p w14:paraId="4FC43B4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经化粪池处理后废水排放浓度（mg/L）</w:t>
                  </w:r>
                </w:p>
              </w:tc>
              <w:tc>
                <w:tcPr>
                  <w:tcW w:w="564" w:type="pct"/>
                  <w:tcBorders>
                    <w:tl2br w:val="nil"/>
                    <w:tr2bl w:val="nil"/>
                  </w:tcBorders>
                  <w:noWrap w:val="0"/>
                  <w:vAlign w:val="center"/>
                </w:tcPr>
                <w:p w14:paraId="1552480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w:t>
                  </w:r>
                </w:p>
              </w:tc>
              <w:tc>
                <w:tcPr>
                  <w:tcW w:w="513" w:type="pct"/>
                  <w:tcBorders>
                    <w:tl2br w:val="nil"/>
                    <w:tr2bl w:val="nil"/>
                  </w:tcBorders>
                  <w:noWrap w:val="0"/>
                  <w:vAlign w:val="center"/>
                </w:tcPr>
                <w:p w14:paraId="0DADB2E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93.5</w:t>
                  </w:r>
                </w:p>
              </w:tc>
              <w:tc>
                <w:tcPr>
                  <w:tcW w:w="579" w:type="pct"/>
                  <w:tcBorders>
                    <w:tl2br w:val="nil"/>
                    <w:tr2bl w:val="nil"/>
                  </w:tcBorders>
                  <w:noWrap w:val="0"/>
                  <w:vAlign w:val="center"/>
                </w:tcPr>
                <w:p w14:paraId="60198669">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491" w:type="pct"/>
                  <w:tcBorders>
                    <w:tl2br w:val="nil"/>
                    <w:tr2bl w:val="nil"/>
                  </w:tcBorders>
                  <w:noWrap w:val="0"/>
                  <w:vAlign w:val="center"/>
                </w:tcPr>
                <w:p w14:paraId="0B30D1C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r>
            <w:tr w14:paraId="7454D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4" w:type="pct"/>
                  <w:vMerge w:val="continue"/>
                  <w:tcBorders>
                    <w:tl2br w:val="nil"/>
                    <w:tr2bl w:val="nil"/>
                  </w:tcBorders>
                  <w:noWrap w:val="0"/>
                  <w:vAlign w:val="center"/>
                </w:tcPr>
                <w:p w14:paraId="0736783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176" w:type="pct"/>
                  <w:tcBorders>
                    <w:tl2br w:val="nil"/>
                    <w:tr2bl w:val="nil"/>
                  </w:tcBorders>
                  <w:noWrap w:val="0"/>
                  <w:vAlign w:val="center"/>
                </w:tcPr>
                <w:p w14:paraId="541ECEE2">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经化粪池处理后废水排放量（t/a）</w:t>
                  </w:r>
                </w:p>
              </w:tc>
              <w:tc>
                <w:tcPr>
                  <w:tcW w:w="564" w:type="pct"/>
                  <w:tcBorders>
                    <w:tl2br w:val="nil"/>
                    <w:tr2bl w:val="nil"/>
                  </w:tcBorders>
                  <w:noWrap w:val="0"/>
                  <w:vAlign w:val="center"/>
                </w:tcPr>
                <w:p w14:paraId="430F73C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0.204</w:t>
                  </w:r>
                </w:p>
              </w:tc>
              <w:tc>
                <w:tcPr>
                  <w:tcW w:w="513" w:type="pct"/>
                  <w:tcBorders>
                    <w:tl2br w:val="nil"/>
                    <w:tr2bl w:val="nil"/>
                  </w:tcBorders>
                  <w:noWrap w:val="0"/>
                  <w:vAlign w:val="center"/>
                </w:tcPr>
                <w:p w14:paraId="5DD18003">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0.096</w:t>
                  </w:r>
                </w:p>
              </w:tc>
              <w:tc>
                <w:tcPr>
                  <w:tcW w:w="579" w:type="pct"/>
                  <w:tcBorders>
                    <w:tl2br w:val="nil"/>
                    <w:tr2bl w:val="nil"/>
                  </w:tcBorders>
                  <w:noWrap w:val="0"/>
                  <w:vAlign w:val="center"/>
                </w:tcPr>
                <w:p w14:paraId="1AE255B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0.072</w:t>
                  </w:r>
                </w:p>
              </w:tc>
              <w:tc>
                <w:tcPr>
                  <w:tcW w:w="491" w:type="pct"/>
                  <w:tcBorders>
                    <w:tl2br w:val="nil"/>
                    <w:tr2bl w:val="nil"/>
                  </w:tcBorders>
                  <w:noWrap w:val="0"/>
                  <w:vAlign w:val="center"/>
                </w:tcPr>
                <w:p w14:paraId="30BCAA61">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0.025</w:t>
                  </w:r>
                </w:p>
              </w:tc>
            </w:tr>
            <w:tr w14:paraId="467B6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850" w:type="pct"/>
                  <w:gridSpan w:val="2"/>
                  <w:tcBorders>
                    <w:tl2br w:val="nil"/>
                    <w:tr2bl w:val="nil"/>
                  </w:tcBorders>
                  <w:noWrap w:val="0"/>
                  <w:vAlign w:val="center"/>
                </w:tcPr>
                <w:p w14:paraId="15A76D1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lang w:val="en-US" w:eastAsia="zh-CN"/>
                    </w:rPr>
                    <w:t>福清市融元污水处理厂</w:t>
                  </w:r>
                  <w:r>
                    <w:rPr>
                      <w:rFonts w:hint="default" w:ascii="Times New Roman" w:hAnsi="Times New Roman" w:eastAsia="宋体" w:cs="Times New Roman"/>
                      <w:color w:val="auto"/>
                      <w:sz w:val="21"/>
                      <w:szCs w:val="21"/>
                      <w:vertAlign w:val="baseline"/>
                      <w:lang w:val="en-US" w:eastAsia="zh-CN"/>
                    </w:rPr>
                    <w:t>纳污指</w:t>
                  </w:r>
                  <w:r>
                    <w:rPr>
                      <w:rFonts w:hint="eastAsia" w:ascii="Times New Roman" w:hAnsi="Times New Roman" w:eastAsia="宋体" w:cs="Times New Roman"/>
                      <w:color w:val="auto"/>
                      <w:sz w:val="21"/>
                      <w:szCs w:val="21"/>
                      <w:vertAlign w:val="baseline"/>
                      <w:lang w:val="en-US" w:eastAsia="zh-CN"/>
                    </w:rPr>
                    <w:t>标（</w:t>
                  </w:r>
                  <w:r>
                    <w:rPr>
                      <w:rFonts w:hint="default" w:ascii="Times New Roman" w:hAnsi="Times New Roman" w:eastAsia="宋体" w:cs="Times New Roman"/>
                      <w:color w:val="auto"/>
                      <w:sz w:val="21"/>
                      <w:szCs w:val="21"/>
                      <w:vertAlign w:val="baseline"/>
                      <w:lang w:val="en-US" w:eastAsia="zh-CN"/>
                    </w:rPr>
                    <w:t>mg/L</w:t>
                  </w:r>
                  <w:r>
                    <w:rPr>
                      <w:rFonts w:hint="eastAsia" w:ascii="Times New Roman" w:hAnsi="Times New Roman" w:eastAsia="宋体" w:cs="Times New Roman"/>
                      <w:color w:val="auto"/>
                      <w:sz w:val="21"/>
                      <w:szCs w:val="21"/>
                      <w:vertAlign w:val="baseline"/>
                      <w:lang w:val="en-US" w:eastAsia="zh-CN"/>
                    </w:rPr>
                    <w:t>）</w:t>
                  </w:r>
                </w:p>
              </w:tc>
              <w:tc>
                <w:tcPr>
                  <w:tcW w:w="564" w:type="pct"/>
                  <w:tcBorders>
                    <w:tl2br w:val="nil"/>
                    <w:tr2bl w:val="nil"/>
                  </w:tcBorders>
                  <w:noWrap w:val="0"/>
                  <w:vAlign w:val="center"/>
                </w:tcPr>
                <w:p w14:paraId="79BE219D">
                  <w:pPr>
                    <w:keepNext w:val="0"/>
                    <w:keepLines w:val="0"/>
                    <w:pageBreakBefore w:val="0"/>
                    <w:widowControl/>
                    <w:suppressLineNumbers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0"/>
                      <w:szCs w:val="20"/>
                      <w:lang w:val="en-US" w:eastAsia="zh-CN" w:bidi="ar"/>
                    </w:rPr>
                    <w:t>≤</w:t>
                  </w:r>
                  <w:r>
                    <w:rPr>
                      <w:rFonts w:hint="eastAsia" w:eastAsia="宋体" w:cs="Times New Roman"/>
                      <w:color w:val="auto"/>
                      <w:kern w:val="0"/>
                      <w:sz w:val="20"/>
                      <w:szCs w:val="20"/>
                      <w:lang w:val="en-US" w:eastAsia="zh-CN" w:bidi="ar"/>
                    </w:rPr>
                    <w:t>400</w:t>
                  </w:r>
                </w:p>
              </w:tc>
              <w:tc>
                <w:tcPr>
                  <w:tcW w:w="513" w:type="pct"/>
                  <w:tcBorders>
                    <w:tl2br w:val="nil"/>
                    <w:tr2bl w:val="nil"/>
                  </w:tcBorders>
                  <w:noWrap w:val="0"/>
                  <w:vAlign w:val="center"/>
                </w:tcPr>
                <w:p w14:paraId="135FF740">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0"/>
                      <w:szCs w:val="20"/>
                      <w:lang w:val="en-US" w:eastAsia="zh-CN" w:bidi="ar"/>
                    </w:rPr>
                    <w:t>≤</w:t>
                  </w:r>
                  <w:r>
                    <w:rPr>
                      <w:rFonts w:hint="eastAsia" w:ascii="Times New Roman" w:hAnsi="Times New Roman" w:eastAsia="宋体" w:cs="Times New Roman"/>
                      <w:color w:val="auto"/>
                      <w:kern w:val="0"/>
                      <w:sz w:val="20"/>
                      <w:szCs w:val="20"/>
                      <w:lang w:val="en-US" w:eastAsia="zh-CN" w:bidi="ar"/>
                    </w:rPr>
                    <w:t>220</w:t>
                  </w:r>
                </w:p>
              </w:tc>
              <w:tc>
                <w:tcPr>
                  <w:tcW w:w="579" w:type="pct"/>
                  <w:tcBorders>
                    <w:tl2br w:val="nil"/>
                    <w:tr2bl w:val="nil"/>
                  </w:tcBorders>
                  <w:noWrap w:val="0"/>
                  <w:vAlign w:val="center"/>
                </w:tcPr>
                <w:p w14:paraId="6F23F49D">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0"/>
                      <w:szCs w:val="20"/>
                      <w:lang w:val="en-US" w:eastAsia="zh-CN" w:bidi="ar"/>
                    </w:rPr>
                    <w:t>≤2</w:t>
                  </w:r>
                  <w:r>
                    <w:rPr>
                      <w:rFonts w:hint="eastAsia" w:ascii="Times New Roman" w:hAnsi="Times New Roman" w:eastAsia="宋体" w:cs="Times New Roman"/>
                      <w:color w:val="auto"/>
                      <w:kern w:val="0"/>
                      <w:sz w:val="20"/>
                      <w:szCs w:val="20"/>
                      <w:lang w:val="en-US" w:eastAsia="zh-CN" w:bidi="ar"/>
                    </w:rPr>
                    <w:t>8</w:t>
                  </w:r>
                  <w:r>
                    <w:rPr>
                      <w:rFonts w:hint="default" w:ascii="Times New Roman" w:hAnsi="Times New Roman" w:eastAsia="宋体" w:cs="Times New Roman"/>
                      <w:color w:val="auto"/>
                      <w:kern w:val="0"/>
                      <w:sz w:val="20"/>
                      <w:szCs w:val="20"/>
                      <w:lang w:val="en-US" w:eastAsia="zh-CN" w:bidi="ar"/>
                    </w:rPr>
                    <w:t>0</w:t>
                  </w:r>
                </w:p>
              </w:tc>
              <w:tc>
                <w:tcPr>
                  <w:tcW w:w="491" w:type="pct"/>
                  <w:tcBorders>
                    <w:tl2br w:val="nil"/>
                    <w:tr2bl w:val="nil"/>
                  </w:tcBorders>
                  <w:noWrap w:val="0"/>
                  <w:vAlign w:val="center"/>
                </w:tcPr>
                <w:p w14:paraId="65D0F967">
                  <w:pPr>
                    <w:keepNext w:val="0"/>
                    <w:keepLines w:val="0"/>
                    <w:pageBreakBefore w:val="0"/>
                    <w:widowControl/>
                    <w:suppressLineNumbers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0"/>
                      <w:szCs w:val="20"/>
                      <w:lang w:val="en-US" w:eastAsia="zh-CN" w:bidi="ar"/>
                    </w:rPr>
                    <w:t>≤</w:t>
                  </w:r>
                  <w:r>
                    <w:rPr>
                      <w:rFonts w:hint="eastAsia" w:eastAsia="宋体" w:cs="Times New Roman"/>
                      <w:color w:val="auto"/>
                      <w:kern w:val="0"/>
                      <w:sz w:val="20"/>
                      <w:szCs w:val="20"/>
                      <w:lang w:val="en-US" w:eastAsia="zh-CN" w:bidi="ar"/>
                    </w:rPr>
                    <w:t>37</w:t>
                  </w:r>
                </w:p>
              </w:tc>
            </w:tr>
            <w:tr w14:paraId="5A4AE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850" w:type="pct"/>
                  <w:gridSpan w:val="2"/>
                  <w:tcBorders>
                    <w:tl2br w:val="nil"/>
                    <w:tr2bl w:val="nil"/>
                  </w:tcBorders>
                  <w:noWrap w:val="0"/>
                  <w:vAlign w:val="center"/>
                </w:tcPr>
                <w:p w14:paraId="2738A4C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lang w:val="en-US" w:eastAsia="zh-CN"/>
                    </w:rPr>
                    <w:t>福清市融元污水处理厂</w:t>
                  </w:r>
                  <w:r>
                    <w:rPr>
                      <w:rFonts w:hint="eastAsia" w:ascii="Times New Roman" w:hAnsi="Times New Roman" w:eastAsia="宋体" w:cs="Times New Roman"/>
                      <w:color w:val="auto"/>
                      <w:sz w:val="21"/>
                      <w:szCs w:val="21"/>
                      <w:vertAlign w:val="baseline"/>
                      <w:lang w:val="en-US" w:eastAsia="zh-CN"/>
                    </w:rPr>
                    <w:t>尾水排放指标（</w:t>
                  </w:r>
                  <w:r>
                    <w:rPr>
                      <w:rFonts w:hint="default" w:ascii="Times New Roman" w:hAnsi="Times New Roman" w:eastAsia="宋体" w:cs="Times New Roman"/>
                      <w:color w:val="auto"/>
                      <w:sz w:val="21"/>
                      <w:szCs w:val="21"/>
                      <w:vertAlign w:val="baseline"/>
                      <w:lang w:val="en-US" w:eastAsia="zh-CN"/>
                    </w:rPr>
                    <w:t>mg/L</w:t>
                  </w:r>
                  <w:r>
                    <w:rPr>
                      <w:rFonts w:hint="eastAsia" w:ascii="Times New Roman" w:hAnsi="Times New Roman" w:eastAsia="宋体" w:cs="Times New Roman"/>
                      <w:color w:val="auto"/>
                      <w:sz w:val="21"/>
                      <w:szCs w:val="21"/>
                      <w:vertAlign w:val="baseline"/>
                      <w:lang w:val="en-US" w:eastAsia="zh-CN"/>
                    </w:rPr>
                    <w:t>）</w:t>
                  </w:r>
                </w:p>
              </w:tc>
              <w:tc>
                <w:tcPr>
                  <w:tcW w:w="564" w:type="pct"/>
                  <w:tcBorders>
                    <w:tl2br w:val="nil"/>
                    <w:tr2bl w:val="nil"/>
                  </w:tcBorders>
                  <w:noWrap w:val="0"/>
                  <w:vAlign w:val="center"/>
                </w:tcPr>
                <w:p w14:paraId="749C9E8B">
                  <w:pPr>
                    <w:keepNext w:val="0"/>
                    <w:keepLines w:val="0"/>
                    <w:pageBreakBefore w:val="0"/>
                    <w:widowControl/>
                    <w:suppressLineNumbers w:val="0"/>
                    <w:kinsoku/>
                    <w:wordWrap/>
                    <w:overflowPunct/>
                    <w:topLinePunct w:val="0"/>
                    <w:autoSpaceDE/>
                    <w:autoSpaceDN/>
                    <w:bidi w:val="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0"/>
                      <w:szCs w:val="20"/>
                      <w:lang w:val="en-US" w:eastAsia="zh-CN" w:bidi="ar"/>
                    </w:rPr>
                    <w:t>≤</w:t>
                  </w:r>
                  <w:r>
                    <w:rPr>
                      <w:rFonts w:hint="eastAsia" w:eastAsia="宋体" w:cs="Times New Roman"/>
                      <w:color w:val="auto"/>
                      <w:kern w:val="0"/>
                      <w:sz w:val="20"/>
                      <w:szCs w:val="20"/>
                      <w:lang w:val="en-US" w:eastAsia="zh-CN" w:bidi="ar"/>
                    </w:rPr>
                    <w:t>50</w:t>
                  </w:r>
                </w:p>
              </w:tc>
              <w:tc>
                <w:tcPr>
                  <w:tcW w:w="513" w:type="pct"/>
                  <w:tcBorders>
                    <w:tl2br w:val="nil"/>
                    <w:tr2bl w:val="nil"/>
                  </w:tcBorders>
                  <w:noWrap w:val="0"/>
                  <w:vAlign w:val="center"/>
                </w:tcPr>
                <w:p w14:paraId="1AE10DE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0"/>
                      <w:szCs w:val="20"/>
                      <w:lang w:val="en-US" w:eastAsia="zh-CN" w:bidi="ar"/>
                    </w:rPr>
                    <w:t>≤</w:t>
                  </w:r>
                  <w:r>
                    <w:rPr>
                      <w:rFonts w:hint="eastAsia" w:ascii="Times New Roman" w:hAnsi="Times New Roman" w:eastAsia="宋体" w:cs="Times New Roman"/>
                      <w:color w:val="auto"/>
                      <w:kern w:val="0"/>
                      <w:sz w:val="20"/>
                      <w:szCs w:val="20"/>
                      <w:lang w:val="en-US" w:eastAsia="zh-CN" w:bidi="ar"/>
                    </w:rPr>
                    <w:t>10</w:t>
                  </w:r>
                </w:p>
              </w:tc>
              <w:tc>
                <w:tcPr>
                  <w:tcW w:w="579" w:type="pct"/>
                  <w:tcBorders>
                    <w:tl2br w:val="nil"/>
                    <w:tr2bl w:val="nil"/>
                  </w:tcBorders>
                  <w:noWrap w:val="0"/>
                  <w:vAlign w:val="center"/>
                </w:tcPr>
                <w:p w14:paraId="3CB7E7EF">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0"/>
                      <w:szCs w:val="20"/>
                      <w:lang w:val="en-US" w:eastAsia="zh-CN" w:bidi="ar"/>
                    </w:rPr>
                    <w:t>≤</w:t>
                  </w:r>
                  <w:r>
                    <w:rPr>
                      <w:rFonts w:hint="eastAsia" w:ascii="Times New Roman" w:hAnsi="Times New Roman" w:eastAsia="宋体" w:cs="Times New Roman"/>
                      <w:color w:val="auto"/>
                      <w:kern w:val="0"/>
                      <w:sz w:val="20"/>
                      <w:szCs w:val="20"/>
                      <w:lang w:val="en-US" w:eastAsia="zh-CN" w:bidi="ar"/>
                    </w:rPr>
                    <w:t>10</w:t>
                  </w:r>
                </w:p>
              </w:tc>
              <w:tc>
                <w:tcPr>
                  <w:tcW w:w="491" w:type="pct"/>
                  <w:tcBorders>
                    <w:tl2br w:val="nil"/>
                    <w:tr2bl w:val="nil"/>
                  </w:tcBorders>
                  <w:noWrap w:val="0"/>
                  <w:vAlign w:val="center"/>
                </w:tcPr>
                <w:p w14:paraId="0C8FF101">
                  <w:pPr>
                    <w:keepNext w:val="0"/>
                    <w:keepLines w:val="0"/>
                    <w:pageBreakBefore w:val="0"/>
                    <w:widowControl/>
                    <w:suppressLineNumbers w:val="0"/>
                    <w:kinsoku/>
                    <w:wordWrap/>
                    <w:overflowPunct/>
                    <w:topLinePunct w:val="0"/>
                    <w:autoSpaceDE/>
                    <w:autoSpaceDN/>
                    <w:bidi w:val="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0"/>
                      <w:szCs w:val="20"/>
                      <w:lang w:val="en-US" w:eastAsia="zh-CN" w:bidi="ar"/>
                    </w:rPr>
                    <w:t>≤</w:t>
                  </w:r>
                  <w:r>
                    <w:rPr>
                      <w:rFonts w:hint="eastAsia" w:eastAsia="宋体" w:cs="Times New Roman"/>
                      <w:color w:val="auto"/>
                      <w:kern w:val="0"/>
                      <w:sz w:val="20"/>
                      <w:szCs w:val="20"/>
                      <w:lang w:val="en-US" w:eastAsia="zh-CN" w:bidi="ar"/>
                    </w:rPr>
                    <w:t>5</w:t>
                  </w:r>
                </w:p>
              </w:tc>
            </w:tr>
            <w:tr w14:paraId="3CCF75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850" w:type="pct"/>
                  <w:gridSpan w:val="2"/>
                  <w:tcBorders>
                    <w:tl2br w:val="nil"/>
                    <w:tr2bl w:val="nil"/>
                  </w:tcBorders>
                  <w:noWrap w:val="0"/>
                  <w:vAlign w:val="center"/>
                </w:tcPr>
                <w:p w14:paraId="7693AC7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排口排放达标分析</w:t>
                  </w:r>
                </w:p>
              </w:tc>
              <w:tc>
                <w:tcPr>
                  <w:tcW w:w="564" w:type="pct"/>
                  <w:tcBorders>
                    <w:tl2br w:val="nil"/>
                    <w:tr2bl w:val="nil"/>
                  </w:tcBorders>
                  <w:noWrap w:val="0"/>
                  <w:vAlign w:val="center"/>
                </w:tcPr>
                <w:p w14:paraId="5AFE4F08">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达标</w:t>
                  </w:r>
                </w:p>
              </w:tc>
              <w:tc>
                <w:tcPr>
                  <w:tcW w:w="513" w:type="pct"/>
                  <w:tcBorders>
                    <w:tl2br w:val="nil"/>
                    <w:tr2bl w:val="nil"/>
                  </w:tcBorders>
                  <w:noWrap w:val="0"/>
                  <w:vAlign w:val="center"/>
                </w:tcPr>
                <w:p w14:paraId="1AD565CE">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达标</w:t>
                  </w:r>
                </w:p>
              </w:tc>
              <w:tc>
                <w:tcPr>
                  <w:tcW w:w="579" w:type="pct"/>
                  <w:tcBorders>
                    <w:tl2br w:val="nil"/>
                    <w:tr2bl w:val="nil"/>
                  </w:tcBorders>
                  <w:noWrap w:val="0"/>
                  <w:vAlign w:val="center"/>
                </w:tcPr>
                <w:p w14:paraId="62C3ACBB">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达标</w:t>
                  </w:r>
                </w:p>
              </w:tc>
              <w:tc>
                <w:tcPr>
                  <w:tcW w:w="491" w:type="pct"/>
                  <w:tcBorders>
                    <w:tl2br w:val="nil"/>
                    <w:tr2bl w:val="nil"/>
                  </w:tcBorders>
                  <w:noWrap w:val="0"/>
                  <w:vAlign w:val="center"/>
                </w:tcPr>
                <w:p w14:paraId="04E591D6">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达标</w:t>
                  </w:r>
                </w:p>
              </w:tc>
            </w:tr>
          </w:tbl>
          <w:p w14:paraId="487AEB35">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en-US" w:eastAsia="zh-CN"/>
              </w:rPr>
            </w:pPr>
            <w:bookmarkStart w:id="95" w:name="_Toc19668"/>
            <w:bookmarkStart w:id="96" w:name="_Toc16893"/>
            <w:bookmarkStart w:id="97" w:name="_Toc14541"/>
          </w:p>
          <w:p w14:paraId="54BB0814">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US" w:eastAsia="zh-CN"/>
              </w:rPr>
            </w:pPr>
            <w:bookmarkStart w:id="98" w:name="_Toc6184"/>
            <w:r>
              <w:rPr>
                <w:rFonts w:hint="eastAsia"/>
                <w:b/>
                <w:color w:val="262626"/>
                <w:kern w:val="0"/>
                <w:sz w:val="24"/>
                <w:lang w:val="en-US" w:eastAsia="zh-CN"/>
              </w:rPr>
              <w:t>4.2.2</w:t>
            </w:r>
            <w:r>
              <w:rPr>
                <w:rFonts w:hint="default"/>
                <w:b/>
                <w:color w:val="262626"/>
                <w:kern w:val="0"/>
                <w:sz w:val="24"/>
                <w:lang w:val="en-US" w:eastAsia="zh-CN"/>
              </w:rPr>
              <w:t>运营期水环境影响及污染防治措施可行性分析</w:t>
            </w:r>
            <w:bookmarkEnd w:id="98"/>
          </w:p>
          <w:p w14:paraId="77B66167">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（1）</w:t>
            </w:r>
            <w:r>
              <w:rPr>
                <w:rFonts w:hint="eastAsia" w:cs="Times New Roman"/>
                <w:bCs/>
                <w:color w:val="auto"/>
                <w:sz w:val="24"/>
                <w:highlight w:val="none"/>
                <w:lang w:val="en-US" w:eastAsia="zh-CN"/>
              </w:rPr>
              <w:t>除油前清洗水、除油后清洗水、钝化后清洗水</w:t>
            </w:r>
            <w:r>
              <w:rPr>
                <w:rFonts w:hint="eastAsia" w:ascii="Times New Roman" w:hAnsi="Times New Roman" w:eastAsia="宋体" w:cs="Times New Roman"/>
                <w:b w:val="0"/>
                <w:bCs w:val="0"/>
                <w:strike w:val="0"/>
                <w:dstrike w:val="0"/>
                <w:color w:val="auto"/>
                <w:sz w:val="24"/>
                <w:szCs w:val="24"/>
                <w:highlight w:val="none"/>
                <w:lang w:val="en-US" w:eastAsia="zh-CN"/>
              </w:rPr>
              <w:t>处理可行性分析</w:t>
            </w:r>
          </w:p>
          <w:p w14:paraId="5CA23D81">
            <w:pPr>
              <w:pStyle w:val="51"/>
              <w:keepNext w:val="0"/>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ascii="Times New Roman" w:hAnsi="Times New Roman" w:eastAsia="宋体" w:cs="宋体"/>
                <w:color w:val="000000" w:themeColor="text1"/>
                <w:highlight w:val="none"/>
                <w:lang w:val="en-US" w:eastAsia="zh-CN"/>
                <w14:textFill>
                  <w14:solidFill>
                    <w14:schemeClr w14:val="tx1"/>
                  </w14:solidFill>
                </w14:textFill>
              </w:rPr>
            </w:pPr>
            <w:r>
              <w:rPr>
                <w:rFonts w:hint="eastAsia" w:ascii="Times New Roman" w:hAnsi="Times New Roman" w:eastAsia="宋体" w:cs="宋体"/>
                <w:color w:val="000000" w:themeColor="text1"/>
                <w:highlight w:val="none"/>
                <w:lang w:val="en-US" w:eastAsia="zh-CN"/>
                <w14:textFill>
                  <w14:solidFill>
                    <w14:schemeClr w14:val="tx1"/>
                  </w14:solidFill>
                </w14:textFill>
              </w:rPr>
              <w:t>本项目将配套建设1座污水处理设施处理工艺为“</w:t>
            </w:r>
            <w:r>
              <w:rPr>
                <w:rFonts w:hint="eastAsia" w:cs="宋体"/>
                <w:color w:val="000000" w:themeColor="text1"/>
                <w:highlight w:val="none"/>
                <w:lang w:val="en-US" w:eastAsia="zh-CN"/>
                <w14:textFill>
                  <w14:solidFill>
                    <w14:schemeClr w14:val="tx1"/>
                  </w14:solidFill>
                </w14:textFill>
              </w:rPr>
              <w:t>气浮+A/O+沉淀</w:t>
            </w:r>
            <w:r>
              <w:rPr>
                <w:rFonts w:hint="eastAsia" w:ascii="Times New Roman" w:hAnsi="Times New Roman" w:eastAsia="宋体" w:cs="宋体"/>
                <w:color w:val="000000" w:themeColor="text1"/>
                <w:highlight w:val="none"/>
                <w:lang w:val="en-US" w:eastAsia="zh-CN"/>
                <w14:textFill>
                  <w14:solidFill>
                    <w14:schemeClr w14:val="tx1"/>
                  </w14:solidFill>
                </w14:textFill>
              </w:rPr>
              <w:t>”，设计处理能力为0.5m</w:t>
            </w:r>
            <w:r>
              <w:rPr>
                <w:rFonts w:hint="eastAsia" w:ascii="Times New Roman" w:hAnsi="Times New Roman" w:eastAsia="宋体" w:cs="宋体"/>
                <w:color w:val="000000" w:themeColor="text1"/>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highlight w:val="none"/>
                <w:lang w:val="en-US" w:eastAsia="zh-CN"/>
                <w14:textFill>
                  <w14:solidFill>
                    <w14:schemeClr w14:val="tx1"/>
                  </w14:solidFill>
                </w14:textFill>
              </w:rPr>
              <w:t>/d）。</w:t>
            </w:r>
          </w:p>
          <w:p w14:paraId="7F873E8C">
            <w:pPr>
              <w:pStyle w:val="51"/>
              <w:keepNext w:val="0"/>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ascii="Times New Roman" w:hAnsi="Times New Roman" w:eastAsia="宋体" w:cs="宋体"/>
                <w:color w:val="000000" w:themeColor="text1"/>
                <w:highlight w:val="none"/>
                <w:lang w:val="en-US" w:eastAsia="zh-CN"/>
                <w14:textFill>
                  <w14:solidFill>
                    <w14:schemeClr w14:val="tx1"/>
                  </w14:solidFill>
                </w14:textFill>
              </w:rPr>
            </w:pPr>
            <w:r>
              <w:rPr>
                <w:rFonts w:hint="eastAsia" w:ascii="Times New Roman" w:hAnsi="Times New Roman" w:eastAsia="宋体" w:cs="宋体"/>
                <w:color w:val="000000" w:themeColor="text1"/>
                <w:highlight w:val="none"/>
                <w:lang w:val="en-US" w:eastAsia="zh-CN"/>
                <w14:textFill>
                  <w14:solidFill>
                    <w14:schemeClr w14:val="tx1"/>
                  </w14:solidFill>
                </w14:textFill>
              </w:rPr>
              <w:t>本项目</w:t>
            </w:r>
            <w:r>
              <w:rPr>
                <w:rFonts w:hint="eastAsia" w:cs="Times New Roman"/>
                <w:bCs/>
                <w:color w:val="auto"/>
                <w:sz w:val="24"/>
                <w:highlight w:val="none"/>
                <w:lang w:val="en-US" w:eastAsia="zh-CN"/>
              </w:rPr>
              <w:t>除油前清洗水、除油后清洗水、钝化后清洗水</w:t>
            </w:r>
            <w:r>
              <w:rPr>
                <w:rFonts w:hint="eastAsia" w:ascii="Times New Roman" w:hAnsi="Times New Roman" w:eastAsia="宋体" w:cs="宋体"/>
                <w:color w:val="000000" w:themeColor="text1"/>
                <w:highlight w:val="none"/>
                <w:lang w:val="en-US" w:eastAsia="zh-CN"/>
                <w14:textFill>
                  <w14:solidFill>
                    <w14:schemeClr w14:val="tx1"/>
                  </w14:solidFill>
                </w14:textFill>
              </w:rPr>
              <w:t>经收集后进入污水处理设施净化处理后，出水回用于清洗工序，不外排。</w:t>
            </w:r>
          </w:p>
          <w:p w14:paraId="00CAF6B0">
            <w:pPr>
              <w:pStyle w:val="51"/>
              <w:keepNext w:val="0"/>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ascii="Times New Roman" w:hAnsi="Times New Roman" w:eastAsia="宋体" w:cs="宋体"/>
                <w:color w:val="000000" w:themeColor="text1"/>
                <w:highlight w:val="none"/>
                <w:lang w:val="en-US" w:eastAsia="zh-CN"/>
                <w14:textFill>
                  <w14:solidFill>
                    <w14:schemeClr w14:val="tx1"/>
                  </w14:solidFill>
                </w14:textFill>
              </w:rPr>
            </w:pPr>
            <w:r>
              <w:rPr>
                <w:rFonts w:hint="eastAsia" w:ascii="Times New Roman" w:hAnsi="Times New Roman" w:eastAsia="宋体" w:cs="宋体"/>
                <w:color w:val="000000" w:themeColor="text1"/>
                <w:highlight w:val="none"/>
                <w:lang w:val="en-US" w:eastAsia="zh-CN"/>
                <w14:textFill>
                  <w14:solidFill>
                    <w14:schemeClr w14:val="tx1"/>
                  </w14:solidFill>
                </w14:textFill>
              </w:rPr>
              <w:t>废水处理工艺如下：</w:t>
            </w:r>
          </w:p>
          <w:p w14:paraId="4CEA0882">
            <w:pPr>
              <w:widowControl/>
              <w:spacing w:line="360" w:lineRule="auto"/>
              <w:jc w:val="left"/>
              <w:rPr>
                <w:rFonts w:hint="eastAsia" w:ascii="Times New Roman" w:hAnsi="Times New Roman" w:eastAsia="宋体" w:cs="Times New Roman"/>
                <w:b w:val="0"/>
                <w:bCs w:val="0"/>
                <w:strike w:val="0"/>
                <w:dstrike w:val="0"/>
                <w:color w:val="auto"/>
                <w:sz w:val="24"/>
                <w:szCs w:val="24"/>
                <w:highlight w:val="none"/>
                <w:lang w:val="en-US" w:eastAsia="zh-CN"/>
              </w:rPr>
            </w:pPr>
            <w:r>
              <w:drawing>
                <wp:inline distT="0" distB="0" distL="114300" distR="114300">
                  <wp:extent cx="5663565" cy="3458845"/>
                  <wp:effectExtent l="0" t="0" r="13335" b="8255"/>
                  <wp:docPr id="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pic:cNvPicPr>
                            <a:picLocks noChangeAspect="1"/>
                          </pic:cNvPicPr>
                        </pic:nvPicPr>
                        <pic:blipFill>
                          <a:blip r:embed="rId23"/>
                          <a:stretch>
                            <a:fillRect/>
                          </a:stretch>
                        </pic:blipFill>
                        <pic:spPr>
                          <a:xfrm>
                            <a:off x="0" y="0"/>
                            <a:ext cx="5663565" cy="3458845"/>
                          </a:xfrm>
                          <a:prstGeom prst="rect">
                            <a:avLst/>
                          </a:prstGeom>
                          <a:noFill/>
                          <a:ln>
                            <a:noFill/>
                          </a:ln>
                        </pic:spPr>
                      </pic:pic>
                    </a:graphicData>
                  </a:graphic>
                </wp:inline>
              </w:drawing>
            </w:r>
          </w:p>
          <w:p w14:paraId="131EBC85">
            <w:pPr>
              <w:pStyle w:val="51"/>
              <w:ind w:left="0" w:leftChars="0" w:firstLine="0" w:firstLineChars="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处理工艺说明：</w:t>
            </w:r>
          </w:p>
          <w:p w14:paraId="526116AC">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000000" w:themeColor="text1"/>
                <w:kern w:val="0"/>
                <w:sz w:val="24"/>
                <w:szCs w:val="20"/>
                <w:highlight w:val="none"/>
                <w:lang w:val="en-US" w:eastAsia="zh-CN" w:bidi="ar-SA"/>
                <w14:textFill>
                  <w14:solidFill>
                    <w14:schemeClr w14:val="tx1"/>
                  </w14:solidFill>
                </w14:textFill>
              </w:rPr>
            </w:pPr>
            <w:r>
              <w:rPr>
                <w:rFonts w:hint="eastAsia" w:cs="Times New Roman"/>
                <w:bCs/>
                <w:color w:val="auto"/>
                <w:sz w:val="24"/>
                <w:highlight w:val="none"/>
                <w:lang w:val="en-US" w:eastAsia="zh-CN"/>
              </w:rPr>
              <w:t>除油前清洗水、除油后清洗水、钝化后清洗水</w:t>
            </w:r>
            <w:r>
              <w:rPr>
                <w:rFonts w:hint="eastAsia" w:ascii="Times New Roman" w:hAnsi="Times New Roman" w:eastAsia="宋体" w:cs="宋体"/>
                <w:color w:val="000000" w:themeColor="text1"/>
                <w:kern w:val="0"/>
                <w:sz w:val="24"/>
                <w:szCs w:val="20"/>
                <w:highlight w:val="none"/>
                <w:lang w:val="en-US" w:eastAsia="zh-CN" w:bidi="ar-SA"/>
                <w14:textFill>
                  <w14:solidFill>
                    <w14:schemeClr w14:val="tx1"/>
                  </w14:solidFill>
                </w14:textFill>
              </w:rPr>
              <w:t>分别收集后进入调节池，经调匀水质、水量后，通过泵提进入气浮系统，在进入气浮系统前，需要加入PAC和PAM药剂，混合搅拌后，可以将水中溶解的COD/BOD以及少量的N/P等离子，形成悬浮物，经过纳米级气泡，将产生的悬浮物浮于水面，从而去除水中的溶解的杂质，可以有效去除水中的油类杂质，从而降低废水中的COD，以减轻后续A/O系统负担。气浮出水经泵提升去厌氧池，在厌氧池内利用异养型兼性细菌和厌氧菌将废水中难降解的大分子有机物转化为易降解的小分子有机物，将复杂的有机物转变成简单的有机物，提高废水的可生化性。出厌氧池废水自流入好氧池，在充分曝气的环境下，通过活性污泥的作用，充分降解有机物，同时将氨氮向硝态氮转化。好氧池出水自流入二沉池，生化污泥在此沉淀分离，污泥回流至好氧池，上清液自流入管网。二沉池的剩余污泥排入污泥池。</w:t>
            </w:r>
          </w:p>
          <w:p w14:paraId="60348792">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eastAsia" w:cs="Times New Roman"/>
                <w:b w:val="0"/>
                <w:bCs w:val="0"/>
                <w:strike w:val="0"/>
                <w:dstrike w:val="0"/>
                <w:color w:val="auto"/>
                <w:sz w:val="24"/>
                <w:szCs w:val="24"/>
                <w:highlight w:val="none"/>
                <w:lang w:val="en-US" w:eastAsia="zh-CN"/>
              </w:rPr>
              <w:t>2</w:t>
            </w:r>
            <w:r>
              <w:rPr>
                <w:rFonts w:hint="eastAsia" w:ascii="Times New Roman" w:hAnsi="Times New Roman" w:eastAsia="宋体" w:cs="Times New Roman"/>
                <w:b w:val="0"/>
                <w:bCs w:val="0"/>
                <w:strike w:val="0"/>
                <w:dstrike w:val="0"/>
                <w:color w:val="auto"/>
                <w:sz w:val="24"/>
                <w:szCs w:val="24"/>
                <w:highlight w:val="none"/>
                <w:lang w:val="en-US" w:eastAsia="zh-CN"/>
              </w:rPr>
              <w:t>）化粪池依托处理可行性分析</w:t>
            </w:r>
          </w:p>
          <w:p w14:paraId="229F6617">
            <w:pPr>
              <w:widowControl/>
              <w:spacing w:line="360" w:lineRule="auto"/>
              <w:ind w:firstLine="480" w:firstLineChars="200"/>
              <w:jc w:val="both"/>
              <w:rPr>
                <w:rFonts w:hint="default" w:ascii="Times New Roman" w:hAnsi="Times New Roman" w:eastAsia="宋体" w:cs="Times New Roman"/>
                <w:strike w:val="0"/>
                <w:dstrike w:val="0"/>
                <w:color w:val="auto"/>
                <w:sz w:val="24"/>
              </w:rPr>
            </w:pPr>
            <w:r>
              <w:rPr>
                <w:rFonts w:hint="default" w:ascii="Times New Roman" w:hAnsi="Times New Roman" w:eastAsia="宋体" w:cs="Times New Roman"/>
                <w:b w:val="0"/>
                <w:bCs w:val="0"/>
                <w:strike w:val="0"/>
                <w:dstrike w:val="0"/>
                <w:color w:val="auto"/>
                <w:sz w:val="24"/>
                <w:szCs w:val="24"/>
                <w:highlight w:val="none"/>
                <w:lang w:val="en-US" w:eastAsia="zh-CN"/>
              </w:rPr>
              <w:t>项目运营期外排废水为生活污水，依托厂区内现有化粪池处理后，排入市政污水管网，送往</w:t>
            </w:r>
            <w:r>
              <w:rPr>
                <w:rFonts w:hint="default" w:ascii="Times New Roman" w:hAnsi="Times New Roman" w:eastAsia="宋体" w:cs="Times New Roman"/>
                <w:strike w:val="0"/>
                <w:dstrike w:val="0"/>
                <w:color w:val="auto"/>
                <w:sz w:val="24"/>
                <w:szCs w:val="24"/>
                <w:lang w:val="en-US" w:eastAsia="zh-CN"/>
              </w:rPr>
              <w:t>福清市融元污水处理厂集</w:t>
            </w:r>
            <w:r>
              <w:rPr>
                <w:rFonts w:hint="default" w:ascii="Times New Roman" w:hAnsi="Times New Roman" w:eastAsia="宋体" w:cs="Times New Roman"/>
                <w:b w:val="0"/>
                <w:bCs w:val="0"/>
                <w:strike w:val="0"/>
                <w:dstrike w:val="0"/>
                <w:color w:val="auto"/>
                <w:sz w:val="24"/>
                <w:szCs w:val="24"/>
                <w:highlight w:val="none"/>
                <w:lang w:val="en-US" w:eastAsia="zh-CN"/>
              </w:rPr>
              <w:t>中进行处理，污水处理厂尾水排入龙江，所处龙江“南门桥水闸至龙江入海口”断面。生活污水依托厂区（均和云谷·福清科技港园区）现有的化粪池（50m</w:t>
            </w:r>
            <w:r>
              <w:rPr>
                <w:rFonts w:hint="default" w:ascii="Times New Roman" w:hAnsi="Times New Roman" w:eastAsia="宋体" w:cs="Times New Roman"/>
                <w:b w:val="0"/>
                <w:bCs w:val="0"/>
                <w:strike w:val="0"/>
                <w:dstrike w:val="0"/>
                <w:color w:val="auto"/>
                <w:sz w:val="24"/>
                <w:szCs w:val="24"/>
                <w:highlight w:val="none"/>
                <w:vertAlign w:val="superscript"/>
                <w:lang w:val="en-US" w:eastAsia="zh-CN"/>
              </w:rPr>
              <w:t>3</w:t>
            </w:r>
            <w:r>
              <w:rPr>
                <w:rFonts w:hint="default" w:ascii="Times New Roman" w:hAnsi="Times New Roman" w:eastAsia="宋体" w:cs="Times New Roman"/>
                <w:b w:val="0"/>
                <w:bCs w:val="0"/>
                <w:strike w:val="0"/>
                <w:dstrike w:val="0"/>
                <w:color w:val="auto"/>
                <w:sz w:val="24"/>
                <w:szCs w:val="24"/>
                <w:highlight w:val="none"/>
                <w:lang w:val="en-US" w:eastAsia="zh-CN"/>
              </w:rPr>
              <w:t>）处理后进入市政管网。据建设单位提供资料，</w:t>
            </w:r>
            <w:r>
              <w:rPr>
                <w:rFonts w:hint="default" w:ascii="Times New Roman" w:hAnsi="Times New Roman" w:eastAsia="宋体" w:cs="Times New Roman"/>
                <w:strike w:val="0"/>
                <w:dstrike w:val="0"/>
                <w:color w:val="auto"/>
                <w:sz w:val="24"/>
                <w:lang w:val="en-GB"/>
              </w:rPr>
              <w:t>项目所在的</w:t>
            </w:r>
            <w:r>
              <w:rPr>
                <w:rFonts w:hint="default" w:ascii="Times New Roman" w:hAnsi="Times New Roman" w:eastAsia="宋体" w:cs="Times New Roman"/>
                <w:strike w:val="0"/>
                <w:dstrike w:val="0"/>
                <w:color w:val="auto"/>
                <w:sz w:val="24"/>
              </w:rPr>
              <w:t>均和云谷</w:t>
            </w:r>
            <w:r>
              <w:rPr>
                <w:rFonts w:hint="eastAsia" w:ascii="宋体" w:hAnsi="宋体" w:eastAsia="宋体" w:cs="宋体"/>
                <w:strike w:val="0"/>
                <w:dstrike w:val="0"/>
                <w:color w:val="auto"/>
                <w:sz w:val="24"/>
              </w:rPr>
              <w:t>·</w:t>
            </w:r>
            <w:r>
              <w:rPr>
                <w:rFonts w:hint="default" w:ascii="Times New Roman" w:hAnsi="Times New Roman" w:eastAsia="宋体" w:cs="Times New Roman"/>
                <w:strike w:val="0"/>
                <w:dstrike w:val="0"/>
                <w:color w:val="auto"/>
                <w:sz w:val="24"/>
              </w:rPr>
              <w:t>福清科技港园区</w:t>
            </w:r>
            <w:r>
              <w:rPr>
                <w:rFonts w:hint="default" w:ascii="Times New Roman" w:hAnsi="Times New Roman" w:eastAsia="宋体" w:cs="Times New Roman"/>
                <w:strike w:val="0"/>
                <w:dstrike w:val="0"/>
                <w:color w:val="auto"/>
                <w:sz w:val="24"/>
                <w:lang w:val="en-US" w:eastAsia="zh-CN"/>
              </w:rPr>
              <w:t>西</w:t>
            </w:r>
            <w:r>
              <w:rPr>
                <w:rFonts w:hint="default" w:ascii="Times New Roman" w:hAnsi="Times New Roman" w:eastAsia="宋体" w:cs="Times New Roman"/>
                <w:strike w:val="0"/>
                <w:dstrike w:val="0"/>
                <w:color w:val="auto"/>
                <w:sz w:val="24"/>
              </w:rPr>
              <w:t>北侧</w:t>
            </w:r>
            <w:r>
              <w:rPr>
                <w:rFonts w:hint="default" w:ascii="Times New Roman" w:hAnsi="Times New Roman" w:eastAsia="宋体" w:cs="Times New Roman"/>
                <w:strike w:val="0"/>
                <w:dstrike w:val="0"/>
                <w:color w:val="auto"/>
                <w:sz w:val="24"/>
                <w:lang w:val="en-GB"/>
              </w:rPr>
              <w:t>设有一个有效容积约为50m</w:t>
            </w:r>
            <w:r>
              <w:rPr>
                <w:rFonts w:hint="default" w:ascii="Times New Roman" w:hAnsi="Times New Roman" w:eastAsia="宋体" w:cs="Times New Roman"/>
                <w:strike w:val="0"/>
                <w:dstrike w:val="0"/>
                <w:color w:val="auto"/>
                <w:sz w:val="24"/>
                <w:vertAlign w:val="superscript"/>
                <w:lang w:val="en-GB"/>
              </w:rPr>
              <w:t>3</w:t>
            </w:r>
            <w:r>
              <w:rPr>
                <w:rFonts w:hint="default" w:ascii="Times New Roman" w:hAnsi="Times New Roman" w:eastAsia="宋体" w:cs="Times New Roman"/>
                <w:strike w:val="0"/>
                <w:dstrike w:val="0"/>
                <w:color w:val="auto"/>
                <w:sz w:val="24"/>
                <w:lang w:val="en-GB"/>
              </w:rPr>
              <w:t>化粪池供</w:t>
            </w:r>
            <w:r>
              <w:rPr>
                <w:rFonts w:hint="default" w:ascii="Times New Roman" w:hAnsi="Times New Roman" w:eastAsia="宋体" w:cs="Times New Roman"/>
                <w:strike w:val="0"/>
                <w:dstrike w:val="0"/>
                <w:color w:val="auto"/>
                <w:sz w:val="24"/>
              </w:rPr>
              <w:t>整个厂区</w:t>
            </w:r>
            <w:r>
              <w:rPr>
                <w:rFonts w:hint="default" w:ascii="Times New Roman" w:hAnsi="Times New Roman" w:eastAsia="宋体" w:cs="Times New Roman"/>
                <w:strike w:val="0"/>
                <w:dstrike w:val="0"/>
                <w:color w:val="auto"/>
                <w:sz w:val="24"/>
                <w:lang w:val="en-GB"/>
              </w:rPr>
              <w:t>生活污水</w:t>
            </w:r>
            <w:r>
              <w:rPr>
                <w:rFonts w:hint="default" w:ascii="Times New Roman" w:hAnsi="Times New Roman" w:eastAsia="宋体" w:cs="Times New Roman"/>
                <w:strike w:val="0"/>
                <w:dstrike w:val="0"/>
                <w:color w:val="auto"/>
                <w:sz w:val="24"/>
                <w:lang w:val="en-US" w:eastAsia="zh-CN"/>
              </w:rPr>
              <w:t>处理</w:t>
            </w:r>
            <w:r>
              <w:rPr>
                <w:rFonts w:hint="default" w:ascii="Times New Roman" w:hAnsi="Times New Roman" w:eastAsia="宋体" w:cs="Times New Roman"/>
                <w:strike w:val="0"/>
                <w:dstrike w:val="0"/>
                <w:color w:val="auto"/>
                <w:sz w:val="24"/>
                <w:lang w:val="en-GB"/>
              </w:rPr>
              <w:t>使用</w:t>
            </w:r>
            <w:r>
              <w:rPr>
                <w:rFonts w:hint="default" w:ascii="Times New Roman" w:hAnsi="Times New Roman" w:eastAsia="宋体" w:cs="Times New Roman"/>
                <w:strike w:val="0"/>
                <w:dstrike w:val="0"/>
                <w:color w:val="auto"/>
                <w:sz w:val="24"/>
                <w:lang w:val="en-GB" w:eastAsia="zh-CN"/>
              </w:rPr>
              <w:t>，</w:t>
            </w:r>
            <w:r>
              <w:rPr>
                <w:rFonts w:hint="default" w:ascii="Times New Roman" w:hAnsi="Times New Roman" w:eastAsia="宋体" w:cs="Times New Roman"/>
                <w:strike w:val="0"/>
                <w:dstrike w:val="0"/>
                <w:color w:val="auto"/>
                <w:sz w:val="24"/>
                <w:lang w:val="en-US" w:eastAsia="zh-CN"/>
              </w:rPr>
              <w:t>化粪池管理、维护均由均和物业管理服务（福州）有限公司全权负责</w:t>
            </w:r>
            <w:r>
              <w:rPr>
                <w:rFonts w:hint="default" w:ascii="Times New Roman" w:hAnsi="Times New Roman" w:eastAsia="宋体" w:cs="Times New Roman"/>
                <w:strike w:val="0"/>
                <w:dstrike w:val="0"/>
                <w:color w:val="auto"/>
                <w:sz w:val="24"/>
                <w:lang w:val="en-GB"/>
              </w:rPr>
              <w:t>。根据均和产业发展（福清）有限公司提</w:t>
            </w:r>
            <w:r>
              <w:rPr>
                <w:rFonts w:hint="eastAsia" w:cs="Times New Roman"/>
                <w:strike w:val="0"/>
                <w:dstrike w:val="0"/>
                <w:color w:val="auto"/>
                <w:sz w:val="24"/>
                <w:lang w:val="en-GB" w:eastAsia="zh-CN"/>
              </w:rPr>
              <w:t>供的</w:t>
            </w:r>
            <w:r>
              <w:rPr>
                <w:rFonts w:hint="default" w:ascii="Times New Roman" w:hAnsi="Times New Roman" w:eastAsia="宋体" w:cs="Times New Roman"/>
                <w:strike w:val="0"/>
                <w:dstrike w:val="0"/>
                <w:color w:val="auto"/>
                <w:sz w:val="24"/>
                <w:lang w:val="en-GB"/>
              </w:rPr>
              <w:t>证明材料</w:t>
            </w:r>
            <w:r>
              <w:rPr>
                <w:rFonts w:hint="default" w:ascii="Times New Roman" w:hAnsi="Times New Roman" w:eastAsia="宋体" w:cs="Times New Roman"/>
                <w:bCs/>
                <w:strike w:val="0"/>
                <w:dstrike w:val="0"/>
                <w:color w:val="auto"/>
                <w:sz w:val="24"/>
                <w:szCs w:val="24"/>
                <w:lang w:val="en-US" w:eastAsia="zh-CN"/>
              </w:rPr>
              <w:t>（目前仅</w:t>
            </w:r>
            <w:r>
              <w:rPr>
                <w:rFonts w:hint="default" w:ascii="Times New Roman" w:hAnsi="Times New Roman" w:eastAsia="宋体" w:cs="Times New Roman"/>
                <w:bCs/>
                <w:strike w:val="0"/>
                <w:dstrike w:val="0"/>
                <w:color w:val="auto"/>
                <w:sz w:val="24"/>
                <w:szCs w:val="24"/>
              </w:rPr>
              <w:t>福州睿信模具有限公司</w:t>
            </w:r>
            <w:r>
              <w:rPr>
                <w:rFonts w:hint="default" w:ascii="Times New Roman" w:hAnsi="Times New Roman" w:eastAsia="宋体" w:cs="Times New Roman"/>
                <w:bCs/>
                <w:strike w:val="0"/>
                <w:dstrike w:val="0"/>
                <w:color w:val="auto"/>
                <w:sz w:val="24"/>
                <w:szCs w:val="24"/>
                <w:lang w:val="en-US" w:eastAsia="zh-CN"/>
              </w:rPr>
              <w:t>排放的生活污水1.575t/d、福州融耀智造科技有限公司排放的生活污水2.25t/d、福州塑颜新材料有限公司排放的生活污水0.6t/d、</w:t>
            </w:r>
            <w:r>
              <w:rPr>
                <w:rFonts w:hint="default" w:ascii="Times New Roman" w:hAnsi="Times New Roman" w:eastAsia="宋体" w:cs="Times New Roman"/>
                <w:strike w:val="0"/>
                <w:dstrike w:val="0"/>
                <w:color w:val="auto"/>
                <w:sz w:val="24"/>
                <w:szCs w:val="24"/>
                <w:highlight w:val="none"/>
                <w:lang w:eastAsia="zh-CN"/>
              </w:rPr>
              <w:t>福清市鑫汉电子科技有限公</w:t>
            </w:r>
            <w:r>
              <w:rPr>
                <w:rFonts w:hint="default" w:ascii="Times New Roman" w:hAnsi="Times New Roman" w:eastAsia="宋体" w:cs="Times New Roman"/>
                <w:bCs/>
                <w:strike w:val="0"/>
                <w:dstrike w:val="0"/>
                <w:color w:val="auto"/>
                <w:sz w:val="24"/>
                <w:szCs w:val="24"/>
                <w:lang w:val="en-US" w:eastAsia="zh-CN"/>
              </w:rPr>
              <w:t>司排放的生活污水1.28t/d、福州格霖灌溉设备有限公司排放的生活污水1.6t/d、福州闽新新材料科技有限公司排放的生活污水0.9t/d、</w:t>
            </w:r>
            <w:bookmarkStart w:id="99" w:name="项目名称"/>
            <w:r>
              <w:rPr>
                <w:rFonts w:hint="default" w:ascii="Times New Roman" w:hAnsi="Times New Roman" w:eastAsia="宋体" w:cs="Times New Roman"/>
                <w:bCs/>
                <w:strike w:val="0"/>
                <w:dstrike w:val="0"/>
                <w:color w:val="auto"/>
                <w:sz w:val="24"/>
                <w:szCs w:val="24"/>
                <w:lang w:val="en-US" w:eastAsia="zh-CN"/>
              </w:rPr>
              <w:t>福州利鑫新材料科技有限公司</w:t>
            </w:r>
            <w:bookmarkEnd w:id="99"/>
            <w:r>
              <w:rPr>
                <w:rFonts w:hint="default" w:ascii="Times New Roman" w:hAnsi="Times New Roman" w:eastAsia="宋体" w:cs="Times New Roman"/>
                <w:bCs/>
                <w:strike w:val="0"/>
                <w:dstrike w:val="0"/>
                <w:color w:val="auto"/>
                <w:sz w:val="24"/>
                <w:szCs w:val="24"/>
                <w:lang w:val="en-US" w:eastAsia="zh-CN"/>
              </w:rPr>
              <w:t>排放的生活污水0.6t/d、三辉新材料科技有限公司0.6t/d）</w:t>
            </w:r>
            <w:r>
              <w:rPr>
                <w:rFonts w:hint="default" w:ascii="Times New Roman" w:hAnsi="Times New Roman" w:eastAsia="宋体" w:cs="Times New Roman"/>
                <w:bCs/>
                <w:strike w:val="0"/>
                <w:dstrike w:val="0"/>
                <w:color w:val="auto"/>
                <w:sz w:val="24"/>
                <w:szCs w:val="24"/>
                <w:lang w:val="en-GB" w:eastAsia="zh-CN"/>
              </w:rPr>
              <w:t>，</w:t>
            </w:r>
            <w:r>
              <w:rPr>
                <w:rFonts w:hint="default" w:ascii="Times New Roman" w:hAnsi="Times New Roman" w:eastAsia="宋体" w:cs="Times New Roman"/>
                <w:strike w:val="0"/>
                <w:dstrike w:val="0"/>
                <w:color w:val="auto"/>
                <w:sz w:val="24"/>
                <w:lang w:val="en-GB"/>
              </w:rPr>
              <w:t>项目化粪池尚有</w:t>
            </w:r>
            <w:r>
              <w:rPr>
                <w:rFonts w:hint="default" w:ascii="Times New Roman" w:hAnsi="Times New Roman" w:eastAsia="宋体" w:cs="Times New Roman"/>
                <w:strike w:val="0"/>
                <w:dstrike w:val="0"/>
                <w:color w:val="auto"/>
                <w:sz w:val="24"/>
                <w:lang w:val="en-US" w:eastAsia="zh-CN"/>
              </w:rPr>
              <w:t>41.795</w:t>
            </w:r>
            <w:r>
              <w:rPr>
                <w:rFonts w:hint="default" w:ascii="Times New Roman" w:hAnsi="Times New Roman" w:eastAsia="宋体" w:cs="Times New Roman"/>
                <w:strike w:val="0"/>
                <w:dstrike w:val="0"/>
                <w:color w:val="auto"/>
                <w:sz w:val="24"/>
                <w:lang w:val="en-GB"/>
              </w:rPr>
              <w:t>m</w:t>
            </w:r>
            <w:r>
              <w:rPr>
                <w:rFonts w:hint="default" w:ascii="Times New Roman" w:hAnsi="Times New Roman" w:eastAsia="宋体" w:cs="Times New Roman"/>
                <w:strike w:val="0"/>
                <w:dstrike w:val="0"/>
                <w:color w:val="auto"/>
                <w:sz w:val="24"/>
                <w:vertAlign w:val="superscript"/>
                <w:lang w:val="en-GB"/>
              </w:rPr>
              <w:t>3</w:t>
            </w:r>
            <w:r>
              <w:rPr>
                <w:rFonts w:hint="default" w:ascii="Times New Roman" w:hAnsi="Times New Roman" w:eastAsia="宋体" w:cs="Times New Roman"/>
                <w:strike w:val="0"/>
                <w:dstrike w:val="0"/>
                <w:color w:val="auto"/>
                <w:sz w:val="24"/>
                <w:lang w:val="en-GB"/>
              </w:rPr>
              <w:t>/d余量给本项目使用，</w:t>
            </w:r>
            <w:r>
              <w:rPr>
                <w:rFonts w:hint="default" w:ascii="Times New Roman" w:hAnsi="Times New Roman" w:eastAsia="宋体" w:cs="Times New Roman"/>
                <w:strike w:val="0"/>
                <w:dstrike w:val="0"/>
                <w:color w:val="auto"/>
                <w:sz w:val="24"/>
              </w:rPr>
              <w:t>本项目生活污水排放量约为</w:t>
            </w:r>
            <w:r>
              <w:rPr>
                <w:rFonts w:hint="eastAsia" w:cs="Times New Roman"/>
                <w:strike w:val="0"/>
                <w:dstrike w:val="0"/>
                <w:color w:val="auto"/>
                <w:sz w:val="24"/>
                <w:lang w:val="en-US" w:eastAsia="zh-CN"/>
              </w:rPr>
              <w:t>2.8</w:t>
            </w:r>
            <w:r>
              <w:rPr>
                <w:rFonts w:hint="default" w:ascii="Times New Roman" w:hAnsi="Times New Roman" w:eastAsia="宋体" w:cs="Times New Roman"/>
                <w:strike w:val="0"/>
                <w:dstrike w:val="0"/>
                <w:color w:val="auto"/>
                <w:sz w:val="24"/>
              </w:rPr>
              <w:t>t/d，约占剩余化粪池处理量</w:t>
            </w:r>
            <w:r>
              <w:rPr>
                <w:rFonts w:hint="eastAsia" w:cs="Times New Roman"/>
                <w:strike w:val="0"/>
                <w:dstrike w:val="0"/>
                <w:color w:val="auto"/>
                <w:sz w:val="24"/>
                <w:lang w:val="en-US" w:eastAsia="zh-CN"/>
              </w:rPr>
              <w:t>6.7</w:t>
            </w:r>
            <w:r>
              <w:rPr>
                <w:rFonts w:hint="default" w:ascii="Times New Roman" w:hAnsi="Times New Roman" w:eastAsia="宋体" w:cs="Times New Roman"/>
                <w:strike w:val="0"/>
                <w:dstrike w:val="0"/>
                <w:color w:val="auto"/>
                <w:sz w:val="24"/>
              </w:rPr>
              <w:t>%，因此本项目生活污水依托均和云谷·福清科技港园区已建的化粪池进行处理可行。</w:t>
            </w:r>
            <w:r>
              <w:rPr>
                <w:rFonts w:hint="default" w:ascii="Times New Roman" w:hAnsi="Times New Roman" w:eastAsia="宋体" w:cs="Times New Roman"/>
                <w:strike w:val="0"/>
                <w:dstrike w:val="0"/>
                <w:color w:val="auto"/>
                <w:sz w:val="24"/>
                <w:lang w:val="en-US" w:eastAsia="zh-CN"/>
              </w:rPr>
              <w:t>根据现场勘查，目前厂区市政污水管网已经接入厂区西北侧岁金配套路市政污水管网</w:t>
            </w:r>
            <w:r>
              <w:rPr>
                <w:rFonts w:hint="eastAsia" w:cs="Times New Roman"/>
                <w:strike w:val="0"/>
                <w:dstrike w:val="0"/>
                <w:color w:val="auto"/>
                <w:sz w:val="24"/>
                <w:highlight w:val="none"/>
                <w:lang w:val="en-US" w:eastAsia="zh-CN"/>
              </w:rPr>
              <w:t>（</w:t>
            </w:r>
            <w:r>
              <w:rPr>
                <w:rFonts w:hint="default" w:ascii="Times New Roman" w:hAnsi="Times New Roman" w:eastAsia="宋体" w:cs="Times New Roman"/>
                <w:strike w:val="0"/>
                <w:dstrike w:val="0"/>
                <w:color w:val="auto"/>
                <w:sz w:val="24"/>
                <w:highlight w:val="none"/>
                <w:lang w:val="en-US" w:eastAsia="zh-CN"/>
              </w:rPr>
              <w:t>详见</w:t>
            </w:r>
            <w:r>
              <w:rPr>
                <w:rFonts w:hint="default" w:ascii="Times New Roman" w:hAnsi="Times New Roman" w:eastAsia="宋体" w:cs="Times New Roman"/>
                <w:b/>
                <w:bCs/>
                <w:strike w:val="0"/>
                <w:dstrike w:val="0"/>
                <w:color w:val="auto"/>
                <w:sz w:val="24"/>
                <w:highlight w:val="none"/>
                <w:lang w:val="en-US" w:eastAsia="zh-CN"/>
              </w:rPr>
              <w:t>附件</w:t>
            </w:r>
            <w:r>
              <w:rPr>
                <w:rFonts w:hint="eastAsia" w:cs="Times New Roman"/>
                <w:b/>
                <w:bCs/>
                <w:strike w:val="0"/>
                <w:dstrike w:val="0"/>
                <w:color w:val="auto"/>
                <w:sz w:val="24"/>
                <w:highlight w:val="none"/>
                <w:lang w:val="en-US" w:eastAsia="zh-CN"/>
              </w:rPr>
              <w:t>八</w:t>
            </w:r>
            <w:r>
              <w:rPr>
                <w:rFonts w:hint="eastAsia" w:cs="Times New Roman"/>
                <w:strike w:val="0"/>
                <w:dstrike w:val="0"/>
                <w:color w:val="auto"/>
                <w:sz w:val="24"/>
                <w:highlight w:val="none"/>
                <w:lang w:val="en-US" w:eastAsia="zh-CN"/>
              </w:rPr>
              <w:t>）</w:t>
            </w:r>
            <w:r>
              <w:rPr>
                <w:rFonts w:hint="default" w:ascii="Times New Roman" w:hAnsi="Times New Roman" w:eastAsia="宋体" w:cs="Times New Roman"/>
                <w:strike w:val="0"/>
                <w:dstrike w:val="0"/>
                <w:color w:val="auto"/>
                <w:sz w:val="24"/>
                <w:lang w:val="en-US" w:eastAsia="zh-CN"/>
              </w:rPr>
              <w:t>。</w:t>
            </w:r>
          </w:p>
          <w:p w14:paraId="3C3392BA">
            <w:pPr>
              <w:widowControl/>
              <w:spacing w:line="360" w:lineRule="auto"/>
              <w:ind w:firstLine="480" w:firstLineChars="200"/>
              <w:jc w:val="both"/>
              <w:rPr>
                <w:rFonts w:hint="eastAsia"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eastAsia" w:cs="Times New Roman"/>
                <w:b w:val="0"/>
                <w:bCs w:val="0"/>
                <w:strike w:val="0"/>
                <w:dstrike w:val="0"/>
                <w:color w:val="auto"/>
                <w:sz w:val="24"/>
                <w:szCs w:val="24"/>
                <w:highlight w:val="none"/>
                <w:lang w:val="en-US" w:eastAsia="zh-CN"/>
              </w:rPr>
              <w:t>3</w:t>
            </w:r>
            <w:r>
              <w:rPr>
                <w:rFonts w:hint="eastAsia" w:ascii="Times New Roman" w:hAnsi="Times New Roman" w:eastAsia="宋体" w:cs="Times New Roman"/>
                <w:b w:val="0"/>
                <w:bCs w:val="0"/>
                <w:strike w:val="0"/>
                <w:dstrike w:val="0"/>
                <w:color w:val="auto"/>
                <w:sz w:val="24"/>
                <w:szCs w:val="24"/>
                <w:highlight w:val="none"/>
                <w:lang w:val="en-US" w:eastAsia="zh-CN"/>
              </w:rPr>
              <w:t>）依托集中污水处理厂的可行性分析</w:t>
            </w:r>
          </w:p>
          <w:p w14:paraId="4BC23A2F">
            <w:pPr>
              <w:widowControl/>
              <w:spacing w:line="360" w:lineRule="auto"/>
              <w:ind w:firstLine="480" w:firstLineChars="200"/>
              <w:jc w:val="both"/>
              <w:rPr>
                <w:rFonts w:hint="default" w:ascii="Times New Roman" w:hAnsi="Times New Roman" w:eastAsia="宋体" w:cs="Times New Roman"/>
                <w:b w:val="0"/>
                <w:bCs w:val="0"/>
                <w:strike w:val="0"/>
                <w:dstrike w:val="0"/>
                <w:color w:val="auto"/>
                <w:sz w:val="24"/>
                <w:szCs w:val="24"/>
                <w:highlight w:val="none"/>
                <w:lang w:val="en-US" w:eastAsia="zh-CN"/>
              </w:rPr>
            </w:pPr>
            <w:r>
              <w:rPr>
                <w:rFonts w:hint="default" w:ascii="Times New Roman" w:hAnsi="Times New Roman" w:eastAsia="宋体" w:cs="Times New Roman"/>
                <w:b w:val="0"/>
                <w:bCs w:val="0"/>
                <w:strike w:val="0"/>
                <w:dstrike w:val="0"/>
                <w:color w:val="auto"/>
                <w:sz w:val="24"/>
                <w:szCs w:val="24"/>
                <w:highlight w:val="none"/>
                <w:lang w:val="en-US" w:eastAsia="zh-CN"/>
              </w:rPr>
              <w:t>根据《建设项目环境影响报告表编制技术指南</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污染影响类</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试行</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环办环评〔2020〕33号</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要求，废水间接排放的建设项目应从处理能力、处理工艺、设计进出水水质等方面，分析依托集中污水处理厂的可行性。</w:t>
            </w:r>
          </w:p>
          <w:p w14:paraId="65FF62D8">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①福清市融元污水处理厂基本情况</w:t>
            </w:r>
          </w:p>
          <w:p w14:paraId="16B5DA69">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A.设计进出水水质</w:t>
            </w:r>
          </w:p>
          <w:p w14:paraId="0BAC184F">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default" w:ascii="Times New Roman" w:hAnsi="Times New Roman" w:eastAsia="宋体" w:cs="Times New Roman"/>
                <w:b w:val="0"/>
                <w:bCs w:val="0"/>
                <w:strike w:val="0"/>
                <w:dstrike w:val="0"/>
                <w:color w:val="auto"/>
                <w:sz w:val="24"/>
                <w:szCs w:val="24"/>
                <w:highlight w:val="none"/>
                <w:lang w:val="en-US" w:eastAsia="zh-CN"/>
              </w:rPr>
              <w:t>根据《福清市融元污水处理厂提标及改造工程环境影响报告书</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报批稿</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可知，</w:t>
            </w:r>
            <w:r>
              <w:rPr>
                <w:rFonts w:hint="eastAsia" w:ascii="Times New Roman" w:hAnsi="Times New Roman" w:eastAsia="宋体" w:cs="Times New Roman"/>
                <w:b w:val="0"/>
                <w:bCs w:val="0"/>
                <w:strike w:val="0"/>
                <w:dstrike w:val="0"/>
                <w:color w:val="auto"/>
                <w:sz w:val="24"/>
                <w:szCs w:val="24"/>
                <w:highlight w:val="none"/>
                <w:lang w:val="en-US" w:eastAsia="zh-CN"/>
              </w:rPr>
              <w:t>福清市融元污水处理厂</w:t>
            </w:r>
            <w:r>
              <w:rPr>
                <w:rFonts w:hint="default" w:ascii="Times New Roman" w:hAnsi="Times New Roman" w:eastAsia="宋体" w:cs="Times New Roman"/>
                <w:b w:val="0"/>
                <w:bCs w:val="0"/>
                <w:strike w:val="0"/>
                <w:dstrike w:val="0"/>
                <w:color w:val="auto"/>
                <w:sz w:val="24"/>
                <w:szCs w:val="24"/>
                <w:highlight w:val="none"/>
                <w:lang w:val="en-US" w:eastAsia="zh-CN"/>
              </w:rPr>
              <w:t>进出水水质见表</w:t>
            </w:r>
            <w:r>
              <w:rPr>
                <w:rFonts w:hint="eastAsia" w:ascii="Times New Roman" w:hAnsi="Times New Roman" w:eastAsia="宋体" w:cs="Times New Roman"/>
                <w:b w:val="0"/>
                <w:bCs w:val="0"/>
                <w:strike w:val="0"/>
                <w:dstrike w:val="0"/>
                <w:color w:val="auto"/>
                <w:sz w:val="24"/>
                <w:szCs w:val="24"/>
                <w:highlight w:val="none"/>
                <w:lang w:val="en-US" w:eastAsia="zh-CN"/>
              </w:rPr>
              <w:t>4.2-2</w:t>
            </w:r>
            <w:r>
              <w:rPr>
                <w:rFonts w:hint="default" w:ascii="Times New Roman" w:hAnsi="Times New Roman" w:eastAsia="宋体" w:cs="Times New Roman"/>
                <w:b w:val="0"/>
                <w:bCs w:val="0"/>
                <w:strike w:val="0"/>
                <w:dstrike w:val="0"/>
                <w:color w:val="auto"/>
                <w:sz w:val="24"/>
                <w:szCs w:val="24"/>
                <w:highlight w:val="none"/>
                <w:lang w:val="en-US" w:eastAsia="zh-CN"/>
              </w:rPr>
              <w:t>。</w:t>
            </w:r>
          </w:p>
          <w:p w14:paraId="70198885">
            <w:pPr>
              <w:pStyle w:val="53"/>
              <w:keepNext w:val="0"/>
              <w:keepLines w:val="0"/>
              <w:pageBreakBefore w:val="0"/>
              <w:widowControl w:val="0"/>
              <w:kinsoku/>
              <w:wordWrap/>
              <w:overflowPunct/>
              <w:topLinePunct w:val="0"/>
              <w:autoSpaceDE/>
              <w:autoSpaceDN/>
              <w:bidi w:val="0"/>
              <w:adjustRightInd w:val="0"/>
              <w:snapToGrid w:val="0"/>
              <w:spacing w:before="163" w:beforeLines="5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表4.</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 污水处理厂</w:t>
            </w:r>
            <w:r>
              <w:rPr>
                <w:rFonts w:hint="default" w:ascii="Times New Roman" w:hAnsi="Times New Roman" w:eastAsia="宋体" w:cs="Times New Roman"/>
                <w:color w:val="auto"/>
                <w:sz w:val="24"/>
                <w:szCs w:val="24"/>
                <w:highlight w:val="none"/>
                <w:lang w:val="en-US" w:eastAsia="zh-CN"/>
              </w:rPr>
              <w:t>进出水水质标准</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mg/L</w:t>
            </w:r>
            <w:r>
              <w:rPr>
                <w:rFonts w:hint="eastAsia" w:ascii="Times New Roman" w:hAnsi="Times New Roman" w:eastAsia="宋体" w:cs="Times New Roman"/>
                <w:color w:val="auto"/>
                <w:sz w:val="24"/>
                <w:szCs w:val="24"/>
                <w:highlight w:val="none"/>
                <w:lang w:val="en-US" w:eastAsia="zh-CN"/>
              </w:rPr>
              <w:t xml:space="preserve"> pH除外</w:t>
            </w:r>
            <w:r>
              <w:rPr>
                <w:rFonts w:hint="eastAsia" w:cs="Times New Roman"/>
                <w:color w:val="auto"/>
                <w:sz w:val="24"/>
                <w:szCs w:val="24"/>
                <w:highlight w:val="none"/>
                <w:lang w:val="en-US" w:eastAsia="zh-CN"/>
              </w:rPr>
              <w:t>）</w:t>
            </w:r>
          </w:p>
          <w:tbl>
            <w:tblPr>
              <w:tblStyle w:val="5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60"/>
              <w:gridCol w:w="1415"/>
              <w:gridCol w:w="1151"/>
              <w:gridCol w:w="1042"/>
              <w:gridCol w:w="1109"/>
              <w:gridCol w:w="1027"/>
              <w:gridCol w:w="1027"/>
              <w:gridCol w:w="919"/>
            </w:tblGrid>
            <w:tr w14:paraId="47D91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55" w:type="pct"/>
                  <w:noWrap w:val="0"/>
                  <w:vAlign w:val="center"/>
                </w:tcPr>
                <w:p w14:paraId="38D251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水质指标</w:t>
                  </w:r>
                </w:p>
              </w:tc>
              <w:tc>
                <w:tcPr>
                  <w:tcW w:w="799" w:type="pct"/>
                  <w:noWrap w:val="0"/>
                  <w:vAlign w:val="center"/>
                </w:tcPr>
                <w:p w14:paraId="00AE9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pH</w:t>
                  </w:r>
                </w:p>
              </w:tc>
              <w:tc>
                <w:tcPr>
                  <w:tcW w:w="650" w:type="pct"/>
                  <w:noWrap w:val="0"/>
                  <w:vAlign w:val="center"/>
                </w:tcPr>
                <w:p w14:paraId="216994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COD</w:t>
                  </w:r>
                </w:p>
              </w:tc>
              <w:tc>
                <w:tcPr>
                  <w:tcW w:w="588" w:type="pct"/>
                  <w:noWrap w:val="0"/>
                  <w:vAlign w:val="center"/>
                </w:tcPr>
                <w:p w14:paraId="4447B0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BOD5</w:t>
                  </w:r>
                </w:p>
              </w:tc>
              <w:tc>
                <w:tcPr>
                  <w:tcW w:w="626" w:type="pct"/>
                  <w:noWrap w:val="0"/>
                  <w:vAlign w:val="center"/>
                </w:tcPr>
                <w:p w14:paraId="09F8F9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SS</w:t>
                  </w:r>
                </w:p>
              </w:tc>
              <w:tc>
                <w:tcPr>
                  <w:tcW w:w="580" w:type="pct"/>
                  <w:noWrap w:val="0"/>
                  <w:vAlign w:val="center"/>
                </w:tcPr>
                <w:p w14:paraId="54353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NH3-N</w:t>
                  </w:r>
                </w:p>
              </w:tc>
              <w:tc>
                <w:tcPr>
                  <w:tcW w:w="580" w:type="pct"/>
                  <w:noWrap w:val="0"/>
                  <w:vAlign w:val="center"/>
                </w:tcPr>
                <w:p w14:paraId="586DEB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TN</w:t>
                  </w:r>
                </w:p>
              </w:tc>
              <w:tc>
                <w:tcPr>
                  <w:tcW w:w="518" w:type="pct"/>
                  <w:noWrap w:val="0"/>
                  <w:vAlign w:val="center"/>
                </w:tcPr>
                <w:p w14:paraId="219A96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TP</w:t>
                  </w:r>
                </w:p>
              </w:tc>
            </w:tr>
            <w:tr w14:paraId="1BA8D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655" w:type="pct"/>
                  <w:noWrap w:val="0"/>
                  <w:vAlign w:val="center"/>
                </w:tcPr>
                <w:p w14:paraId="5C6A7A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进水水质</w:t>
                  </w:r>
                </w:p>
              </w:tc>
              <w:tc>
                <w:tcPr>
                  <w:tcW w:w="799" w:type="pct"/>
                  <w:noWrap w:val="0"/>
                  <w:vAlign w:val="center"/>
                </w:tcPr>
                <w:p w14:paraId="7CDB73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6~9</w:t>
                  </w:r>
                  <w:r>
                    <w:rPr>
                      <w:rFonts w:hint="eastAsia" w:cs="Times New Roman"/>
                      <w:b w:val="0"/>
                      <w:bCs w:val="0"/>
                      <w:strike w:val="0"/>
                      <w:dstrike w:val="0"/>
                      <w:color w:val="auto"/>
                      <w:sz w:val="21"/>
                      <w:szCs w:val="21"/>
                      <w:highlight w:val="none"/>
                      <w:lang w:val="en-US" w:eastAsia="zh-CN"/>
                    </w:rPr>
                    <w:t>（</w:t>
                  </w:r>
                  <w:r>
                    <w:rPr>
                      <w:rFonts w:hint="default" w:ascii="Times New Roman" w:hAnsi="Times New Roman" w:eastAsia="宋体" w:cs="Times New Roman"/>
                      <w:b w:val="0"/>
                      <w:bCs w:val="0"/>
                      <w:strike w:val="0"/>
                      <w:dstrike w:val="0"/>
                      <w:color w:val="auto"/>
                      <w:sz w:val="21"/>
                      <w:szCs w:val="21"/>
                      <w:highlight w:val="none"/>
                      <w:lang w:val="en-US" w:eastAsia="zh-CN"/>
                    </w:rPr>
                    <w:t>无量纲</w:t>
                  </w:r>
                  <w:r>
                    <w:rPr>
                      <w:rFonts w:hint="eastAsia" w:cs="Times New Roman"/>
                      <w:b w:val="0"/>
                      <w:bCs w:val="0"/>
                      <w:strike w:val="0"/>
                      <w:dstrike w:val="0"/>
                      <w:color w:val="auto"/>
                      <w:sz w:val="21"/>
                      <w:szCs w:val="21"/>
                      <w:highlight w:val="none"/>
                      <w:lang w:val="en-US" w:eastAsia="zh-CN"/>
                    </w:rPr>
                    <w:t>）</w:t>
                  </w:r>
                </w:p>
              </w:tc>
              <w:tc>
                <w:tcPr>
                  <w:tcW w:w="650" w:type="pct"/>
                  <w:noWrap w:val="0"/>
                  <w:vAlign w:val="center"/>
                </w:tcPr>
                <w:p w14:paraId="44F4AD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≤400</w:t>
                  </w:r>
                </w:p>
              </w:tc>
              <w:tc>
                <w:tcPr>
                  <w:tcW w:w="588" w:type="pct"/>
                  <w:noWrap w:val="0"/>
                  <w:vAlign w:val="center"/>
                </w:tcPr>
                <w:p w14:paraId="66C135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≤220</w:t>
                  </w:r>
                </w:p>
              </w:tc>
              <w:tc>
                <w:tcPr>
                  <w:tcW w:w="626" w:type="pct"/>
                  <w:noWrap w:val="0"/>
                  <w:vAlign w:val="center"/>
                </w:tcPr>
                <w:p w14:paraId="01E5F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≤280</w:t>
                  </w:r>
                </w:p>
              </w:tc>
              <w:tc>
                <w:tcPr>
                  <w:tcW w:w="580" w:type="pct"/>
                  <w:noWrap w:val="0"/>
                  <w:vAlign w:val="center"/>
                </w:tcPr>
                <w:p w14:paraId="30636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≤37</w:t>
                  </w:r>
                </w:p>
              </w:tc>
              <w:tc>
                <w:tcPr>
                  <w:tcW w:w="580" w:type="pct"/>
                  <w:noWrap w:val="0"/>
                  <w:vAlign w:val="center"/>
                </w:tcPr>
                <w:p w14:paraId="5273E9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≤54</w:t>
                  </w:r>
                </w:p>
              </w:tc>
              <w:tc>
                <w:tcPr>
                  <w:tcW w:w="518" w:type="pct"/>
                  <w:noWrap w:val="0"/>
                  <w:vAlign w:val="center"/>
                </w:tcPr>
                <w:p w14:paraId="178567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≤4</w:t>
                  </w:r>
                </w:p>
              </w:tc>
            </w:tr>
            <w:tr w14:paraId="1FE4C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2" w:hRule="atLeast"/>
              </w:trPr>
              <w:tc>
                <w:tcPr>
                  <w:tcW w:w="655" w:type="pct"/>
                  <w:noWrap w:val="0"/>
                  <w:vAlign w:val="center"/>
                </w:tcPr>
                <w:p w14:paraId="6CC725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出水标准</w:t>
                  </w:r>
                </w:p>
              </w:tc>
              <w:tc>
                <w:tcPr>
                  <w:tcW w:w="799" w:type="pct"/>
                  <w:noWrap w:val="0"/>
                  <w:vAlign w:val="center"/>
                </w:tcPr>
                <w:p w14:paraId="53CCC9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6~9</w:t>
                  </w:r>
                  <w:r>
                    <w:rPr>
                      <w:rFonts w:hint="eastAsia" w:cs="Times New Roman"/>
                      <w:b w:val="0"/>
                      <w:bCs w:val="0"/>
                      <w:strike w:val="0"/>
                      <w:dstrike w:val="0"/>
                      <w:color w:val="auto"/>
                      <w:sz w:val="21"/>
                      <w:szCs w:val="21"/>
                      <w:highlight w:val="none"/>
                      <w:lang w:val="en-US" w:eastAsia="zh-CN"/>
                    </w:rPr>
                    <w:t>（</w:t>
                  </w:r>
                  <w:r>
                    <w:rPr>
                      <w:rFonts w:hint="default" w:ascii="Times New Roman" w:hAnsi="Times New Roman" w:eastAsia="宋体" w:cs="Times New Roman"/>
                      <w:b w:val="0"/>
                      <w:bCs w:val="0"/>
                      <w:strike w:val="0"/>
                      <w:dstrike w:val="0"/>
                      <w:color w:val="auto"/>
                      <w:sz w:val="21"/>
                      <w:szCs w:val="21"/>
                      <w:highlight w:val="none"/>
                      <w:lang w:val="en-US" w:eastAsia="zh-CN"/>
                    </w:rPr>
                    <w:t>无量纲</w:t>
                  </w:r>
                  <w:r>
                    <w:rPr>
                      <w:rFonts w:hint="eastAsia" w:cs="Times New Roman"/>
                      <w:b w:val="0"/>
                      <w:bCs w:val="0"/>
                      <w:strike w:val="0"/>
                      <w:dstrike w:val="0"/>
                      <w:color w:val="auto"/>
                      <w:sz w:val="21"/>
                      <w:szCs w:val="21"/>
                      <w:highlight w:val="none"/>
                      <w:lang w:val="en-US" w:eastAsia="zh-CN"/>
                    </w:rPr>
                    <w:t>）</w:t>
                  </w:r>
                </w:p>
              </w:tc>
              <w:tc>
                <w:tcPr>
                  <w:tcW w:w="650" w:type="pct"/>
                  <w:noWrap w:val="0"/>
                  <w:vAlign w:val="center"/>
                </w:tcPr>
                <w:p w14:paraId="52963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≤50</w:t>
                  </w:r>
                </w:p>
              </w:tc>
              <w:tc>
                <w:tcPr>
                  <w:tcW w:w="588" w:type="pct"/>
                  <w:noWrap w:val="0"/>
                  <w:vAlign w:val="center"/>
                </w:tcPr>
                <w:p w14:paraId="0B8499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≤10</w:t>
                  </w:r>
                </w:p>
              </w:tc>
              <w:tc>
                <w:tcPr>
                  <w:tcW w:w="626" w:type="pct"/>
                  <w:noWrap w:val="0"/>
                  <w:vAlign w:val="center"/>
                </w:tcPr>
                <w:p w14:paraId="0FCA64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≤10</w:t>
                  </w:r>
                </w:p>
              </w:tc>
              <w:tc>
                <w:tcPr>
                  <w:tcW w:w="580" w:type="pct"/>
                  <w:noWrap w:val="0"/>
                  <w:vAlign w:val="center"/>
                </w:tcPr>
                <w:p w14:paraId="3BD39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≤5</w:t>
                  </w:r>
                </w:p>
              </w:tc>
              <w:tc>
                <w:tcPr>
                  <w:tcW w:w="580" w:type="pct"/>
                  <w:noWrap w:val="0"/>
                  <w:vAlign w:val="center"/>
                </w:tcPr>
                <w:p w14:paraId="594037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≤15</w:t>
                  </w:r>
                </w:p>
              </w:tc>
              <w:tc>
                <w:tcPr>
                  <w:tcW w:w="518" w:type="pct"/>
                  <w:noWrap w:val="0"/>
                  <w:vAlign w:val="center"/>
                </w:tcPr>
                <w:p w14:paraId="64571F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trike w:val="0"/>
                      <w:dstrike w:val="0"/>
                      <w:color w:val="auto"/>
                      <w:sz w:val="21"/>
                      <w:szCs w:val="21"/>
                      <w:highlight w:val="none"/>
                      <w:lang w:val="en-US" w:eastAsia="zh-CN"/>
                    </w:rPr>
                  </w:pPr>
                  <w:r>
                    <w:rPr>
                      <w:rFonts w:hint="default" w:ascii="Times New Roman" w:hAnsi="Times New Roman" w:eastAsia="宋体" w:cs="Times New Roman"/>
                      <w:b w:val="0"/>
                      <w:bCs w:val="0"/>
                      <w:strike w:val="0"/>
                      <w:dstrike w:val="0"/>
                      <w:color w:val="auto"/>
                      <w:sz w:val="21"/>
                      <w:szCs w:val="21"/>
                      <w:highlight w:val="none"/>
                      <w:lang w:val="en-US" w:eastAsia="zh-CN"/>
                    </w:rPr>
                    <w:t>≤0.5</w:t>
                  </w:r>
                </w:p>
              </w:tc>
            </w:tr>
          </w:tbl>
          <w:p w14:paraId="0DDF6609">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B.</w:t>
            </w:r>
            <w:r>
              <w:rPr>
                <w:rFonts w:hint="default" w:ascii="Times New Roman" w:hAnsi="Times New Roman" w:eastAsia="宋体" w:cs="Times New Roman"/>
                <w:b w:val="0"/>
                <w:bCs w:val="0"/>
                <w:strike w:val="0"/>
                <w:dstrike w:val="0"/>
                <w:color w:val="auto"/>
                <w:sz w:val="24"/>
                <w:szCs w:val="24"/>
                <w:highlight w:val="none"/>
                <w:lang w:val="en-US" w:eastAsia="zh-CN"/>
              </w:rPr>
              <w:t>处理工艺</w:t>
            </w:r>
          </w:p>
          <w:p w14:paraId="039FAD4F">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福清市融元污水处理厂</w:t>
            </w:r>
            <w:r>
              <w:rPr>
                <w:rFonts w:hint="default" w:ascii="Times New Roman" w:hAnsi="Times New Roman" w:eastAsia="宋体" w:cs="Times New Roman"/>
                <w:b w:val="0"/>
                <w:bCs w:val="0"/>
                <w:strike w:val="0"/>
                <w:dstrike w:val="0"/>
                <w:color w:val="auto"/>
                <w:sz w:val="24"/>
                <w:szCs w:val="24"/>
                <w:highlight w:val="none"/>
                <w:lang w:val="en-US" w:eastAsia="zh-CN"/>
              </w:rPr>
              <w:t>采用</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A</w:t>
            </w:r>
            <w:r>
              <w:rPr>
                <w:rFonts w:hint="default" w:ascii="Times New Roman" w:hAnsi="Times New Roman" w:eastAsia="宋体" w:cs="Times New Roman"/>
                <w:b w:val="0"/>
                <w:bCs w:val="0"/>
                <w:strike w:val="0"/>
                <w:dstrike w:val="0"/>
                <w:color w:val="auto"/>
                <w:sz w:val="24"/>
                <w:szCs w:val="24"/>
                <w:highlight w:val="none"/>
                <w:vertAlign w:val="superscript"/>
                <w:lang w:val="en-US" w:eastAsia="zh-CN"/>
              </w:rPr>
              <w:t>2</w:t>
            </w:r>
            <w:r>
              <w:rPr>
                <w:rFonts w:hint="default" w:ascii="Times New Roman" w:hAnsi="Times New Roman" w:eastAsia="宋体" w:cs="Times New Roman"/>
                <w:b w:val="0"/>
                <w:bCs w:val="0"/>
                <w:strike w:val="0"/>
                <w:dstrike w:val="0"/>
                <w:color w:val="auto"/>
                <w:sz w:val="24"/>
                <w:szCs w:val="24"/>
                <w:highlight w:val="none"/>
                <w:lang w:val="en-US" w:eastAsia="zh-CN"/>
              </w:rPr>
              <w:t>/O生化反应工艺</w:t>
            </w:r>
            <w:r>
              <w:rPr>
                <w:rFonts w:hint="eastAsia" w:ascii="Times New Roman" w:hAnsi="Times New Roman" w:eastAsia="宋体" w:cs="Times New Roman"/>
                <w:b w:val="0"/>
                <w:bCs w:val="0"/>
                <w:strike w:val="0"/>
                <w:dstrike w:val="0"/>
                <w:color w:val="auto"/>
                <w:sz w:val="24"/>
                <w:szCs w:val="24"/>
                <w:highlight w:val="none"/>
                <w:lang w:val="en-US" w:eastAsia="zh-CN"/>
              </w:rPr>
              <w:t>”</w:t>
            </w:r>
            <w:r>
              <w:rPr>
                <w:rFonts w:hint="default" w:ascii="Times New Roman" w:hAnsi="Times New Roman" w:eastAsia="宋体" w:cs="Times New Roman"/>
                <w:b w:val="0"/>
                <w:bCs w:val="0"/>
                <w:strike w:val="0"/>
                <w:dstrike w:val="0"/>
                <w:color w:val="auto"/>
                <w:sz w:val="24"/>
                <w:szCs w:val="24"/>
                <w:highlight w:val="none"/>
                <w:lang w:val="en-US" w:eastAsia="zh-CN"/>
              </w:rPr>
              <w:t>处理工艺，属于城镇污水处理厂通用工艺，污水处理工艺流程详见图</w:t>
            </w:r>
            <w:r>
              <w:rPr>
                <w:rFonts w:hint="eastAsia" w:ascii="Times New Roman" w:hAnsi="Times New Roman" w:eastAsia="宋体" w:cs="Times New Roman"/>
                <w:b w:val="0"/>
                <w:bCs w:val="0"/>
                <w:strike w:val="0"/>
                <w:dstrike w:val="0"/>
                <w:color w:val="auto"/>
                <w:sz w:val="24"/>
                <w:szCs w:val="24"/>
                <w:highlight w:val="none"/>
                <w:lang w:val="en-US" w:eastAsia="zh-CN"/>
              </w:rPr>
              <w:t>4.2-1</w:t>
            </w:r>
            <w:r>
              <w:rPr>
                <w:rFonts w:hint="default" w:ascii="Times New Roman" w:hAnsi="Times New Roman" w:eastAsia="宋体" w:cs="Times New Roman"/>
                <w:b w:val="0"/>
                <w:bCs w:val="0"/>
                <w:strike w:val="0"/>
                <w:dstrike w:val="0"/>
                <w:color w:val="auto"/>
                <w:sz w:val="24"/>
                <w:szCs w:val="24"/>
                <w:highlight w:val="none"/>
                <w:lang w:val="en-US" w:eastAsia="zh-CN"/>
              </w:rPr>
              <w:t>。</w:t>
            </w:r>
          </w:p>
          <w:p w14:paraId="1D7DA9AF">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object>
                <v:shape id="_x0000_i1025" o:spt="75" type="#_x0000_t75" style="height:307.15pt;width:440.15pt;" o:ole="t" filled="f" o:preferrelative="t" stroked="f" coordsize="21600,21600">
                  <v:path/>
                  <v:fill on="f" focussize="0,0"/>
                  <v:stroke on="f"/>
                  <v:imagedata r:id="rId25" o:title=""/>
                  <o:lock v:ext="edit" aspectratio="t"/>
                  <w10:wrap type="none"/>
                  <w10:anchorlock/>
                </v:shape>
                <o:OLEObject Type="Embed" ProgID="Visio.Drawing.11" ShapeID="_x0000_i1025" DrawAspect="Content" ObjectID="_1468075725" r:id="rId24">
                  <o:LockedField>false</o:LockedField>
                </o:OLEObject>
              </w:object>
            </w:r>
          </w:p>
          <w:p w14:paraId="1285E42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图</w:t>
            </w:r>
            <w:r>
              <w:rPr>
                <w:rFonts w:hint="eastAsia" w:ascii="Times New Roman" w:hAnsi="Times New Roman" w:eastAsia="宋体" w:cs="Times New Roman"/>
                <w:b/>
                <w:bCs/>
                <w:color w:val="auto"/>
                <w:sz w:val="24"/>
                <w:szCs w:val="24"/>
                <w:highlight w:val="none"/>
                <w:lang w:val="en-US" w:eastAsia="zh-CN"/>
              </w:rPr>
              <w:t xml:space="preserve">4.2-1 </w:t>
            </w:r>
            <w:r>
              <w:rPr>
                <w:rFonts w:hint="default" w:ascii="Times New Roman" w:hAnsi="Times New Roman" w:eastAsia="宋体" w:cs="Times New Roman"/>
                <w:b/>
                <w:bCs/>
                <w:color w:val="auto"/>
                <w:sz w:val="24"/>
                <w:szCs w:val="24"/>
                <w:highlight w:val="none"/>
                <w:lang w:val="en-US" w:eastAsia="zh-CN"/>
              </w:rPr>
              <w:t>污水处理厂处理工艺流程图</w:t>
            </w:r>
          </w:p>
          <w:p w14:paraId="3D1270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②</w:t>
            </w:r>
            <w:r>
              <w:rPr>
                <w:rFonts w:hint="default" w:ascii="Times New Roman" w:hAnsi="Times New Roman" w:eastAsia="宋体" w:cs="Times New Roman"/>
                <w:b w:val="0"/>
                <w:bCs w:val="0"/>
                <w:strike w:val="0"/>
                <w:dstrike w:val="0"/>
                <w:color w:val="auto"/>
                <w:sz w:val="24"/>
                <w:szCs w:val="24"/>
                <w:highlight w:val="none"/>
                <w:lang w:val="en-US" w:eastAsia="zh-CN"/>
              </w:rPr>
              <w:t>依托可行性分析</w:t>
            </w:r>
          </w:p>
          <w:p w14:paraId="4508400C">
            <w:pPr>
              <w:widowControl/>
              <w:spacing w:line="360" w:lineRule="auto"/>
              <w:ind w:firstLine="480" w:firstLineChars="200"/>
              <w:jc w:val="left"/>
              <w:rPr>
                <w:rFonts w:hint="default" w:ascii="Times New Roman" w:hAnsi="Times New Roman" w:eastAsia="宋体" w:cs="Times New Roman"/>
                <w:b w:val="0"/>
                <w:bCs w:val="0"/>
                <w:strike w:val="0"/>
                <w:dstrike w:val="0"/>
                <w:color w:val="auto"/>
                <w:sz w:val="24"/>
                <w:szCs w:val="24"/>
                <w:highlight w:val="none"/>
                <w:lang w:val="en-US" w:eastAsia="zh-CN"/>
              </w:rPr>
            </w:pPr>
            <w:r>
              <w:rPr>
                <w:rFonts w:hint="eastAsia" w:ascii="Times New Roman" w:hAnsi="Times New Roman" w:eastAsia="宋体" w:cs="Times New Roman"/>
                <w:b w:val="0"/>
                <w:bCs w:val="0"/>
                <w:strike w:val="0"/>
                <w:dstrike w:val="0"/>
                <w:color w:val="auto"/>
                <w:sz w:val="24"/>
                <w:szCs w:val="24"/>
                <w:highlight w:val="none"/>
                <w:lang w:val="en-US" w:eastAsia="zh-CN"/>
              </w:rPr>
              <w:t>A.</w:t>
            </w:r>
            <w:r>
              <w:rPr>
                <w:rFonts w:hint="default" w:ascii="Times New Roman" w:hAnsi="Times New Roman" w:eastAsia="宋体" w:cs="Times New Roman"/>
                <w:b w:val="0"/>
                <w:bCs w:val="0"/>
                <w:strike w:val="0"/>
                <w:dstrike w:val="0"/>
                <w:color w:val="auto"/>
                <w:sz w:val="24"/>
                <w:szCs w:val="24"/>
                <w:highlight w:val="none"/>
                <w:lang w:val="en-US" w:eastAsia="zh-CN"/>
              </w:rPr>
              <w:t>接管可行性</w:t>
            </w:r>
          </w:p>
          <w:p w14:paraId="635E9273">
            <w:pPr>
              <w:widowControl/>
              <w:spacing w:line="360" w:lineRule="auto"/>
              <w:ind w:firstLine="480" w:firstLineChars="200"/>
              <w:jc w:val="left"/>
              <w:rPr>
                <w:rFonts w:hint="default"/>
                <w:lang w:val="en-US" w:eastAsia="zh-CN"/>
              </w:rPr>
            </w:pPr>
            <w:r>
              <w:rPr>
                <w:rFonts w:hint="eastAsia" w:cs="Times New Roman"/>
                <w:strike w:val="0"/>
                <w:dstrike w:val="0"/>
                <w:color w:val="auto"/>
                <w:sz w:val="24"/>
                <w:lang w:val="en-US" w:eastAsia="zh-CN"/>
              </w:rPr>
              <w:t>根据调查，</w:t>
            </w:r>
            <w:r>
              <w:rPr>
                <w:rFonts w:hint="eastAsia" w:ascii="Times New Roman" w:hAnsi="Times New Roman" w:eastAsia="宋体" w:cs="Times New Roman"/>
                <w:strike w:val="0"/>
                <w:dstrike w:val="0"/>
                <w:color w:val="auto"/>
                <w:sz w:val="24"/>
                <w:lang w:val="en-US" w:eastAsia="zh-CN"/>
              </w:rPr>
              <w:t>福清市融元污水处理厂</w:t>
            </w:r>
            <w:r>
              <w:rPr>
                <w:rFonts w:hint="default" w:ascii="Times New Roman" w:hAnsi="Times New Roman" w:eastAsia="宋体" w:cs="Times New Roman"/>
                <w:strike w:val="0"/>
                <w:dstrike w:val="0"/>
                <w:color w:val="auto"/>
                <w:sz w:val="24"/>
                <w:lang w:val="en-US" w:eastAsia="zh-CN"/>
              </w:rPr>
              <w:t>主要负责</w:t>
            </w:r>
            <w:r>
              <w:rPr>
                <w:rFonts w:hint="eastAsia" w:ascii="Times New Roman" w:hAnsi="Times New Roman" w:eastAsia="宋体" w:cs="Times New Roman"/>
                <w:strike w:val="0"/>
                <w:dstrike w:val="0"/>
                <w:color w:val="auto"/>
                <w:sz w:val="24"/>
                <w:lang w:val="en-US" w:eastAsia="zh-CN"/>
              </w:rPr>
              <w:t>城关区和洪宽区</w:t>
            </w:r>
            <w:r>
              <w:rPr>
                <w:rFonts w:hint="eastAsia" w:cs="Times New Roman"/>
                <w:strike w:val="0"/>
                <w:dstrike w:val="0"/>
                <w:color w:val="auto"/>
                <w:sz w:val="24"/>
                <w:lang w:val="en-US" w:eastAsia="zh-CN"/>
              </w:rPr>
              <w:t>（</w:t>
            </w:r>
            <w:r>
              <w:rPr>
                <w:rFonts w:hint="eastAsia" w:ascii="Times New Roman" w:hAnsi="Times New Roman" w:eastAsia="宋体" w:cs="Times New Roman"/>
                <w:strike w:val="0"/>
                <w:dstrike w:val="0"/>
                <w:color w:val="auto"/>
                <w:sz w:val="24"/>
                <w:lang w:val="en-US" w:eastAsia="zh-CN"/>
              </w:rPr>
              <w:t>增加京东方和东旭光电项目</w:t>
            </w:r>
            <w:r>
              <w:rPr>
                <w:rFonts w:hint="eastAsia" w:cs="Times New Roman"/>
                <w:strike w:val="0"/>
                <w:dstrike w:val="0"/>
                <w:color w:val="auto"/>
                <w:sz w:val="24"/>
                <w:lang w:val="en-US" w:eastAsia="zh-CN"/>
              </w:rPr>
              <w:t>）</w:t>
            </w:r>
            <w:r>
              <w:rPr>
                <w:rFonts w:hint="eastAsia" w:ascii="Times New Roman" w:hAnsi="Times New Roman" w:eastAsia="宋体" w:cs="Times New Roman"/>
                <w:strike w:val="0"/>
                <w:dstrike w:val="0"/>
                <w:color w:val="auto"/>
                <w:sz w:val="24"/>
                <w:lang w:val="en-US" w:eastAsia="zh-CN"/>
              </w:rPr>
              <w:t>的生活污水和工业污水。</w:t>
            </w:r>
            <w:r>
              <w:rPr>
                <w:rFonts w:hint="default" w:ascii="Times New Roman" w:hAnsi="Times New Roman" w:eastAsia="宋体" w:cs="Times New Roman"/>
                <w:strike w:val="0"/>
                <w:dstrike w:val="0"/>
                <w:color w:val="auto"/>
                <w:sz w:val="24"/>
                <w:lang w:val="en-US" w:eastAsia="zh-CN"/>
              </w:rPr>
              <w:t>本项目位于</w:t>
            </w:r>
            <w:r>
              <w:rPr>
                <w:rFonts w:hint="eastAsia" w:ascii="Times New Roman" w:hAnsi="Times New Roman" w:eastAsia="宋体" w:cs="Times New Roman"/>
                <w:strike w:val="0"/>
                <w:dstrike w:val="0"/>
                <w:color w:val="auto"/>
                <w:sz w:val="24"/>
                <w:lang w:val="en-US" w:eastAsia="zh-CN"/>
              </w:rPr>
              <w:t>福清市融侨经济技术开发区</w:t>
            </w:r>
            <w:r>
              <w:rPr>
                <w:rFonts w:hint="default" w:ascii="Times New Roman" w:hAnsi="Times New Roman" w:eastAsia="宋体" w:cs="Times New Roman"/>
                <w:strike w:val="0"/>
                <w:dstrike w:val="0"/>
                <w:color w:val="auto"/>
                <w:sz w:val="24"/>
                <w:lang w:val="en-US" w:eastAsia="zh-CN"/>
              </w:rPr>
              <w:t>，属于</w:t>
            </w:r>
            <w:r>
              <w:rPr>
                <w:rFonts w:hint="eastAsia" w:ascii="Times New Roman" w:hAnsi="Times New Roman" w:eastAsia="宋体" w:cs="Times New Roman"/>
                <w:strike w:val="0"/>
                <w:dstrike w:val="0"/>
                <w:color w:val="auto"/>
                <w:sz w:val="24"/>
                <w:lang w:val="en-US" w:eastAsia="zh-CN"/>
              </w:rPr>
              <w:t>福清市融元污水处理厂</w:t>
            </w:r>
            <w:r>
              <w:rPr>
                <w:rFonts w:hint="default" w:ascii="Times New Roman" w:hAnsi="Times New Roman" w:eastAsia="宋体" w:cs="Times New Roman"/>
                <w:strike w:val="0"/>
                <w:dstrike w:val="0"/>
                <w:color w:val="auto"/>
                <w:sz w:val="24"/>
                <w:lang w:val="en-US" w:eastAsia="zh-CN"/>
              </w:rPr>
              <w:t>服务范围内，根据现场勘查，目前</w:t>
            </w:r>
            <w:r>
              <w:rPr>
                <w:rFonts w:hint="eastAsia" w:ascii="Times New Roman" w:hAnsi="Times New Roman" w:eastAsia="宋体" w:cs="Times New Roman"/>
                <w:strike w:val="0"/>
                <w:dstrike w:val="0"/>
                <w:color w:val="auto"/>
                <w:sz w:val="24"/>
                <w:lang w:val="en-US" w:eastAsia="zh-CN"/>
              </w:rPr>
              <w:t>厂区周边的</w:t>
            </w:r>
            <w:r>
              <w:rPr>
                <w:rFonts w:hint="default" w:ascii="Times New Roman" w:hAnsi="Times New Roman" w:eastAsia="宋体" w:cs="Times New Roman"/>
                <w:strike w:val="0"/>
                <w:dstrike w:val="0"/>
                <w:color w:val="auto"/>
                <w:sz w:val="24"/>
                <w:lang w:val="en-US" w:eastAsia="zh-CN"/>
              </w:rPr>
              <w:t>市政污水管网已经铺设完成并已经投入正常运行，本项目厂区污水总排口已经接入市政污水管网</w:t>
            </w:r>
            <w:r>
              <w:rPr>
                <w:rFonts w:hint="eastAsia" w:ascii="Times New Roman" w:hAnsi="Times New Roman" w:eastAsia="宋体" w:cs="Times New Roman"/>
                <w:strike w:val="0"/>
                <w:dstrike w:val="0"/>
                <w:color w:val="auto"/>
                <w:sz w:val="24"/>
                <w:lang w:val="en-US" w:eastAsia="zh-CN"/>
              </w:rPr>
              <w:t>，项目污水排口位于厂区的西北侧区域</w:t>
            </w:r>
            <w:r>
              <w:rPr>
                <w:rFonts w:hint="default" w:ascii="Times New Roman" w:hAnsi="Times New Roman" w:eastAsia="宋体" w:cs="Times New Roman"/>
                <w:strike w:val="0"/>
                <w:dstrike w:val="0"/>
                <w:color w:val="auto"/>
                <w:sz w:val="24"/>
                <w:lang w:val="en-US" w:eastAsia="zh-CN"/>
              </w:rPr>
              <w:t>。</w:t>
            </w:r>
            <w:r>
              <w:rPr>
                <w:color w:val="auto"/>
              </w:rPr>
              <w:drawing>
                <wp:inline distT="0" distB="0" distL="114300" distR="114300">
                  <wp:extent cx="5427345" cy="3825240"/>
                  <wp:effectExtent l="0" t="0" r="13335" b="0"/>
                  <wp:docPr id="1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4"/>
                          <pic:cNvPicPr>
                            <a:picLocks noChangeAspect="1"/>
                          </pic:cNvPicPr>
                        </pic:nvPicPr>
                        <pic:blipFill>
                          <a:blip r:embed="rId26"/>
                          <a:stretch>
                            <a:fillRect/>
                          </a:stretch>
                        </pic:blipFill>
                        <pic:spPr>
                          <a:xfrm>
                            <a:off x="0" y="0"/>
                            <a:ext cx="5427345" cy="3825240"/>
                          </a:xfrm>
                          <a:prstGeom prst="rect">
                            <a:avLst/>
                          </a:prstGeom>
                          <a:noFill/>
                          <a:ln>
                            <a:noFill/>
                          </a:ln>
                        </pic:spPr>
                      </pic:pic>
                    </a:graphicData>
                  </a:graphic>
                </wp:inline>
              </w:drawing>
            </w:r>
          </w:p>
          <w:p w14:paraId="76000A72">
            <w:pPr>
              <w:pStyle w:val="42"/>
              <w:keepNext w:val="0"/>
              <w:keepLines w:val="0"/>
              <w:pageBreakBefore w:val="0"/>
              <w:widowControl w:val="0"/>
              <w:kinsoku/>
              <w:wordWrap/>
              <w:overflowPunct/>
              <w:topLinePunct w:val="0"/>
              <w:autoSpaceDE w:val="0"/>
              <w:autoSpaceDN w:val="0"/>
              <w:bidi w:val="0"/>
              <w:adjustRightInd w:val="0"/>
              <w:snapToGrid w:val="0"/>
              <w:spacing w:before="0" w:beforeLines="0" w:after="163" w:afterLines="50"/>
              <w:ind w:left="0" w:leftChars="0" w:firstLine="0" w:firstLineChars="0"/>
              <w:jc w:val="center"/>
              <w:textAlignment w:val="baseline"/>
              <w:rPr>
                <w:rFonts w:hint="default" w:ascii="Times New Roman" w:hAnsi="Times New Roman" w:eastAsia="宋体" w:cs="Times New Roman"/>
                <w:b/>
                <w:bCs/>
                <w:strike w:val="0"/>
                <w:dstrike w:val="0"/>
                <w:color w:val="auto"/>
                <w:sz w:val="24"/>
                <w:szCs w:val="24"/>
                <w:lang w:val="en-US" w:eastAsia="zh-CN"/>
              </w:rPr>
            </w:pPr>
            <w:r>
              <w:rPr>
                <w:rFonts w:hint="default" w:ascii="Times New Roman" w:hAnsi="Times New Roman" w:eastAsia="宋体" w:cs="Times New Roman"/>
                <w:b/>
                <w:bCs/>
                <w:color w:val="auto"/>
                <w:sz w:val="24"/>
                <w:szCs w:val="24"/>
              </w:rPr>
              <w:t>图4.</w:t>
            </w: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 xml:space="preserve"> 污水工程规划图</w:t>
            </w:r>
          </w:p>
          <w:p w14:paraId="36815B82">
            <w:pPr>
              <w:widowControl/>
              <w:spacing w:line="360" w:lineRule="auto"/>
              <w:ind w:firstLine="480" w:firstLineChars="200"/>
              <w:jc w:val="left"/>
              <w:rPr>
                <w:rFonts w:hint="default" w:ascii="Times New Roman" w:hAnsi="Times New Roman" w:eastAsia="宋体" w:cs="Times New Roman"/>
                <w:strike w:val="0"/>
                <w:dstrike w:val="0"/>
                <w:color w:val="auto"/>
                <w:sz w:val="24"/>
                <w:lang w:val="en-US" w:eastAsia="zh-CN"/>
              </w:rPr>
            </w:pPr>
            <w:r>
              <w:rPr>
                <w:rFonts w:hint="eastAsia" w:ascii="Times New Roman" w:hAnsi="Times New Roman" w:eastAsia="宋体" w:cs="Times New Roman"/>
                <w:strike w:val="0"/>
                <w:dstrike w:val="0"/>
                <w:color w:val="auto"/>
                <w:sz w:val="24"/>
                <w:lang w:val="en-US" w:eastAsia="zh-CN"/>
              </w:rPr>
              <w:t>B.</w:t>
            </w:r>
            <w:r>
              <w:rPr>
                <w:rFonts w:hint="default" w:ascii="Times New Roman" w:hAnsi="Times New Roman" w:eastAsia="宋体" w:cs="Times New Roman"/>
                <w:strike w:val="0"/>
                <w:dstrike w:val="0"/>
                <w:color w:val="auto"/>
                <w:sz w:val="24"/>
                <w:lang w:val="en-US" w:eastAsia="zh-CN"/>
              </w:rPr>
              <w:t>水质负荷</w:t>
            </w:r>
          </w:p>
          <w:p w14:paraId="25031ABC">
            <w:pPr>
              <w:widowControl/>
              <w:spacing w:line="360" w:lineRule="auto"/>
              <w:ind w:firstLine="480" w:firstLineChars="200"/>
              <w:jc w:val="left"/>
              <w:rPr>
                <w:rFonts w:hint="default" w:ascii="Times New Roman" w:hAnsi="Times New Roman" w:eastAsia="宋体" w:cs="Times New Roman"/>
                <w:strike w:val="0"/>
                <w:dstrike w:val="0"/>
                <w:color w:val="auto"/>
                <w:sz w:val="24"/>
                <w:lang w:val="en-US" w:eastAsia="zh-CN"/>
              </w:rPr>
            </w:pPr>
            <w:r>
              <w:rPr>
                <w:rFonts w:hint="eastAsia" w:ascii="Times New Roman" w:hAnsi="Times New Roman" w:eastAsia="宋体" w:cs="Times New Roman"/>
                <w:strike w:val="0"/>
                <w:dstrike w:val="0"/>
                <w:color w:val="auto"/>
                <w:sz w:val="24"/>
                <w:lang w:val="en-US" w:eastAsia="zh-CN"/>
              </w:rPr>
              <w:t>本项目</w:t>
            </w:r>
            <w:r>
              <w:rPr>
                <w:rFonts w:hint="default" w:ascii="Times New Roman" w:hAnsi="Times New Roman" w:eastAsia="宋体" w:cs="Times New Roman"/>
                <w:strike w:val="0"/>
                <w:dstrike w:val="0"/>
                <w:color w:val="auto"/>
                <w:sz w:val="24"/>
                <w:lang w:val="en-US" w:eastAsia="zh-CN"/>
              </w:rPr>
              <w:t>生活污水直接经化粪池预处理</w:t>
            </w:r>
            <w:r>
              <w:rPr>
                <w:rFonts w:hint="eastAsia" w:ascii="Times New Roman" w:hAnsi="Times New Roman" w:eastAsia="宋体" w:cs="Times New Roman"/>
                <w:strike w:val="0"/>
                <w:dstrike w:val="0"/>
                <w:color w:val="auto"/>
                <w:sz w:val="24"/>
                <w:lang w:val="en-US" w:eastAsia="zh-CN"/>
              </w:rPr>
              <w:t>直接依托厂区污水总排口</w:t>
            </w:r>
            <w:r>
              <w:rPr>
                <w:rFonts w:hint="default" w:ascii="Times New Roman" w:hAnsi="Times New Roman" w:eastAsia="宋体" w:cs="Times New Roman"/>
                <w:strike w:val="0"/>
                <w:dstrike w:val="0"/>
                <w:color w:val="auto"/>
                <w:sz w:val="24"/>
                <w:lang w:val="en-US" w:eastAsia="zh-CN"/>
              </w:rPr>
              <w:t>排入市政污水管网</w:t>
            </w:r>
            <w:r>
              <w:rPr>
                <w:rFonts w:hint="eastAsia" w:ascii="Times New Roman" w:hAnsi="Times New Roman" w:eastAsia="宋体"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根据</w:t>
            </w:r>
            <w:r>
              <w:rPr>
                <w:rFonts w:hint="eastAsia" w:ascii="Times New Roman" w:hAnsi="Times New Roman" w:eastAsia="宋体" w:cs="Times New Roman"/>
                <w:strike w:val="0"/>
                <w:dstrike w:val="0"/>
                <w:color w:val="auto"/>
                <w:sz w:val="24"/>
                <w:lang w:val="en-US" w:eastAsia="zh-CN"/>
              </w:rPr>
              <w:t>前文</w:t>
            </w:r>
            <w:r>
              <w:rPr>
                <w:rFonts w:hint="default" w:ascii="Times New Roman" w:hAnsi="Times New Roman" w:eastAsia="宋体" w:cs="Times New Roman"/>
                <w:strike w:val="0"/>
                <w:dstrike w:val="0"/>
                <w:color w:val="auto"/>
                <w:sz w:val="24"/>
                <w:lang w:val="en-US" w:eastAsia="zh-CN"/>
              </w:rPr>
              <w:t>分析预测可知</w:t>
            </w:r>
            <w:r>
              <w:rPr>
                <w:rFonts w:hint="eastAsia" w:ascii="Times New Roman" w:hAnsi="Times New Roman" w:eastAsia="宋体"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本项目生活污水</w:t>
            </w:r>
            <w:r>
              <w:rPr>
                <w:rFonts w:hint="eastAsia" w:ascii="Times New Roman" w:hAnsi="Times New Roman" w:eastAsia="宋体" w:cs="Times New Roman"/>
                <w:strike w:val="0"/>
                <w:dstrike w:val="0"/>
                <w:color w:val="auto"/>
                <w:sz w:val="24"/>
                <w:lang w:val="en-US" w:eastAsia="zh-CN"/>
              </w:rPr>
              <w:t>经化粪池预处理后</w:t>
            </w:r>
            <w:r>
              <w:rPr>
                <w:rFonts w:hint="default" w:ascii="Times New Roman" w:hAnsi="Times New Roman" w:eastAsia="宋体" w:cs="Times New Roman"/>
                <w:strike w:val="0"/>
                <w:dstrike w:val="0"/>
                <w:color w:val="auto"/>
                <w:sz w:val="24"/>
                <w:lang w:val="en-US" w:eastAsia="zh-CN"/>
              </w:rPr>
              <w:t>主要污染物排放浓度均能满足《污水综合排放标准》</w:t>
            </w:r>
            <w:r>
              <w:rPr>
                <w:rFonts w:hint="eastAsia"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GB8978-1996</w:t>
            </w:r>
            <w:r>
              <w:rPr>
                <w:rFonts w:hint="eastAsia"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表4三级标准及《污水排入城镇下水道水质标准》</w:t>
            </w:r>
            <w:r>
              <w:rPr>
                <w:rFonts w:hint="eastAsia"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GB/T 31962-2015</w:t>
            </w:r>
            <w:r>
              <w:rPr>
                <w:rFonts w:hint="eastAsia"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表1中B级标准限值</w:t>
            </w:r>
            <w:r>
              <w:rPr>
                <w:rFonts w:hint="eastAsia" w:ascii="Times New Roman" w:hAnsi="Times New Roman" w:eastAsia="宋体" w:cs="Times New Roman"/>
                <w:strike w:val="0"/>
                <w:dstrike w:val="0"/>
                <w:color w:val="auto"/>
                <w:sz w:val="24"/>
                <w:lang w:val="en-US" w:eastAsia="zh-CN"/>
              </w:rPr>
              <w:t>，也可以符合污水处理厂进水水质标准。</w:t>
            </w:r>
            <w:r>
              <w:rPr>
                <w:rFonts w:hint="default" w:ascii="Times New Roman" w:hAnsi="Times New Roman" w:eastAsia="宋体" w:cs="Times New Roman"/>
                <w:strike w:val="0"/>
                <w:dstrike w:val="0"/>
                <w:color w:val="auto"/>
                <w:sz w:val="24"/>
                <w:lang w:val="en-US" w:eastAsia="zh-CN"/>
              </w:rPr>
              <w:t>项目</w:t>
            </w:r>
            <w:r>
              <w:rPr>
                <w:rFonts w:hint="eastAsia" w:ascii="Times New Roman" w:hAnsi="Times New Roman" w:eastAsia="宋体" w:cs="Times New Roman"/>
                <w:strike w:val="0"/>
                <w:dstrike w:val="0"/>
                <w:color w:val="auto"/>
                <w:sz w:val="24"/>
                <w:lang w:val="en-US" w:eastAsia="zh-CN"/>
              </w:rPr>
              <w:t>生活污水</w:t>
            </w:r>
            <w:r>
              <w:rPr>
                <w:rFonts w:hint="default" w:ascii="Times New Roman" w:hAnsi="Times New Roman" w:eastAsia="宋体" w:cs="Times New Roman"/>
                <w:strike w:val="0"/>
                <w:dstrike w:val="0"/>
                <w:color w:val="auto"/>
                <w:sz w:val="24"/>
                <w:lang w:val="en-US" w:eastAsia="zh-CN"/>
              </w:rPr>
              <w:t>不涉及有毒有害污染物，不涉及持久性、重金属，也不含有腐蚀成分，因此，从水质方面分析，项目</w:t>
            </w:r>
            <w:r>
              <w:rPr>
                <w:rFonts w:hint="eastAsia" w:ascii="Times New Roman" w:hAnsi="Times New Roman" w:eastAsia="宋体" w:cs="Times New Roman"/>
                <w:strike w:val="0"/>
                <w:dstrike w:val="0"/>
                <w:color w:val="auto"/>
                <w:sz w:val="24"/>
                <w:lang w:val="en-US" w:eastAsia="zh-CN"/>
              </w:rPr>
              <w:t>生活污水</w:t>
            </w:r>
            <w:r>
              <w:rPr>
                <w:rFonts w:hint="default" w:ascii="Times New Roman" w:hAnsi="Times New Roman" w:eastAsia="宋体" w:cs="Times New Roman"/>
                <w:strike w:val="0"/>
                <w:dstrike w:val="0"/>
                <w:color w:val="auto"/>
                <w:sz w:val="24"/>
                <w:lang w:val="en-US" w:eastAsia="zh-CN"/>
              </w:rPr>
              <w:t>经处理达标后，</w:t>
            </w:r>
            <w:r>
              <w:rPr>
                <w:rFonts w:hint="eastAsia" w:ascii="Times New Roman" w:hAnsi="Times New Roman" w:eastAsia="宋体" w:cs="Times New Roman"/>
                <w:strike w:val="0"/>
                <w:dstrike w:val="0"/>
                <w:color w:val="auto"/>
                <w:sz w:val="24"/>
                <w:lang w:val="en-US" w:eastAsia="zh-CN"/>
              </w:rPr>
              <w:t>福清市融元污水处理厂</w:t>
            </w:r>
            <w:r>
              <w:rPr>
                <w:rFonts w:hint="default" w:ascii="Times New Roman" w:hAnsi="Times New Roman" w:eastAsia="宋体" w:cs="Times New Roman"/>
                <w:strike w:val="0"/>
                <w:dstrike w:val="0"/>
                <w:color w:val="auto"/>
                <w:sz w:val="24"/>
                <w:lang w:val="en-US" w:eastAsia="zh-CN"/>
              </w:rPr>
              <w:t>可接纳项目</w:t>
            </w:r>
            <w:r>
              <w:rPr>
                <w:rFonts w:hint="eastAsia" w:ascii="Times New Roman" w:hAnsi="Times New Roman" w:eastAsia="宋体" w:cs="Times New Roman"/>
                <w:strike w:val="0"/>
                <w:dstrike w:val="0"/>
                <w:color w:val="auto"/>
                <w:sz w:val="24"/>
                <w:lang w:val="en-US" w:eastAsia="zh-CN"/>
              </w:rPr>
              <w:t>污水</w:t>
            </w:r>
            <w:r>
              <w:rPr>
                <w:rFonts w:hint="default" w:ascii="Times New Roman" w:hAnsi="Times New Roman" w:eastAsia="宋体" w:cs="Times New Roman"/>
                <w:strike w:val="0"/>
                <w:dstrike w:val="0"/>
                <w:color w:val="auto"/>
                <w:sz w:val="24"/>
                <w:lang w:val="en-US" w:eastAsia="zh-CN"/>
              </w:rPr>
              <w:t>水质，不会对</w:t>
            </w:r>
            <w:r>
              <w:rPr>
                <w:rFonts w:hint="eastAsia" w:ascii="Times New Roman" w:hAnsi="Times New Roman" w:eastAsia="宋体" w:cs="Times New Roman"/>
                <w:strike w:val="0"/>
                <w:dstrike w:val="0"/>
                <w:color w:val="auto"/>
                <w:sz w:val="24"/>
                <w:lang w:val="en-US" w:eastAsia="zh-CN"/>
              </w:rPr>
              <w:t>污水处理厂</w:t>
            </w:r>
            <w:r>
              <w:rPr>
                <w:rFonts w:hint="default" w:ascii="Times New Roman" w:hAnsi="Times New Roman" w:eastAsia="宋体" w:cs="Times New Roman"/>
                <w:strike w:val="0"/>
                <w:dstrike w:val="0"/>
                <w:color w:val="auto"/>
                <w:sz w:val="24"/>
                <w:lang w:val="en-US" w:eastAsia="zh-CN"/>
              </w:rPr>
              <w:t>水质负荷造成冲击。</w:t>
            </w:r>
          </w:p>
          <w:p w14:paraId="764F809C">
            <w:pPr>
              <w:widowControl/>
              <w:spacing w:line="360" w:lineRule="auto"/>
              <w:ind w:firstLine="480" w:firstLineChars="200"/>
              <w:jc w:val="left"/>
              <w:rPr>
                <w:rFonts w:hint="default" w:ascii="Times New Roman" w:hAnsi="Times New Roman" w:eastAsia="宋体" w:cs="Times New Roman"/>
                <w:strike w:val="0"/>
                <w:dstrike w:val="0"/>
                <w:color w:val="auto"/>
                <w:sz w:val="24"/>
                <w:lang w:val="en-US" w:eastAsia="zh-CN"/>
              </w:rPr>
            </w:pPr>
            <w:r>
              <w:rPr>
                <w:rFonts w:hint="eastAsia" w:ascii="Times New Roman" w:hAnsi="Times New Roman" w:eastAsia="宋体" w:cs="Times New Roman"/>
                <w:strike w:val="0"/>
                <w:dstrike w:val="0"/>
                <w:color w:val="auto"/>
                <w:sz w:val="24"/>
                <w:lang w:val="en-US" w:eastAsia="zh-CN"/>
              </w:rPr>
              <w:t>C.水量负荷</w:t>
            </w:r>
          </w:p>
          <w:p w14:paraId="72658B7D">
            <w:pPr>
              <w:widowControl/>
              <w:spacing w:line="360" w:lineRule="auto"/>
              <w:ind w:firstLine="480" w:firstLineChars="200"/>
              <w:jc w:val="left"/>
              <w:rPr>
                <w:rFonts w:hint="default" w:ascii="Times New Roman" w:hAnsi="Times New Roman" w:eastAsia="宋体" w:cs="Times New Roman"/>
                <w:strike w:val="0"/>
                <w:dstrike w:val="0"/>
                <w:color w:val="auto"/>
                <w:sz w:val="24"/>
                <w:lang w:val="en-US" w:eastAsia="zh-CN"/>
              </w:rPr>
            </w:pPr>
            <w:r>
              <w:rPr>
                <w:rFonts w:hint="eastAsia" w:ascii="Times New Roman" w:hAnsi="Times New Roman" w:eastAsia="宋体" w:cs="Times New Roman"/>
                <w:strike w:val="0"/>
                <w:dstrike w:val="0"/>
                <w:color w:val="auto"/>
                <w:sz w:val="24"/>
                <w:lang w:val="en-US" w:eastAsia="zh-CN"/>
              </w:rPr>
              <w:t>根据调查，目前福清</w:t>
            </w:r>
            <w:r>
              <w:rPr>
                <w:rFonts w:hint="default" w:ascii="Times New Roman" w:hAnsi="Times New Roman" w:eastAsia="宋体" w:cs="Times New Roman"/>
                <w:strike w:val="0"/>
                <w:dstrike w:val="0"/>
                <w:color w:val="auto"/>
                <w:sz w:val="24"/>
                <w:lang w:val="en-US" w:eastAsia="zh-CN"/>
              </w:rPr>
              <w:t>市融元污水处理厂厂内提标及改造工程已经完成并正常使用，平均处理规模约为11.85万</w:t>
            </w:r>
            <w:r>
              <w:rPr>
                <w:rFonts w:hint="eastAsia" w:cs="Times New Roman"/>
                <w:strike w:val="0"/>
                <w:dstrike w:val="0"/>
                <w:color w:val="auto"/>
                <w:sz w:val="24"/>
                <w:lang w:val="en-US" w:eastAsia="zh-CN"/>
              </w:rPr>
              <w:t>t</w:t>
            </w:r>
            <w:r>
              <w:rPr>
                <w:rFonts w:hint="default" w:ascii="Times New Roman" w:hAnsi="Times New Roman" w:eastAsia="宋体" w:cs="Times New Roman"/>
                <w:strike w:val="0"/>
                <w:dstrike w:val="0"/>
                <w:color w:val="auto"/>
                <w:sz w:val="24"/>
                <w:lang w:val="en-US" w:eastAsia="zh-CN"/>
              </w:rPr>
              <w:t>/d，剩余处理能力1500</w:t>
            </w:r>
            <w:r>
              <w:rPr>
                <w:rFonts w:hint="eastAsia" w:cs="Times New Roman"/>
                <w:strike w:val="0"/>
                <w:dstrike w:val="0"/>
                <w:color w:val="auto"/>
                <w:sz w:val="24"/>
                <w:lang w:val="en-US" w:eastAsia="zh-CN"/>
              </w:rPr>
              <w:t>t</w:t>
            </w:r>
            <w:r>
              <w:rPr>
                <w:rFonts w:hint="default" w:ascii="Times New Roman" w:hAnsi="Times New Roman" w:eastAsia="宋体" w:cs="Times New Roman"/>
                <w:strike w:val="0"/>
                <w:dstrike w:val="0"/>
                <w:color w:val="auto"/>
                <w:sz w:val="24"/>
                <w:lang w:val="en-US" w:eastAsia="zh-CN"/>
              </w:rPr>
              <w:t>/d。本项目生活污水排放量</w:t>
            </w:r>
            <w:r>
              <w:rPr>
                <w:rFonts w:hint="eastAsia" w:cs="Times New Roman"/>
                <w:strike w:val="0"/>
                <w:dstrike w:val="0"/>
                <w:color w:val="auto"/>
                <w:sz w:val="24"/>
                <w:lang w:val="en-US" w:eastAsia="zh-CN"/>
              </w:rPr>
              <w:t>2.8</w:t>
            </w:r>
            <w:r>
              <w:rPr>
                <w:rFonts w:hint="default" w:ascii="Times New Roman" w:hAnsi="Times New Roman" w:eastAsia="宋体" w:cs="Times New Roman"/>
                <w:strike w:val="0"/>
                <w:dstrike w:val="0"/>
                <w:color w:val="auto"/>
                <w:sz w:val="24"/>
                <w:lang w:val="en-US" w:eastAsia="zh-CN"/>
              </w:rPr>
              <w:t>t/d，仅占福清市融元污水处理厂剩余处理规模的</w:t>
            </w:r>
            <w:r>
              <w:rPr>
                <w:rFonts w:hint="eastAsia" w:cs="Times New Roman"/>
                <w:strike w:val="0"/>
                <w:dstrike w:val="0"/>
                <w:color w:val="auto"/>
                <w:sz w:val="24"/>
                <w:lang w:val="en-US" w:eastAsia="zh-CN"/>
              </w:rPr>
              <w:t>0.187</w:t>
            </w:r>
            <w:r>
              <w:rPr>
                <w:rFonts w:hint="default" w:ascii="Times New Roman" w:hAnsi="Times New Roman" w:eastAsia="宋体" w:cs="Times New Roman"/>
                <w:strike w:val="0"/>
                <w:dstrike w:val="0"/>
                <w:color w:val="auto"/>
                <w:sz w:val="24"/>
                <w:lang w:val="en-US" w:eastAsia="zh-CN"/>
              </w:rPr>
              <w:t>%</w:t>
            </w:r>
            <w:r>
              <w:rPr>
                <w:rFonts w:hint="eastAsia" w:ascii="Times New Roman" w:hAnsi="Times New Roman" w:eastAsia="宋体"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因此，从处理能力及处理工艺分析，</w:t>
            </w:r>
            <w:r>
              <w:rPr>
                <w:rFonts w:hint="eastAsia" w:ascii="Times New Roman" w:hAnsi="Times New Roman" w:eastAsia="宋体" w:cs="Times New Roman"/>
                <w:strike w:val="0"/>
                <w:dstrike w:val="0"/>
                <w:color w:val="auto"/>
                <w:sz w:val="24"/>
                <w:lang w:val="en-US" w:eastAsia="zh-CN"/>
              </w:rPr>
              <w:t>福清市融元污水处理厂</w:t>
            </w:r>
            <w:r>
              <w:rPr>
                <w:rFonts w:hint="default" w:ascii="Times New Roman" w:hAnsi="Times New Roman" w:eastAsia="宋体" w:cs="Times New Roman"/>
                <w:strike w:val="0"/>
                <w:dstrike w:val="0"/>
                <w:color w:val="auto"/>
                <w:sz w:val="24"/>
                <w:lang w:val="en-US" w:eastAsia="zh-CN"/>
              </w:rPr>
              <w:t>可接纳项目废水排放量，不会对</w:t>
            </w:r>
            <w:r>
              <w:rPr>
                <w:rFonts w:hint="eastAsia" w:ascii="Times New Roman" w:hAnsi="Times New Roman" w:eastAsia="宋体" w:cs="Times New Roman"/>
                <w:strike w:val="0"/>
                <w:dstrike w:val="0"/>
                <w:color w:val="auto"/>
                <w:sz w:val="24"/>
                <w:lang w:val="en-US" w:eastAsia="zh-CN"/>
              </w:rPr>
              <w:t>污水处理厂</w:t>
            </w:r>
            <w:r>
              <w:rPr>
                <w:rFonts w:hint="default" w:ascii="Times New Roman" w:hAnsi="Times New Roman" w:eastAsia="宋体" w:cs="Times New Roman"/>
                <w:strike w:val="0"/>
                <w:dstrike w:val="0"/>
                <w:color w:val="auto"/>
                <w:sz w:val="24"/>
                <w:lang w:val="en-US" w:eastAsia="zh-CN"/>
              </w:rPr>
              <w:t>水量</w:t>
            </w:r>
            <w:r>
              <w:rPr>
                <w:rFonts w:hint="eastAsia" w:ascii="Times New Roman" w:hAnsi="Times New Roman" w:eastAsia="宋体" w:cs="Times New Roman"/>
                <w:strike w:val="0"/>
                <w:dstrike w:val="0"/>
                <w:color w:val="auto"/>
                <w:sz w:val="24"/>
                <w:lang w:val="en-US" w:eastAsia="zh-CN"/>
              </w:rPr>
              <w:t>、水质</w:t>
            </w:r>
            <w:r>
              <w:rPr>
                <w:rFonts w:hint="default" w:ascii="Times New Roman" w:hAnsi="Times New Roman" w:eastAsia="宋体" w:cs="Times New Roman"/>
                <w:strike w:val="0"/>
                <w:dstrike w:val="0"/>
                <w:color w:val="auto"/>
                <w:sz w:val="24"/>
                <w:lang w:val="en-US" w:eastAsia="zh-CN"/>
              </w:rPr>
              <w:t>负荷造成冲击。</w:t>
            </w:r>
          </w:p>
          <w:p w14:paraId="10AFF061">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sz w:val="28"/>
                <w:szCs w:val="28"/>
                <w:u w:val="none"/>
                <w:lang w:val="en-US" w:eastAsia="zh-CN"/>
              </w:rPr>
            </w:pPr>
            <w:bookmarkStart w:id="100" w:name="_Toc5458"/>
            <w:r>
              <w:rPr>
                <w:rFonts w:hint="eastAsia" w:ascii="Times New Roman" w:hAnsi="Times New Roman" w:eastAsia="宋体" w:cs="Times New Roman"/>
                <w:color w:val="auto"/>
                <w:sz w:val="28"/>
                <w:szCs w:val="28"/>
                <w:u w:val="none"/>
                <w:lang w:val="en-US" w:eastAsia="zh-CN"/>
              </w:rPr>
              <w:t>4.3噪声环境影响分析和污染防治措施</w:t>
            </w:r>
            <w:bookmarkEnd w:id="100"/>
          </w:p>
          <w:p w14:paraId="1DF7F90F">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US" w:eastAsia="zh-CN"/>
              </w:rPr>
            </w:pPr>
            <w:bookmarkStart w:id="101" w:name="_Toc19312"/>
            <w:r>
              <w:rPr>
                <w:rFonts w:hint="default"/>
                <w:b/>
                <w:color w:val="262626"/>
                <w:kern w:val="0"/>
                <w:sz w:val="24"/>
                <w:lang w:val="en-US" w:eastAsia="zh-CN"/>
              </w:rPr>
              <w:t>4.3.1噪声源强分析</w:t>
            </w:r>
            <w:bookmarkEnd w:id="101"/>
          </w:p>
          <w:p w14:paraId="4C83A785">
            <w:pPr>
              <w:pStyle w:val="59"/>
              <w:spacing w:line="360" w:lineRule="auto"/>
              <w:ind w:firstLine="480"/>
              <w:rPr>
                <w:rFonts w:ascii="Times New Roman" w:hAnsi="Times New Roman"/>
                <w:bCs w:val="0"/>
                <w:color w:val="000000"/>
                <w:szCs w:val="24"/>
              </w:rPr>
            </w:pPr>
            <w:r>
              <w:rPr>
                <w:rFonts w:ascii="Times New Roman" w:hAnsi="Times New Roman"/>
                <w:bCs w:val="0"/>
                <w:color w:val="000000"/>
                <w:szCs w:val="24"/>
              </w:rPr>
              <w:t>项目的噪声源主要为项目运营时机械设备运转产生的噪声，其噪声级及治理措施见表4.3-1。</w:t>
            </w:r>
          </w:p>
          <w:p w14:paraId="49C8BB96">
            <w:pPr>
              <w:keepNext w:val="0"/>
              <w:keepLines w:val="0"/>
              <w:pageBreakBefore w:val="0"/>
              <w:widowControl w:val="0"/>
              <w:tabs>
                <w:tab w:val="left" w:pos="482"/>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表4.3-1 项目主要设备噪声一览表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87"/>
              <w:gridCol w:w="512"/>
              <w:gridCol w:w="439"/>
              <w:gridCol w:w="387"/>
              <w:gridCol w:w="690"/>
              <w:gridCol w:w="1964"/>
              <w:gridCol w:w="629"/>
              <w:gridCol w:w="521"/>
              <w:gridCol w:w="280"/>
              <w:gridCol w:w="615"/>
              <w:gridCol w:w="1116"/>
              <w:gridCol w:w="830"/>
              <w:gridCol w:w="580"/>
            </w:tblGrid>
            <w:tr w14:paraId="588A3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0" w:type="auto"/>
                  <w:vMerge w:val="restart"/>
                  <w:noWrap w:val="0"/>
                  <w:vAlign w:val="center"/>
                </w:tcPr>
                <w:p w14:paraId="3012DBC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序号</w:t>
                  </w:r>
                </w:p>
              </w:tc>
              <w:tc>
                <w:tcPr>
                  <w:tcW w:w="0" w:type="auto"/>
                  <w:vMerge w:val="restart"/>
                  <w:noWrap w:val="0"/>
                  <w:vAlign w:val="center"/>
                </w:tcPr>
                <w:p w14:paraId="73ADA6A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建筑物名称</w:t>
                  </w:r>
                </w:p>
              </w:tc>
              <w:tc>
                <w:tcPr>
                  <w:tcW w:w="0" w:type="auto"/>
                  <w:vMerge w:val="restart"/>
                  <w:noWrap w:val="0"/>
                  <w:vAlign w:val="center"/>
                </w:tcPr>
                <w:p w14:paraId="6B16E5E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声源名称</w:t>
                  </w:r>
                </w:p>
              </w:tc>
              <w:tc>
                <w:tcPr>
                  <w:tcW w:w="0" w:type="auto"/>
                  <w:vMerge w:val="restart"/>
                  <w:noWrap w:val="0"/>
                  <w:vAlign w:val="center"/>
                </w:tcPr>
                <w:p w14:paraId="6C608F3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台/套数</w:t>
                  </w:r>
                </w:p>
              </w:tc>
              <w:tc>
                <w:tcPr>
                  <w:tcW w:w="0" w:type="auto"/>
                  <w:vMerge w:val="restart"/>
                  <w:noWrap w:val="0"/>
                  <w:vAlign w:val="center"/>
                </w:tcPr>
                <w:p w14:paraId="3066998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声功率级</w:t>
                  </w:r>
                </w:p>
                <w:p w14:paraId="0D80110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/dB(A)</w:t>
                  </w:r>
                </w:p>
              </w:tc>
              <w:tc>
                <w:tcPr>
                  <w:tcW w:w="0" w:type="auto"/>
                  <w:vMerge w:val="restart"/>
                  <w:noWrap w:val="0"/>
                  <w:vAlign w:val="center"/>
                </w:tcPr>
                <w:p w14:paraId="7F94162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声源控制措施</w:t>
                  </w:r>
                </w:p>
              </w:tc>
              <w:tc>
                <w:tcPr>
                  <w:tcW w:w="0" w:type="auto"/>
                  <w:gridSpan w:val="3"/>
                  <w:noWrap w:val="0"/>
                  <w:vAlign w:val="center"/>
                </w:tcPr>
                <w:p w14:paraId="0FC3981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空间相对位置/m</w:t>
                  </w:r>
                </w:p>
              </w:tc>
              <w:tc>
                <w:tcPr>
                  <w:tcW w:w="0" w:type="auto"/>
                  <w:vMerge w:val="restart"/>
                  <w:noWrap w:val="0"/>
                  <w:vAlign w:val="center"/>
                </w:tcPr>
                <w:p w14:paraId="2FD5D18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运行时段</w:t>
                  </w:r>
                </w:p>
              </w:tc>
              <w:tc>
                <w:tcPr>
                  <w:tcW w:w="0" w:type="auto"/>
                  <w:vMerge w:val="restart"/>
                  <w:noWrap w:val="0"/>
                  <w:vAlign w:val="center"/>
                </w:tcPr>
                <w:p w14:paraId="079F3F9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建筑物插入损失/dB(A)</w:t>
                  </w:r>
                </w:p>
              </w:tc>
              <w:tc>
                <w:tcPr>
                  <w:tcW w:w="0" w:type="auto"/>
                  <w:gridSpan w:val="2"/>
                  <w:noWrap w:val="0"/>
                  <w:vAlign w:val="center"/>
                </w:tcPr>
                <w:p w14:paraId="4FFFF25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建筑物外噪声</w:t>
                  </w:r>
                </w:p>
              </w:tc>
            </w:tr>
            <w:tr w14:paraId="360F3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0" w:type="auto"/>
                  <w:vMerge w:val="continue"/>
                  <w:noWrap w:val="0"/>
                  <w:vAlign w:val="center"/>
                </w:tcPr>
                <w:p w14:paraId="2D2D2F2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6FCD225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6D7414D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13F433D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6B28B52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2404FA7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noWrap w:val="0"/>
                  <w:vAlign w:val="center"/>
                </w:tcPr>
                <w:p w14:paraId="35CD3E1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X</w:t>
                  </w:r>
                </w:p>
              </w:tc>
              <w:tc>
                <w:tcPr>
                  <w:tcW w:w="0" w:type="auto"/>
                  <w:noWrap w:val="0"/>
                  <w:vAlign w:val="center"/>
                </w:tcPr>
                <w:p w14:paraId="28B52F9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Y</w:t>
                  </w:r>
                </w:p>
              </w:tc>
              <w:tc>
                <w:tcPr>
                  <w:tcW w:w="0" w:type="auto"/>
                  <w:noWrap w:val="0"/>
                  <w:vAlign w:val="center"/>
                </w:tcPr>
                <w:p w14:paraId="2233EAF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Z</w:t>
                  </w:r>
                </w:p>
              </w:tc>
              <w:tc>
                <w:tcPr>
                  <w:tcW w:w="0" w:type="auto"/>
                  <w:vMerge w:val="continue"/>
                  <w:noWrap w:val="0"/>
                  <w:vAlign w:val="center"/>
                </w:tcPr>
                <w:p w14:paraId="01D88F1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noWrap w:val="0"/>
                  <w:vAlign w:val="center"/>
                </w:tcPr>
                <w:p w14:paraId="328F989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noWrap w:val="0"/>
                  <w:vAlign w:val="center"/>
                </w:tcPr>
                <w:p w14:paraId="46A2B2F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声压级</w:t>
                  </w:r>
                </w:p>
                <w:p w14:paraId="2B030D8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/dB(A)</w:t>
                  </w:r>
                </w:p>
              </w:tc>
              <w:tc>
                <w:tcPr>
                  <w:tcW w:w="0" w:type="auto"/>
                  <w:noWrap w:val="0"/>
                  <w:vAlign w:val="center"/>
                </w:tcPr>
                <w:p w14:paraId="7647B65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建筑物外距离</w:t>
                  </w:r>
                </w:p>
              </w:tc>
            </w:tr>
            <w:tr w14:paraId="0CB11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0" w:type="auto"/>
                  <w:vMerge w:val="restart"/>
                  <w:noWrap w:val="0"/>
                  <w:vAlign w:val="center"/>
                </w:tcPr>
                <w:p w14:paraId="5BA1409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1</w:t>
                  </w:r>
                </w:p>
              </w:tc>
              <w:tc>
                <w:tcPr>
                  <w:tcW w:w="0" w:type="auto"/>
                  <w:vMerge w:val="restart"/>
                  <w:noWrap w:val="0"/>
                  <w:vAlign w:val="center"/>
                </w:tcPr>
                <w:p w14:paraId="517A33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一层厂房内</w:t>
                  </w:r>
                </w:p>
              </w:tc>
              <w:tc>
                <w:tcPr>
                  <w:tcW w:w="0" w:type="auto"/>
                  <w:vMerge w:val="restart"/>
                  <w:noWrap w:val="0"/>
                  <w:vAlign w:val="center"/>
                </w:tcPr>
                <w:p w14:paraId="00E8C29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注塑机</w:t>
                  </w:r>
                </w:p>
              </w:tc>
              <w:tc>
                <w:tcPr>
                  <w:tcW w:w="0" w:type="auto"/>
                  <w:vMerge w:val="restart"/>
                  <w:noWrap w:val="0"/>
                  <w:vAlign w:val="center"/>
                </w:tcPr>
                <w:p w14:paraId="624BD7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w:t>
                  </w:r>
                </w:p>
              </w:tc>
              <w:tc>
                <w:tcPr>
                  <w:tcW w:w="0" w:type="auto"/>
                  <w:vMerge w:val="restart"/>
                  <w:noWrap w:val="0"/>
                  <w:vAlign w:val="center"/>
                </w:tcPr>
                <w:p w14:paraId="73D07F4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70-75</w:t>
                  </w:r>
                </w:p>
              </w:tc>
              <w:tc>
                <w:tcPr>
                  <w:tcW w:w="0" w:type="auto"/>
                  <w:vMerge w:val="restart"/>
                  <w:noWrap w:val="0"/>
                  <w:vAlign w:val="center"/>
                </w:tcPr>
                <w:p w14:paraId="46FF60F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ascii="Times New Roman" w:hAnsi="Times New Roman" w:eastAsia="宋体" w:cs="宋体"/>
                      <w:color w:val="auto"/>
                      <w:sz w:val="21"/>
                      <w:szCs w:val="21"/>
                      <w:highlight w:val="none"/>
                    </w:rPr>
                    <w:t>高噪声设备基础安装减振，进行装消声器等降噪措施</w:t>
                  </w:r>
                </w:p>
              </w:tc>
              <w:tc>
                <w:tcPr>
                  <w:tcW w:w="0" w:type="auto"/>
                  <w:vMerge w:val="restart"/>
                  <w:noWrap w:val="0"/>
                  <w:vAlign w:val="center"/>
                </w:tcPr>
                <w:p w14:paraId="462BB3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12~-22</w:t>
                  </w:r>
                </w:p>
              </w:tc>
              <w:tc>
                <w:tcPr>
                  <w:tcW w:w="0" w:type="auto"/>
                  <w:vMerge w:val="restart"/>
                  <w:noWrap w:val="0"/>
                  <w:vAlign w:val="center"/>
                </w:tcPr>
                <w:p w14:paraId="1E4F3B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-6~18</w:t>
                  </w:r>
                </w:p>
              </w:tc>
              <w:tc>
                <w:tcPr>
                  <w:tcW w:w="0" w:type="auto"/>
                  <w:vMerge w:val="restart"/>
                  <w:noWrap w:val="0"/>
                  <w:vAlign w:val="center"/>
                </w:tcPr>
                <w:p w14:paraId="2D5FB0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1.2</w:t>
                  </w:r>
                </w:p>
              </w:tc>
              <w:tc>
                <w:tcPr>
                  <w:tcW w:w="0" w:type="auto"/>
                  <w:vMerge w:val="restart"/>
                  <w:noWrap w:val="0"/>
                  <w:vAlign w:val="center"/>
                </w:tcPr>
                <w:p w14:paraId="34C01D2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napToGrid w:val="0"/>
                      <w:sz w:val="21"/>
                      <w:szCs w:val="21"/>
                      <w:lang w:val="en-US" w:eastAsia="zh-CN"/>
                    </w:rPr>
                    <w:t>24</w:t>
                  </w:r>
                  <w:r>
                    <w:rPr>
                      <w:rFonts w:ascii="Times New Roman" w:hAnsi="Times New Roman" w:eastAsia="宋体"/>
                      <w:snapToGrid w:val="0"/>
                      <w:sz w:val="21"/>
                      <w:szCs w:val="21"/>
                    </w:rPr>
                    <w:t>h</w:t>
                  </w:r>
                  <w:r>
                    <w:rPr>
                      <w:rFonts w:hint="eastAsia" w:ascii="Times New Roman" w:hAnsi="Times New Roman" w:eastAsia="宋体"/>
                      <w:snapToGrid w:val="0"/>
                      <w:sz w:val="21"/>
                      <w:szCs w:val="21"/>
                    </w:rPr>
                    <w:t>/d</w:t>
                  </w:r>
                </w:p>
              </w:tc>
              <w:tc>
                <w:tcPr>
                  <w:tcW w:w="0" w:type="auto"/>
                  <w:vMerge w:val="restart"/>
                  <w:noWrap w:val="0"/>
                  <w:vAlign w:val="center"/>
                </w:tcPr>
                <w:p w14:paraId="763724E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-15</w:t>
                  </w:r>
                </w:p>
              </w:tc>
              <w:tc>
                <w:tcPr>
                  <w:tcW w:w="0" w:type="auto"/>
                  <w:vMerge w:val="restart"/>
                  <w:noWrap w:val="0"/>
                  <w:vAlign w:val="center"/>
                </w:tcPr>
                <w:p w14:paraId="08F6B2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dB(A)</w:t>
                  </w:r>
                </w:p>
              </w:tc>
              <w:tc>
                <w:tcPr>
                  <w:tcW w:w="0" w:type="auto"/>
                  <w:vMerge w:val="restart"/>
                  <w:noWrap w:val="0"/>
                  <w:vAlign w:val="center"/>
                </w:tcPr>
                <w:p w14:paraId="0B61428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rPr>
                    <w:t>1</w:t>
                  </w:r>
                </w:p>
              </w:tc>
            </w:tr>
            <w:tr w14:paraId="1F892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0" w:type="auto"/>
                  <w:vMerge w:val="restart"/>
                  <w:vAlign w:val="center"/>
                </w:tcPr>
                <w:p w14:paraId="70CBE42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w:t>
                  </w:r>
                </w:p>
              </w:tc>
              <w:tc>
                <w:tcPr>
                  <w:tcW w:w="0" w:type="auto"/>
                  <w:vMerge w:val="continue"/>
                  <w:vAlign w:val="center"/>
                </w:tcPr>
                <w:p w14:paraId="44643EC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restart"/>
                  <w:shd w:val="clear" w:color="auto" w:fill="auto"/>
                  <w:vAlign w:val="center"/>
                </w:tcPr>
                <w:p w14:paraId="36B447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破碎机</w:t>
                  </w:r>
                </w:p>
              </w:tc>
              <w:tc>
                <w:tcPr>
                  <w:tcW w:w="0" w:type="auto"/>
                  <w:vMerge w:val="restart"/>
                  <w:shd w:val="clear" w:color="auto" w:fill="auto"/>
                  <w:vAlign w:val="center"/>
                </w:tcPr>
                <w:p w14:paraId="4E20C9C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0" w:type="auto"/>
                  <w:vMerge w:val="restart"/>
                  <w:vAlign w:val="center"/>
                </w:tcPr>
                <w:p w14:paraId="22BA21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80-85</w:t>
                  </w:r>
                </w:p>
              </w:tc>
              <w:tc>
                <w:tcPr>
                  <w:tcW w:w="0" w:type="auto"/>
                  <w:vMerge w:val="continue"/>
                  <w:vAlign w:val="center"/>
                </w:tcPr>
                <w:p w14:paraId="3159F34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restart"/>
                  <w:shd w:val="clear" w:color="auto" w:fill="auto"/>
                  <w:vAlign w:val="center"/>
                </w:tcPr>
                <w:p w14:paraId="4D68DF1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cs="Times New Roman"/>
                      <w:kern w:val="2"/>
                      <w:sz w:val="21"/>
                      <w:szCs w:val="21"/>
                      <w:lang w:val="en-US" w:eastAsia="zh-CN" w:bidi="ar-SA"/>
                    </w:rPr>
                    <w:t>-25</w:t>
                  </w:r>
                </w:p>
              </w:tc>
              <w:tc>
                <w:tcPr>
                  <w:tcW w:w="0" w:type="auto"/>
                  <w:vMerge w:val="restart"/>
                  <w:shd w:val="clear" w:color="auto" w:fill="auto"/>
                  <w:vAlign w:val="center"/>
                </w:tcPr>
                <w:p w14:paraId="0BBF2F8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r>
                    <w:rPr>
                      <w:rFonts w:hint="eastAsia" w:ascii="Times New Roman" w:hAnsi="Times New Roman" w:eastAsia="宋体"/>
                      <w:sz w:val="21"/>
                      <w:szCs w:val="21"/>
                      <w:lang w:val="en-US" w:eastAsia="zh-CN"/>
                    </w:rPr>
                    <w:t>8</w:t>
                  </w:r>
                </w:p>
              </w:tc>
              <w:tc>
                <w:tcPr>
                  <w:tcW w:w="0" w:type="auto"/>
                  <w:vMerge w:val="restart"/>
                  <w:shd w:val="clear" w:color="auto" w:fill="auto"/>
                  <w:vAlign w:val="center"/>
                </w:tcPr>
                <w:p w14:paraId="22F27FD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p w14:paraId="5E14476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vAlign w:val="center"/>
                </w:tcPr>
                <w:p w14:paraId="3B0FC28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vAlign w:val="center"/>
                </w:tcPr>
                <w:p w14:paraId="14DB357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c>
                <w:tcPr>
                  <w:tcW w:w="0" w:type="auto"/>
                  <w:vMerge w:val="continue"/>
                  <w:vAlign w:val="center"/>
                </w:tcPr>
                <w:p w14:paraId="067DA5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sz w:val="21"/>
                      <w:szCs w:val="21"/>
                      <w:lang w:val="en-US" w:eastAsia="zh-CN"/>
                    </w:rPr>
                  </w:pPr>
                </w:p>
              </w:tc>
              <w:tc>
                <w:tcPr>
                  <w:tcW w:w="0" w:type="auto"/>
                  <w:vMerge w:val="continue"/>
                  <w:vAlign w:val="center"/>
                </w:tcPr>
                <w:p w14:paraId="5279400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sz w:val="21"/>
                      <w:szCs w:val="21"/>
                    </w:rPr>
                  </w:pPr>
                </w:p>
              </w:tc>
            </w:tr>
            <w:tr w14:paraId="50079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0" w:type="auto"/>
                  <w:vMerge w:val="restart"/>
                  <w:vAlign w:val="center"/>
                </w:tcPr>
                <w:p w14:paraId="2D8180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0" w:type="auto"/>
                  <w:vMerge w:val="restart"/>
                  <w:vAlign w:val="center"/>
                </w:tcPr>
                <w:p w14:paraId="79DDC5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厂房楼顶</w:t>
                  </w:r>
                </w:p>
              </w:tc>
              <w:tc>
                <w:tcPr>
                  <w:tcW w:w="0" w:type="auto"/>
                  <w:vMerge w:val="restart"/>
                  <w:vAlign w:val="center"/>
                </w:tcPr>
                <w:p w14:paraId="6C69F27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冷却塔</w:t>
                  </w:r>
                </w:p>
              </w:tc>
              <w:tc>
                <w:tcPr>
                  <w:tcW w:w="0" w:type="auto"/>
                  <w:vMerge w:val="restart"/>
                  <w:shd w:val="clear" w:color="auto" w:fill="auto"/>
                  <w:vAlign w:val="center"/>
                </w:tcPr>
                <w:p w14:paraId="61A0F2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0" w:type="auto"/>
                  <w:vMerge w:val="restart"/>
                  <w:vAlign w:val="center"/>
                </w:tcPr>
                <w:p w14:paraId="4F3700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70-75</w:t>
                  </w:r>
                </w:p>
              </w:tc>
              <w:tc>
                <w:tcPr>
                  <w:tcW w:w="0" w:type="auto"/>
                  <w:vMerge w:val="continue"/>
                  <w:vAlign w:val="center"/>
                </w:tcPr>
                <w:p w14:paraId="3BEF14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p>
              </w:tc>
              <w:tc>
                <w:tcPr>
                  <w:tcW w:w="0" w:type="auto"/>
                  <w:vMerge w:val="restart"/>
                  <w:vAlign w:val="center"/>
                </w:tcPr>
                <w:p w14:paraId="684D64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w:t>
                  </w:r>
                </w:p>
              </w:tc>
              <w:tc>
                <w:tcPr>
                  <w:tcW w:w="0" w:type="auto"/>
                  <w:vMerge w:val="restart"/>
                  <w:vAlign w:val="center"/>
                </w:tcPr>
                <w:p w14:paraId="440EB09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w:t>
                  </w:r>
                </w:p>
              </w:tc>
              <w:tc>
                <w:tcPr>
                  <w:tcW w:w="0" w:type="auto"/>
                  <w:vMerge w:val="restart"/>
                  <w:vAlign w:val="center"/>
                </w:tcPr>
                <w:p w14:paraId="254F0A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21</w:t>
                  </w:r>
                </w:p>
              </w:tc>
              <w:tc>
                <w:tcPr>
                  <w:tcW w:w="0" w:type="auto"/>
                  <w:vMerge w:val="restart"/>
                  <w:vAlign w:val="center"/>
                </w:tcPr>
                <w:p w14:paraId="3218FB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24h/d</w:t>
                  </w:r>
                </w:p>
              </w:tc>
              <w:tc>
                <w:tcPr>
                  <w:tcW w:w="0" w:type="auto"/>
                  <w:vMerge w:val="restart"/>
                  <w:vAlign w:val="center"/>
                </w:tcPr>
                <w:p w14:paraId="7B7EE9D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t>
                  </w:r>
                </w:p>
              </w:tc>
              <w:tc>
                <w:tcPr>
                  <w:tcW w:w="0" w:type="auto"/>
                  <w:vMerge w:val="continue"/>
                  <w:vAlign w:val="center"/>
                </w:tcPr>
                <w:p w14:paraId="146A21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p>
              </w:tc>
              <w:tc>
                <w:tcPr>
                  <w:tcW w:w="0" w:type="auto"/>
                  <w:vMerge w:val="continue"/>
                  <w:vAlign w:val="center"/>
                </w:tcPr>
                <w:p w14:paraId="1FDD63B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rPr>
                  </w:pPr>
                </w:p>
              </w:tc>
            </w:tr>
            <w:tr w14:paraId="0B483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0" w:type="auto"/>
                  <w:vAlign w:val="center"/>
                </w:tcPr>
                <w:p w14:paraId="67B55DC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p>
              </w:tc>
              <w:tc>
                <w:tcPr>
                  <w:tcW w:w="0" w:type="auto"/>
                  <w:vMerge w:val="continue"/>
                  <w:vAlign w:val="center"/>
                </w:tcPr>
                <w:p w14:paraId="4C1D10D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p>
              </w:tc>
              <w:tc>
                <w:tcPr>
                  <w:tcW w:w="0" w:type="auto"/>
                  <w:shd w:val="clear" w:color="auto" w:fill="auto"/>
                  <w:vAlign w:val="center"/>
                </w:tcPr>
                <w:p w14:paraId="3D9B98E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s="Times New Roman"/>
                      <w:color w:val="auto"/>
                      <w:kern w:val="2"/>
                      <w:sz w:val="21"/>
                      <w:szCs w:val="21"/>
                      <w:lang w:val="en-US" w:eastAsia="zh-CN" w:bidi="ar-SA"/>
                    </w:rPr>
                    <w:t>风机</w:t>
                  </w:r>
                </w:p>
              </w:tc>
              <w:tc>
                <w:tcPr>
                  <w:tcW w:w="0" w:type="auto"/>
                  <w:shd w:val="clear" w:color="auto" w:fill="auto"/>
                  <w:vAlign w:val="center"/>
                </w:tcPr>
                <w:p w14:paraId="3742CD1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0" w:type="auto"/>
                  <w:shd w:val="clear" w:color="auto" w:fill="auto"/>
                  <w:vAlign w:val="center"/>
                </w:tcPr>
                <w:p w14:paraId="6F88326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s="Times New Roman"/>
                      <w:color w:val="auto"/>
                      <w:sz w:val="21"/>
                      <w:szCs w:val="21"/>
                      <w:lang w:val="en-US" w:eastAsia="zh-CN"/>
                    </w:rPr>
                    <w:t>85-90</w:t>
                  </w:r>
                </w:p>
              </w:tc>
              <w:tc>
                <w:tcPr>
                  <w:tcW w:w="0" w:type="auto"/>
                  <w:vMerge w:val="continue"/>
                  <w:shd w:val="clear" w:color="auto" w:fill="auto"/>
                  <w:vAlign w:val="center"/>
                </w:tcPr>
                <w:p w14:paraId="33B70C6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p>
              </w:tc>
              <w:tc>
                <w:tcPr>
                  <w:tcW w:w="0" w:type="auto"/>
                  <w:shd w:val="clear" w:color="auto" w:fill="auto"/>
                  <w:vAlign w:val="center"/>
                </w:tcPr>
                <w:p w14:paraId="62B6B1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w:t>
                  </w:r>
                </w:p>
              </w:tc>
              <w:tc>
                <w:tcPr>
                  <w:tcW w:w="0" w:type="auto"/>
                  <w:shd w:val="clear" w:color="auto" w:fill="auto"/>
                  <w:vAlign w:val="center"/>
                </w:tcPr>
                <w:p w14:paraId="1DC9BC4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s="Times New Roman"/>
                      <w:color w:val="auto"/>
                      <w:kern w:val="2"/>
                      <w:sz w:val="21"/>
                      <w:szCs w:val="21"/>
                      <w:lang w:val="en-US" w:eastAsia="zh-CN" w:bidi="ar-SA"/>
                    </w:rPr>
                    <w:t>5</w:t>
                  </w:r>
                </w:p>
              </w:tc>
              <w:tc>
                <w:tcPr>
                  <w:tcW w:w="0" w:type="auto"/>
                  <w:shd w:val="clear" w:color="auto" w:fill="auto"/>
                  <w:vAlign w:val="center"/>
                </w:tcPr>
                <w:p w14:paraId="27258B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s="Times New Roman"/>
                      <w:color w:val="auto"/>
                      <w:kern w:val="2"/>
                      <w:sz w:val="21"/>
                      <w:szCs w:val="21"/>
                      <w:lang w:val="en-US" w:eastAsia="zh-CN" w:bidi="ar-SA"/>
                    </w:rPr>
                    <w:t>21</w:t>
                  </w:r>
                </w:p>
              </w:tc>
              <w:tc>
                <w:tcPr>
                  <w:tcW w:w="0" w:type="auto"/>
                  <w:shd w:val="clear" w:color="auto" w:fill="auto"/>
                  <w:vAlign w:val="center"/>
                </w:tcPr>
                <w:p w14:paraId="330F3BC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24h/d</w:t>
                  </w:r>
                </w:p>
              </w:tc>
              <w:tc>
                <w:tcPr>
                  <w:tcW w:w="0" w:type="auto"/>
                  <w:shd w:val="clear" w:color="auto" w:fill="auto"/>
                  <w:vAlign w:val="center"/>
                </w:tcPr>
                <w:p w14:paraId="6F5C872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t>
                  </w:r>
                </w:p>
              </w:tc>
              <w:tc>
                <w:tcPr>
                  <w:tcW w:w="0" w:type="auto"/>
                  <w:vMerge w:val="continue"/>
                  <w:shd w:val="clear" w:color="auto" w:fill="auto"/>
                  <w:vAlign w:val="center"/>
                </w:tcPr>
                <w:p w14:paraId="009F88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p>
              </w:tc>
              <w:tc>
                <w:tcPr>
                  <w:tcW w:w="0" w:type="auto"/>
                  <w:vMerge w:val="continue"/>
                  <w:vAlign w:val="center"/>
                </w:tcPr>
                <w:p w14:paraId="1B79FB1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lang w:val="en-US" w:eastAsia="zh-CN"/>
                    </w:rPr>
                  </w:pPr>
                </w:p>
              </w:tc>
            </w:tr>
          </w:tbl>
          <w:p w14:paraId="5E4C3D00">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GB" w:eastAsia="zh-CN"/>
              </w:rPr>
            </w:pPr>
            <w:bookmarkStart w:id="102" w:name="_Toc29557"/>
            <w:r>
              <w:rPr>
                <w:rFonts w:hint="default"/>
                <w:b/>
                <w:color w:val="262626"/>
                <w:kern w:val="0"/>
                <w:sz w:val="24"/>
                <w:lang w:val="en-US" w:eastAsia="zh-CN"/>
              </w:rPr>
              <w:t>4.3.2声环境影响分析</w:t>
            </w:r>
            <w:bookmarkEnd w:id="102"/>
          </w:p>
          <w:p w14:paraId="4A20D922">
            <w:pPr>
              <w:pStyle w:val="36"/>
              <w:spacing w:line="360" w:lineRule="auto"/>
              <w:ind w:firstLine="480"/>
              <w:rPr>
                <w:rFonts w:cs="Times New Roman"/>
                <w:color w:val="auto"/>
                <w:kern w:val="2"/>
                <w:sz w:val="24"/>
                <w:szCs w:val="24"/>
                <w:highlight w:val="none"/>
              </w:rPr>
            </w:pPr>
            <w:r>
              <w:rPr>
                <w:rFonts w:cs="Times New Roman"/>
                <w:color w:val="auto"/>
                <w:sz w:val="24"/>
                <w:szCs w:val="24"/>
                <w:highlight w:val="none"/>
              </w:rPr>
              <w:t>本评价将对机械设备产生的噪声值进行衰减预测，根据《环境影响评价技术导则—声环境》（HJ2.4-2021）推荐的预测模式，具体室内等效室外声源声功率计算、户外传播衰减、几何衰减、噪声贡献值叠加等计算模式如下：</w:t>
            </w:r>
          </w:p>
          <w:p w14:paraId="108A27DD">
            <w:pPr>
              <w:pStyle w:val="36"/>
              <w:spacing w:line="360" w:lineRule="auto"/>
              <w:ind w:firstLine="480"/>
              <w:rPr>
                <w:rFonts w:cs="Times New Roman"/>
                <w:color w:val="auto"/>
                <w:sz w:val="24"/>
                <w:szCs w:val="24"/>
                <w:highlight w:val="none"/>
              </w:rPr>
            </w:pPr>
            <w:r>
              <w:rPr>
                <w:rFonts w:cs="Times New Roman"/>
                <w:color w:val="auto"/>
                <w:sz w:val="24"/>
                <w:szCs w:val="24"/>
                <w:highlight w:val="none"/>
              </w:rPr>
              <w:t>（1）单个室外的点声源在预测点产生的声级计算基本公式</w:t>
            </w:r>
          </w:p>
          <w:p w14:paraId="345F3D48">
            <w:pPr>
              <w:pStyle w:val="36"/>
              <w:spacing w:line="360" w:lineRule="auto"/>
              <w:ind w:firstLine="480"/>
              <w:rPr>
                <w:rFonts w:cs="Times New Roman"/>
                <w:color w:val="auto"/>
                <w:sz w:val="24"/>
                <w:szCs w:val="24"/>
                <w:highlight w:val="none"/>
              </w:rPr>
            </w:pPr>
            <w:r>
              <w:rPr>
                <w:rFonts w:cs="Times New Roman"/>
                <w:color w:val="auto"/>
                <w:sz w:val="24"/>
                <w:szCs w:val="24"/>
                <w:highlight w:val="none"/>
              </w:rPr>
              <w:t>某个声源在预测点的倍频带声压级的计算公式如下：</w:t>
            </w:r>
          </w:p>
          <w:p w14:paraId="313A14F8">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"C:\\Users\\Admin\\AppData\\Local\\Temp\\ksohtml12936\\wps2.png"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522220" cy="716280"/>
                  <wp:effectExtent l="0" t="0" r="11430"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7" r:link="rId28"/>
                          <a:stretch>
                            <a:fillRect/>
                          </a:stretch>
                        </pic:blipFill>
                        <pic:spPr>
                          <a:xfrm>
                            <a:off x="0" y="0"/>
                            <a:ext cx="2522220" cy="71628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357C3F45">
            <w:pPr>
              <w:pStyle w:val="36"/>
              <w:spacing w:line="360" w:lineRule="auto"/>
              <w:ind w:firstLine="412"/>
              <w:rPr>
                <w:rFonts w:cs="Times New Roman"/>
                <w:color w:val="auto"/>
                <w:sz w:val="24"/>
                <w:szCs w:val="24"/>
                <w:highlight w:val="none"/>
              </w:rPr>
            </w:pPr>
            <w:r>
              <w:rPr>
                <w:rFonts w:cs="Times New Roman"/>
                <w:color w:val="auto"/>
                <w:spacing w:val="-17"/>
                <w:sz w:val="24"/>
                <w:szCs w:val="24"/>
                <w:highlight w:val="none"/>
              </w:rPr>
              <w:t>式</w:t>
            </w:r>
            <w:r>
              <w:rPr>
                <w:rFonts w:cs="Times New Roman"/>
                <w:color w:val="auto"/>
                <w:sz w:val="24"/>
                <w:szCs w:val="24"/>
                <w:highlight w:val="none"/>
              </w:rPr>
              <w:t>中：</w:t>
            </w:r>
          </w:p>
          <w:p w14:paraId="2AC0E511">
            <w:pPr>
              <w:pStyle w:val="36"/>
              <w:spacing w:line="360" w:lineRule="auto"/>
              <w:ind w:firstLine="452"/>
              <w:rPr>
                <w:rFonts w:cs="Times New Roman"/>
                <w:color w:val="auto"/>
                <w:sz w:val="24"/>
                <w:szCs w:val="24"/>
                <w:highlight w:val="none"/>
              </w:rPr>
            </w:pPr>
            <w:r>
              <w:rPr>
                <w:rFonts w:cs="Times New Roman"/>
                <w:color w:val="auto"/>
                <w:spacing w:val="-7"/>
                <w:sz w:val="24"/>
                <w:szCs w:val="24"/>
                <w:highlight w:val="none"/>
              </w:rPr>
              <w:t>Lw</w:t>
            </w:r>
            <w:r>
              <w:rPr>
                <w:rFonts w:cs="Times New Roman"/>
                <w:color w:val="auto"/>
                <w:spacing w:val="-14"/>
                <w:sz w:val="24"/>
                <w:szCs w:val="24"/>
                <w:highlight w:val="none"/>
              </w:rPr>
              <w:t>—</w:t>
            </w:r>
            <w:r>
              <w:rPr>
                <w:rFonts w:cs="Times New Roman"/>
                <w:color w:val="auto"/>
                <w:spacing w:val="-13"/>
                <w:sz w:val="24"/>
                <w:szCs w:val="24"/>
                <w:highlight w:val="none"/>
              </w:rPr>
              <w:t>—</w:t>
            </w:r>
            <w:r>
              <w:rPr>
                <w:rFonts w:cs="Times New Roman"/>
                <w:color w:val="auto"/>
                <w:sz w:val="24"/>
                <w:szCs w:val="24"/>
                <w:highlight w:val="none"/>
              </w:rPr>
              <w:t>倍频带声功率级</w:t>
            </w:r>
            <w:r>
              <w:rPr>
                <w:rFonts w:cs="Times New Roman"/>
                <w:color w:val="auto"/>
                <w:spacing w:val="-7"/>
                <w:sz w:val="24"/>
                <w:szCs w:val="24"/>
                <w:highlight w:val="none"/>
              </w:rPr>
              <w:t>，dB；</w:t>
            </w:r>
          </w:p>
          <w:p w14:paraId="341A7540">
            <w:pPr>
              <w:pStyle w:val="36"/>
              <w:spacing w:line="360" w:lineRule="auto"/>
              <w:ind w:firstLine="460"/>
              <w:rPr>
                <w:rFonts w:cs="Times New Roman"/>
                <w:color w:val="auto"/>
                <w:spacing w:val="-5"/>
                <w:sz w:val="24"/>
                <w:szCs w:val="24"/>
                <w:highlight w:val="none"/>
              </w:rPr>
            </w:pPr>
            <w:r>
              <w:rPr>
                <w:rFonts w:cs="Times New Roman"/>
                <w:color w:val="auto"/>
                <w:spacing w:val="-5"/>
                <w:sz w:val="24"/>
                <w:szCs w:val="24"/>
                <w:highlight w:val="none"/>
              </w:rPr>
              <w:t>Dc</w:t>
            </w:r>
            <w:r>
              <w:rPr>
                <w:rFonts w:cs="Times New Roman"/>
                <w:color w:val="auto"/>
                <w:spacing w:val="-10"/>
                <w:sz w:val="24"/>
                <w:szCs w:val="24"/>
                <w:highlight w:val="none"/>
              </w:rPr>
              <w:t>——</w:t>
            </w:r>
            <w:r>
              <w:rPr>
                <w:rFonts w:cs="Times New Roman"/>
                <w:color w:val="auto"/>
                <w:sz w:val="24"/>
                <w:szCs w:val="24"/>
                <w:highlight w:val="none"/>
              </w:rPr>
              <w:t>指向性校正。对辐射到自由空间的全向点声源</w:t>
            </w:r>
            <w:r>
              <w:rPr>
                <w:rFonts w:cs="Times New Roman"/>
                <w:color w:val="auto"/>
                <w:spacing w:val="-5"/>
                <w:sz w:val="24"/>
                <w:szCs w:val="24"/>
                <w:highlight w:val="none"/>
              </w:rPr>
              <w:t>，Dc=0dB；</w:t>
            </w:r>
          </w:p>
          <w:p w14:paraId="26793876">
            <w:pPr>
              <w:pStyle w:val="36"/>
              <w:spacing w:line="360" w:lineRule="auto"/>
              <w:ind w:firstLine="440"/>
              <w:rPr>
                <w:rFonts w:cs="Times New Roman"/>
                <w:color w:val="auto"/>
                <w:sz w:val="24"/>
                <w:szCs w:val="24"/>
                <w:highlight w:val="none"/>
              </w:rPr>
            </w:pPr>
            <w:r>
              <w:rPr>
                <w:rFonts w:cs="Times New Roman"/>
                <w:color w:val="auto"/>
                <w:spacing w:val="-10"/>
                <w:sz w:val="24"/>
                <w:szCs w:val="24"/>
                <w:highlight w:val="none"/>
              </w:rPr>
              <w:t>A—</w:t>
            </w:r>
            <w:r>
              <w:rPr>
                <w:rFonts w:cs="Times New Roman"/>
                <w:color w:val="auto"/>
                <w:sz w:val="24"/>
                <w:szCs w:val="24"/>
                <w:highlight w:val="none"/>
              </w:rPr>
              <w:t>倍频带衰减，dB；</w:t>
            </w:r>
          </w:p>
          <w:p w14:paraId="46225D9D">
            <w:pPr>
              <w:pStyle w:val="36"/>
              <w:spacing w:line="360" w:lineRule="auto"/>
              <w:ind w:firstLine="460"/>
              <w:rPr>
                <w:rFonts w:cs="Times New Roman"/>
                <w:color w:val="auto"/>
                <w:sz w:val="24"/>
                <w:szCs w:val="24"/>
                <w:highlight w:val="none"/>
              </w:rPr>
            </w:pPr>
            <w:r>
              <w:rPr>
                <w:rFonts w:cs="Times New Roman"/>
                <w:color w:val="auto"/>
                <w:spacing w:val="-5"/>
                <w:position w:val="14"/>
                <w:sz w:val="24"/>
                <w:szCs w:val="24"/>
                <w:highlight w:val="none"/>
                <w:shd w:val="clear" w:color="auto" w:fill="FFFFFF"/>
              </w:rPr>
              <w:t>A</w:t>
            </w:r>
            <w:r>
              <w:rPr>
                <w:rFonts w:cs="Times New Roman"/>
                <w:color w:val="auto"/>
                <w:spacing w:val="-5"/>
                <w:position w:val="12"/>
                <w:sz w:val="24"/>
                <w:szCs w:val="24"/>
                <w:highlight w:val="none"/>
                <w:shd w:val="clear" w:color="auto" w:fill="FFFFFF"/>
              </w:rPr>
              <w:t>div</w:t>
            </w:r>
            <w:r>
              <w:rPr>
                <w:rFonts w:cs="Times New Roman"/>
                <w:color w:val="auto"/>
                <w:spacing w:val="-5"/>
                <w:position w:val="14"/>
                <w:sz w:val="24"/>
                <w:szCs w:val="24"/>
                <w:highlight w:val="none"/>
              </w:rPr>
              <w:t>—</w:t>
            </w:r>
            <w:r>
              <w:rPr>
                <w:rFonts w:cs="Times New Roman"/>
                <w:color w:val="auto"/>
                <w:sz w:val="24"/>
                <w:szCs w:val="24"/>
                <w:highlight w:val="none"/>
              </w:rPr>
              <w:t>几何发散引起的倍频带衰减</w:t>
            </w:r>
            <w:r>
              <w:rPr>
                <w:rFonts w:cs="Times New Roman"/>
                <w:color w:val="auto"/>
                <w:spacing w:val="-5"/>
                <w:position w:val="1"/>
                <w:sz w:val="24"/>
                <w:szCs w:val="24"/>
                <w:highlight w:val="none"/>
              </w:rPr>
              <w:t>，d</w:t>
            </w:r>
            <w:r>
              <w:rPr>
                <w:rFonts w:cs="Times New Roman"/>
                <w:color w:val="auto"/>
                <w:spacing w:val="-3"/>
                <w:position w:val="1"/>
                <w:sz w:val="24"/>
                <w:szCs w:val="24"/>
                <w:highlight w:val="none"/>
              </w:rPr>
              <w:t>B</w:t>
            </w:r>
            <w:r>
              <w:rPr>
                <w:rFonts w:cs="Times New Roman"/>
                <w:color w:val="auto"/>
                <w:spacing w:val="-5"/>
                <w:position w:val="1"/>
                <w:sz w:val="24"/>
                <w:szCs w:val="24"/>
                <w:highlight w:val="none"/>
              </w:rPr>
              <w:t>；</w:t>
            </w:r>
          </w:p>
          <w:p w14:paraId="58A3A9A6">
            <w:pPr>
              <w:pStyle w:val="36"/>
              <w:spacing w:line="360" w:lineRule="auto"/>
              <w:ind w:firstLine="460"/>
              <w:rPr>
                <w:rFonts w:cs="Times New Roman"/>
                <w:color w:val="auto"/>
                <w:sz w:val="24"/>
                <w:szCs w:val="24"/>
                <w:highlight w:val="none"/>
              </w:rPr>
            </w:pPr>
            <w:r>
              <w:rPr>
                <w:rFonts w:cs="Times New Roman"/>
                <w:color w:val="auto"/>
                <w:spacing w:val="-5"/>
                <w:position w:val="1"/>
                <w:sz w:val="24"/>
                <w:szCs w:val="24"/>
                <w:highlight w:val="none"/>
                <w:shd w:val="clear" w:color="auto" w:fill="FFFFFF"/>
              </w:rPr>
              <w:t>A</w:t>
            </w:r>
            <w:r>
              <w:rPr>
                <w:rFonts w:cs="Times New Roman"/>
                <w:color w:val="auto"/>
                <w:spacing w:val="-5"/>
                <w:position w:val="-1"/>
                <w:sz w:val="24"/>
                <w:szCs w:val="24"/>
                <w:highlight w:val="none"/>
                <w:shd w:val="clear" w:color="auto" w:fill="FFFFFF"/>
              </w:rPr>
              <w:t>atm</w:t>
            </w:r>
            <w:r>
              <w:rPr>
                <w:rFonts w:cs="Times New Roman"/>
                <w:color w:val="auto"/>
                <w:spacing w:val="-5"/>
                <w:position w:val="1"/>
                <w:sz w:val="24"/>
                <w:szCs w:val="24"/>
                <w:highlight w:val="none"/>
              </w:rPr>
              <w:t>—</w:t>
            </w:r>
            <w:r>
              <w:rPr>
                <w:rFonts w:cs="Times New Roman"/>
                <w:color w:val="auto"/>
                <w:sz w:val="24"/>
                <w:szCs w:val="24"/>
                <w:highlight w:val="none"/>
              </w:rPr>
              <w:t>大气吸收引起的倍频带衰减</w:t>
            </w:r>
            <w:r>
              <w:rPr>
                <w:rFonts w:cs="Times New Roman"/>
                <w:color w:val="auto"/>
                <w:spacing w:val="-5"/>
                <w:position w:val="1"/>
                <w:sz w:val="24"/>
                <w:szCs w:val="24"/>
                <w:highlight w:val="none"/>
              </w:rPr>
              <w:t>，d</w:t>
            </w:r>
            <w:r>
              <w:rPr>
                <w:rFonts w:cs="Times New Roman"/>
                <w:color w:val="auto"/>
                <w:spacing w:val="-3"/>
                <w:position w:val="1"/>
                <w:sz w:val="24"/>
                <w:szCs w:val="24"/>
                <w:highlight w:val="none"/>
              </w:rPr>
              <w:t>B</w:t>
            </w:r>
            <w:r>
              <w:rPr>
                <w:rFonts w:cs="Times New Roman"/>
                <w:color w:val="auto"/>
                <w:spacing w:val="-5"/>
                <w:position w:val="1"/>
                <w:sz w:val="24"/>
                <w:szCs w:val="24"/>
                <w:highlight w:val="none"/>
              </w:rPr>
              <w:t>；</w:t>
            </w:r>
          </w:p>
          <w:p w14:paraId="4486FC3E">
            <w:pPr>
              <w:pStyle w:val="36"/>
              <w:spacing w:line="360" w:lineRule="auto"/>
              <w:ind w:firstLine="460"/>
              <w:rPr>
                <w:rFonts w:cs="Times New Roman"/>
                <w:color w:val="auto"/>
                <w:sz w:val="24"/>
                <w:szCs w:val="24"/>
                <w:highlight w:val="none"/>
              </w:rPr>
            </w:pPr>
            <w:r>
              <w:rPr>
                <w:rFonts w:cs="Times New Roman"/>
                <w:color w:val="auto"/>
                <w:spacing w:val="-5"/>
                <w:sz w:val="24"/>
                <w:szCs w:val="24"/>
                <w:highlight w:val="none"/>
              </w:rPr>
              <w:t>A</w:t>
            </w:r>
            <w:r>
              <w:rPr>
                <w:rFonts w:cs="Times New Roman"/>
                <w:color w:val="auto"/>
                <w:spacing w:val="-5"/>
                <w:position w:val="-2"/>
                <w:sz w:val="24"/>
                <w:szCs w:val="24"/>
                <w:highlight w:val="none"/>
              </w:rPr>
              <w:t>gr</w:t>
            </w:r>
            <w:r>
              <w:rPr>
                <w:rFonts w:cs="Times New Roman"/>
                <w:color w:val="auto"/>
                <w:spacing w:val="-10"/>
                <w:sz w:val="24"/>
                <w:szCs w:val="24"/>
                <w:highlight w:val="none"/>
              </w:rPr>
              <w:t>—</w:t>
            </w:r>
            <w:r>
              <w:rPr>
                <w:rFonts w:cs="Times New Roman"/>
                <w:color w:val="auto"/>
                <w:sz w:val="24"/>
                <w:szCs w:val="24"/>
                <w:highlight w:val="none"/>
              </w:rPr>
              <w:t>地面效应引起的倍频带衰减</w:t>
            </w:r>
            <w:r>
              <w:rPr>
                <w:rFonts w:cs="Times New Roman"/>
                <w:color w:val="auto"/>
                <w:spacing w:val="-5"/>
                <w:sz w:val="24"/>
                <w:szCs w:val="24"/>
                <w:highlight w:val="none"/>
              </w:rPr>
              <w:t>，dB；</w:t>
            </w:r>
          </w:p>
          <w:p w14:paraId="50655258">
            <w:pPr>
              <w:pStyle w:val="36"/>
              <w:spacing w:line="360" w:lineRule="auto"/>
              <w:ind w:firstLine="460"/>
              <w:rPr>
                <w:rFonts w:cs="Times New Roman"/>
                <w:color w:val="auto"/>
                <w:sz w:val="24"/>
                <w:szCs w:val="24"/>
                <w:highlight w:val="none"/>
              </w:rPr>
            </w:pPr>
            <w:r>
              <w:rPr>
                <w:rFonts w:cs="Times New Roman"/>
                <w:color w:val="auto"/>
                <w:spacing w:val="-5"/>
                <w:position w:val="1"/>
                <w:sz w:val="24"/>
                <w:szCs w:val="24"/>
                <w:highlight w:val="none"/>
                <w:shd w:val="clear" w:color="auto" w:fill="FFFFFF"/>
              </w:rPr>
              <w:t>A</w:t>
            </w:r>
            <w:r>
              <w:rPr>
                <w:rFonts w:cs="Times New Roman"/>
                <w:color w:val="auto"/>
                <w:spacing w:val="-5"/>
                <w:position w:val="-1"/>
                <w:sz w:val="24"/>
                <w:szCs w:val="24"/>
                <w:highlight w:val="none"/>
                <w:shd w:val="clear" w:color="auto" w:fill="FFFFFF"/>
              </w:rPr>
              <w:t>bar</w:t>
            </w:r>
            <w:r>
              <w:rPr>
                <w:rFonts w:cs="Times New Roman"/>
                <w:color w:val="auto"/>
                <w:spacing w:val="-9"/>
                <w:position w:val="1"/>
                <w:sz w:val="24"/>
                <w:szCs w:val="24"/>
                <w:highlight w:val="none"/>
              </w:rPr>
              <w:t>—</w:t>
            </w:r>
            <w:r>
              <w:rPr>
                <w:rFonts w:cs="Times New Roman"/>
                <w:color w:val="auto"/>
                <w:sz w:val="24"/>
                <w:szCs w:val="24"/>
                <w:highlight w:val="none"/>
              </w:rPr>
              <w:t>声屏障引起的倍频带衰减</w:t>
            </w:r>
            <w:r>
              <w:rPr>
                <w:rFonts w:cs="Times New Roman"/>
                <w:color w:val="auto"/>
                <w:spacing w:val="-5"/>
                <w:position w:val="1"/>
                <w:sz w:val="24"/>
                <w:szCs w:val="24"/>
                <w:highlight w:val="none"/>
              </w:rPr>
              <w:t>，dB；</w:t>
            </w:r>
          </w:p>
          <w:p w14:paraId="28051C95">
            <w:pPr>
              <w:pStyle w:val="36"/>
              <w:spacing w:line="360" w:lineRule="auto"/>
              <w:ind w:firstLine="464"/>
              <w:rPr>
                <w:rFonts w:cs="Times New Roman"/>
                <w:color w:val="auto"/>
                <w:sz w:val="24"/>
                <w:szCs w:val="24"/>
                <w:highlight w:val="none"/>
              </w:rPr>
            </w:pPr>
            <w:r>
              <w:rPr>
                <w:rFonts w:cs="Times New Roman"/>
                <w:color w:val="auto"/>
                <w:spacing w:val="-4"/>
                <w:position w:val="14"/>
                <w:sz w:val="24"/>
                <w:szCs w:val="24"/>
                <w:highlight w:val="none"/>
                <w:shd w:val="clear" w:color="auto" w:fill="FFFFFF"/>
              </w:rPr>
              <w:t>A</w:t>
            </w:r>
            <w:r>
              <w:rPr>
                <w:rFonts w:cs="Times New Roman"/>
                <w:color w:val="auto"/>
                <w:spacing w:val="-4"/>
                <w:position w:val="12"/>
                <w:sz w:val="24"/>
                <w:szCs w:val="24"/>
                <w:highlight w:val="none"/>
                <w:shd w:val="clear" w:color="auto" w:fill="FFFFFF"/>
              </w:rPr>
              <w:t>misc</w:t>
            </w:r>
            <w:r>
              <w:rPr>
                <w:rFonts w:cs="Times New Roman"/>
                <w:color w:val="auto"/>
                <w:spacing w:val="-4"/>
                <w:position w:val="14"/>
                <w:sz w:val="24"/>
                <w:szCs w:val="24"/>
                <w:highlight w:val="none"/>
              </w:rPr>
              <w:t>—</w:t>
            </w:r>
            <w:r>
              <w:rPr>
                <w:rFonts w:cs="Times New Roman"/>
                <w:color w:val="auto"/>
                <w:sz w:val="24"/>
                <w:szCs w:val="24"/>
                <w:highlight w:val="none"/>
              </w:rPr>
              <w:t>其他多方面效应引起的倍频带衰减</w:t>
            </w:r>
            <w:r>
              <w:rPr>
                <w:rFonts w:cs="Times New Roman"/>
                <w:color w:val="auto"/>
                <w:spacing w:val="-4"/>
                <w:position w:val="14"/>
                <w:sz w:val="24"/>
                <w:szCs w:val="24"/>
                <w:highlight w:val="none"/>
              </w:rPr>
              <w:t>，dB。</w:t>
            </w:r>
          </w:p>
          <w:p w14:paraId="38D8C1F8">
            <w:pPr>
              <w:pStyle w:val="36"/>
              <w:spacing w:line="360" w:lineRule="auto"/>
              <w:ind w:firstLine="480"/>
              <w:rPr>
                <w:rFonts w:cs="Times New Roman"/>
                <w:color w:val="auto"/>
                <w:sz w:val="24"/>
                <w:szCs w:val="24"/>
                <w:highlight w:val="none"/>
              </w:rPr>
            </w:pPr>
            <w:r>
              <w:rPr>
                <w:rFonts w:cs="Times New Roman"/>
                <w:color w:val="auto"/>
                <w:sz w:val="24"/>
                <w:szCs w:val="24"/>
                <w:highlight w:val="none"/>
              </w:rPr>
              <w:t>如已知靠近声源处某点的倍频带声压级Lp（r0）时，相同方向预测点位置的倍频带声压级Lp（r）的计算公式为：</w:t>
            </w:r>
          </w:p>
          <w:p w14:paraId="223B9F1E">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"C:\\Users\\Admin\\AppData\\Local\\Temp\\ksohtml12936\\wps3.png"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1638300" cy="335280"/>
                  <wp:effectExtent l="0" t="0" r="0" b="762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9" r:link="rId30"/>
                          <a:stretch>
                            <a:fillRect/>
                          </a:stretch>
                        </pic:blipFill>
                        <pic:spPr>
                          <a:xfrm>
                            <a:off x="0" y="0"/>
                            <a:ext cx="1638300" cy="33528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30116673">
            <w:pPr>
              <w:pStyle w:val="36"/>
              <w:spacing w:line="360" w:lineRule="auto"/>
              <w:ind w:firstLine="480"/>
              <w:rPr>
                <w:rFonts w:cs="Times New Roman"/>
                <w:color w:val="auto"/>
                <w:sz w:val="24"/>
                <w:szCs w:val="24"/>
                <w:highlight w:val="none"/>
              </w:rPr>
            </w:pPr>
            <w:r>
              <w:rPr>
                <w:rFonts w:cs="Times New Roman"/>
                <w:color w:val="auto"/>
                <w:sz w:val="24"/>
                <w:szCs w:val="24"/>
                <w:highlight w:val="none"/>
              </w:rPr>
              <w:t>预测点的A声级LA(r</w:t>
            </w:r>
            <w:r>
              <w:rPr>
                <w:rFonts w:hint="eastAsia" w:cs="Times New Roman"/>
                <w:color w:val="auto"/>
                <w:sz w:val="24"/>
                <w:szCs w:val="24"/>
                <w:highlight w:val="none"/>
                <w:lang w:eastAsia="zh-CN"/>
              </w:rPr>
              <w:t>）</w:t>
            </w:r>
            <w:r>
              <w:rPr>
                <w:rFonts w:cs="Times New Roman"/>
                <w:color w:val="auto"/>
                <w:sz w:val="24"/>
                <w:szCs w:val="24"/>
                <w:highlight w:val="none"/>
              </w:rPr>
              <w:t>，可利用8个倍频带的声压级按下式计算：</w:t>
            </w:r>
          </w:p>
          <w:p w14:paraId="08E539DF">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"C:\\Users\\Admin\\AppData\\Local\\Temp\\ksohtml12936\\wps4.png"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712720" cy="571500"/>
                  <wp:effectExtent l="0" t="0" r="1143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1" r:link="rId32"/>
                          <a:stretch>
                            <a:fillRect/>
                          </a:stretch>
                        </pic:blipFill>
                        <pic:spPr>
                          <a:xfrm>
                            <a:off x="0" y="0"/>
                            <a:ext cx="2712720" cy="57150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3DDF6508">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w:t>
            </w:r>
          </w:p>
          <w:p w14:paraId="71AA6A4F">
            <w:pPr>
              <w:pStyle w:val="36"/>
              <w:spacing w:line="360" w:lineRule="auto"/>
              <w:ind w:firstLine="480"/>
              <w:rPr>
                <w:rFonts w:cs="Times New Roman"/>
                <w:color w:val="auto"/>
                <w:sz w:val="24"/>
                <w:szCs w:val="24"/>
                <w:highlight w:val="none"/>
              </w:rPr>
            </w:pPr>
            <w:r>
              <w:rPr>
                <w:rFonts w:cs="Times New Roman"/>
                <w:color w:val="auto"/>
                <w:sz w:val="24"/>
                <w:szCs w:val="24"/>
                <w:highlight w:val="none"/>
                <w:shd w:val="clear" w:color="auto" w:fill="FFFFFF"/>
              </w:rPr>
              <w:t>L</w:t>
            </w:r>
            <w:r>
              <w:rPr>
                <w:rFonts w:cs="Times New Roman"/>
                <w:color w:val="auto"/>
                <w:sz w:val="24"/>
                <w:szCs w:val="24"/>
                <w:highlight w:val="none"/>
                <w:shd w:val="clear" w:color="auto" w:fill="FFFFFF"/>
                <w:vertAlign w:val="subscript"/>
              </w:rPr>
              <w:t>pi</w:t>
            </w:r>
            <w:r>
              <w:rPr>
                <w:rFonts w:cs="Times New Roman"/>
                <w:color w:val="auto"/>
                <w:sz w:val="24"/>
                <w:szCs w:val="24"/>
                <w:highlight w:val="none"/>
                <w:vertAlign w:val="subscript"/>
              </w:rPr>
              <w:t>(r)</w:t>
            </w:r>
            <w:r>
              <w:rPr>
                <w:rFonts w:cs="Times New Roman"/>
                <w:color w:val="auto"/>
                <w:sz w:val="24"/>
                <w:szCs w:val="24"/>
                <w:highlight w:val="none"/>
              </w:rPr>
              <w:t>----预测点（r）处，第i倍频带声压级，dB；</w:t>
            </w:r>
          </w:p>
          <w:p w14:paraId="31C6E333">
            <w:pPr>
              <w:pStyle w:val="36"/>
              <w:spacing w:line="360" w:lineRule="auto"/>
              <w:ind w:firstLine="480"/>
              <w:rPr>
                <w:rFonts w:cs="Times New Roman"/>
                <w:color w:val="auto"/>
                <w:sz w:val="24"/>
                <w:szCs w:val="24"/>
                <w:highlight w:val="none"/>
              </w:rPr>
            </w:pPr>
            <w:r>
              <w:rPr>
                <w:rFonts w:ascii="Cambria Math" w:hAnsi="Cambria Math" w:cs="Cambria Math"/>
                <w:color w:val="auto"/>
                <w:sz w:val="24"/>
                <w:szCs w:val="24"/>
                <w:highlight w:val="none"/>
              </w:rPr>
              <w:t>△</w:t>
            </w:r>
            <w:r>
              <w:rPr>
                <w:rFonts w:cs="Times New Roman"/>
                <w:color w:val="auto"/>
                <w:sz w:val="24"/>
                <w:szCs w:val="24"/>
                <w:highlight w:val="none"/>
              </w:rPr>
              <w:t>L</w:t>
            </w:r>
            <w:r>
              <w:rPr>
                <w:rFonts w:cs="Times New Roman"/>
                <w:color w:val="auto"/>
                <w:sz w:val="24"/>
                <w:szCs w:val="24"/>
                <w:highlight w:val="none"/>
                <w:vertAlign w:val="subscript"/>
              </w:rPr>
              <w:t>i—i</w:t>
            </w:r>
            <w:r>
              <w:rPr>
                <w:rFonts w:cs="Times New Roman"/>
                <w:color w:val="auto"/>
                <w:sz w:val="24"/>
                <w:szCs w:val="24"/>
                <w:highlight w:val="none"/>
              </w:rPr>
              <w:t>倍频带A计算网络修正值，dB（见导则附录B）。</w:t>
            </w:r>
          </w:p>
          <w:p w14:paraId="6FF7936B">
            <w:pPr>
              <w:pStyle w:val="36"/>
              <w:spacing w:line="360" w:lineRule="auto"/>
              <w:ind w:firstLine="480"/>
              <w:rPr>
                <w:rFonts w:cs="Times New Roman"/>
                <w:color w:val="auto"/>
                <w:sz w:val="24"/>
                <w:szCs w:val="24"/>
                <w:highlight w:val="none"/>
              </w:rPr>
            </w:pPr>
            <w:r>
              <w:rPr>
                <w:rFonts w:cs="Times New Roman"/>
                <w:color w:val="auto"/>
                <w:sz w:val="24"/>
                <w:szCs w:val="24"/>
                <w:highlight w:val="none"/>
              </w:rPr>
              <w:t>（2）室内声源等效室外声源声功率级计算方法</w:t>
            </w:r>
          </w:p>
          <w:p w14:paraId="107B60D7">
            <w:pPr>
              <w:pStyle w:val="36"/>
              <w:spacing w:line="360" w:lineRule="auto"/>
              <w:ind w:firstLine="480"/>
              <w:rPr>
                <w:rFonts w:cs="Times New Roman"/>
                <w:color w:val="auto"/>
                <w:sz w:val="24"/>
                <w:szCs w:val="24"/>
                <w:highlight w:val="none"/>
              </w:rPr>
            </w:pPr>
            <w:r>
              <w:rPr>
                <w:rFonts w:cs="Times New Roman"/>
                <w:color w:val="auto"/>
                <w:sz w:val="24"/>
                <w:szCs w:val="24"/>
                <w:highlight w:val="none"/>
              </w:rPr>
              <w:t>如下图所示，声源位于室内，室内声源可采用等效室外声源声功率级法进行计算。设靠近开口处（或窗户）室内、室外某倍频带的声压级分别为L</w:t>
            </w:r>
            <w:r>
              <w:rPr>
                <w:rFonts w:cs="Times New Roman"/>
                <w:color w:val="auto"/>
                <w:sz w:val="24"/>
                <w:szCs w:val="24"/>
                <w:highlight w:val="none"/>
                <w:vertAlign w:val="subscript"/>
              </w:rPr>
              <w:t>p1</w:t>
            </w:r>
            <w:r>
              <w:rPr>
                <w:rFonts w:cs="Times New Roman"/>
                <w:color w:val="auto"/>
                <w:sz w:val="24"/>
                <w:szCs w:val="24"/>
                <w:highlight w:val="none"/>
              </w:rPr>
              <w:t>和L</w:t>
            </w:r>
            <w:r>
              <w:rPr>
                <w:rFonts w:cs="Times New Roman"/>
                <w:color w:val="auto"/>
                <w:sz w:val="24"/>
                <w:szCs w:val="24"/>
                <w:highlight w:val="none"/>
                <w:vertAlign w:val="subscript"/>
              </w:rPr>
              <w:t>p2</w:t>
            </w:r>
            <w:r>
              <w:rPr>
                <w:rFonts w:cs="Times New Roman"/>
                <w:color w:val="auto"/>
                <w:sz w:val="24"/>
                <w:szCs w:val="24"/>
                <w:highlight w:val="none"/>
              </w:rPr>
              <w:t>。若声源所在室内声场为近似扩散声场，则室内的倍频带声压级可按下式近似求出：</w:t>
            </w:r>
          </w:p>
          <w:p w14:paraId="3359F2B8">
            <w:pPr>
              <w:pStyle w:val="61"/>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"C:\\Users\\Admin\\AppData\\Local\\Temp\\ksohtml12936\\wps5.png"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1752600" cy="381000"/>
                  <wp:effectExtent l="0" t="0" r="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3" r:link="rId34"/>
                          <a:stretch>
                            <a:fillRect/>
                          </a:stretch>
                        </pic:blipFill>
                        <pic:spPr>
                          <a:xfrm>
                            <a:off x="0" y="0"/>
                            <a:ext cx="1752600" cy="38100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351A8128">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式中：TL-隔墙（或窗户）倍频带的隔声量，dB。</w:t>
            </w:r>
          </w:p>
          <w:p w14:paraId="235B3E85">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"C:\\Users\\Admin\\AppData\\Local\\Temp\\ksohtml12936\\wps6.png"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3025140" cy="1661160"/>
                  <wp:effectExtent l="0" t="0" r="3810" b="1524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5" r:link="rId36"/>
                          <a:stretch>
                            <a:fillRect/>
                          </a:stretch>
                        </pic:blipFill>
                        <pic:spPr>
                          <a:xfrm>
                            <a:off x="0" y="0"/>
                            <a:ext cx="3025140" cy="166116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789CE4D8">
            <w:pPr>
              <w:pStyle w:val="36"/>
              <w:spacing w:line="360" w:lineRule="auto"/>
              <w:ind w:firstLine="480"/>
              <w:rPr>
                <w:rFonts w:cs="Times New Roman"/>
                <w:color w:val="auto"/>
                <w:sz w:val="24"/>
                <w:szCs w:val="24"/>
                <w:highlight w:val="none"/>
              </w:rPr>
            </w:pPr>
            <w:r>
              <w:rPr>
                <w:rFonts w:cs="Times New Roman"/>
                <w:color w:val="auto"/>
                <w:sz w:val="24"/>
                <w:szCs w:val="24"/>
                <w:highlight w:val="none"/>
              </w:rPr>
              <w:t>按下式计算某一室内声源靠近围护结构处产生的倍频带声压级：</w:t>
            </w:r>
          </w:p>
          <w:p w14:paraId="1075ADA3">
            <w:pPr>
              <w:pStyle w:val="61"/>
              <w:spacing w:line="360" w:lineRule="auto"/>
              <w:ind w:firstLine="480"/>
              <w:rPr>
                <w:rFonts w:cs="Times New Roman"/>
                <w:b/>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"C:\\Users\\Admin\\AppData\\Local\\Temp\\ksohtml12936\\wps7.png"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308860" cy="571500"/>
                  <wp:effectExtent l="0" t="0" r="15240"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7" r:link="rId38"/>
                          <a:stretch>
                            <a:fillRect/>
                          </a:stretch>
                        </pic:blipFill>
                        <pic:spPr>
                          <a:xfrm>
                            <a:off x="0" y="0"/>
                            <a:ext cx="2308860" cy="57150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76D60CE8">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w:t>
            </w:r>
          </w:p>
          <w:p w14:paraId="38B92376">
            <w:pPr>
              <w:pStyle w:val="36"/>
              <w:spacing w:line="360" w:lineRule="auto"/>
              <w:ind w:firstLine="480"/>
              <w:rPr>
                <w:rFonts w:cs="Times New Roman"/>
                <w:color w:val="auto"/>
                <w:sz w:val="24"/>
                <w:szCs w:val="24"/>
                <w:highlight w:val="none"/>
              </w:rPr>
            </w:pPr>
            <w:r>
              <w:rPr>
                <w:rFonts w:cs="Times New Roman"/>
                <w:color w:val="auto"/>
                <w:sz w:val="24"/>
                <w:szCs w:val="24"/>
                <w:highlight w:val="none"/>
              </w:rPr>
              <w:t>Q----指向性因素；通常对无指向性声源，当声源放在房间中心时，Q=1；当放在一面墙的中心时，Q=2；当放在两面墙夹角处时；Q=4；当放在三面墙夹角处时，Q=8。</w:t>
            </w:r>
          </w:p>
          <w:p w14:paraId="1721D21C">
            <w:pPr>
              <w:pStyle w:val="36"/>
              <w:spacing w:line="360" w:lineRule="auto"/>
              <w:ind w:firstLine="480"/>
              <w:rPr>
                <w:rFonts w:cs="Times New Roman"/>
                <w:color w:val="auto"/>
                <w:sz w:val="24"/>
                <w:szCs w:val="24"/>
                <w:highlight w:val="none"/>
              </w:rPr>
            </w:pPr>
            <w:r>
              <w:rPr>
                <w:rFonts w:cs="Times New Roman"/>
                <w:color w:val="auto"/>
                <w:sz w:val="24"/>
                <w:szCs w:val="24"/>
                <w:highlight w:val="none"/>
              </w:rPr>
              <w:t>R----房间系数；R=Sα/(1-α</w:t>
            </w:r>
            <w:r>
              <w:rPr>
                <w:rFonts w:hint="eastAsia" w:cs="Times New Roman"/>
                <w:color w:val="auto"/>
                <w:sz w:val="24"/>
                <w:szCs w:val="24"/>
                <w:highlight w:val="none"/>
                <w:lang w:eastAsia="zh-CN"/>
              </w:rPr>
              <w:t>）</w:t>
            </w:r>
            <w:r>
              <w:rPr>
                <w:rFonts w:cs="Times New Roman"/>
                <w:color w:val="auto"/>
                <w:sz w:val="24"/>
                <w:szCs w:val="24"/>
                <w:highlight w:val="none"/>
              </w:rPr>
              <w:t>，S为房间内表面面积，m</w:t>
            </w:r>
            <w:r>
              <w:rPr>
                <w:rFonts w:cs="Times New Roman"/>
                <w:color w:val="auto"/>
                <w:sz w:val="24"/>
                <w:szCs w:val="24"/>
                <w:highlight w:val="none"/>
                <w:vertAlign w:val="superscript"/>
              </w:rPr>
              <w:t>2</w:t>
            </w:r>
            <w:r>
              <w:rPr>
                <w:rFonts w:cs="Times New Roman"/>
                <w:color w:val="auto"/>
                <w:sz w:val="24"/>
                <w:szCs w:val="24"/>
                <w:highlight w:val="none"/>
              </w:rPr>
              <w:t>；α为平均吸声系数。</w:t>
            </w:r>
          </w:p>
          <w:p w14:paraId="323EB429">
            <w:pPr>
              <w:pStyle w:val="36"/>
              <w:spacing w:line="360" w:lineRule="auto"/>
              <w:ind w:firstLine="480"/>
              <w:rPr>
                <w:rFonts w:cs="Times New Roman"/>
                <w:color w:val="auto"/>
                <w:sz w:val="24"/>
                <w:szCs w:val="24"/>
                <w:highlight w:val="none"/>
              </w:rPr>
            </w:pPr>
            <w:r>
              <w:rPr>
                <w:rFonts w:cs="Times New Roman"/>
                <w:color w:val="auto"/>
                <w:sz w:val="24"/>
                <w:szCs w:val="24"/>
                <w:highlight w:val="none"/>
              </w:rPr>
              <w:t>r-----声源到靠近围护结构某点处的距离，m。</w:t>
            </w:r>
          </w:p>
          <w:p w14:paraId="42F2EEEC">
            <w:pPr>
              <w:pStyle w:val="36"/>
              <w:spacing w:line="360" w:lineRule="auto"/>
              <w:ind w:firstLine="480"/>
              <w:rPr>
                <w:rFonts w:cs="Times New Roman"/>
                <w:color w:val="auto"/>
                <w:sz w:val="24"/>
                <w:szCs w:val="24"/>
                <w:highlight w:val="none"/>
              </w:rPr>
            </w:pPr>
            <w:r>
              <w:rPr>
                <w:rFonts w:hint="eastAsia"/>
                <w:color w:val="auto"/>
                <w:sz w:val="24"/>
                <w:szCs w:val="24"/>
                <w:highlight w:val="none"/>
              </w:rPr>
              <w:t>②</w:t>
            </w:r>
            <w:r>
              <w:rPr>
                <w:rFonts w:cs="Times New Roman"/>
                <w:color w:val="auto"/>
                <w:sz w:val="24"/>
                <w:szCs w:val="24"/>
                <w:highlight w:val="none"/>
              </w:rPr>
              <w:t>计算出所有室内声源在靠近围护结构处产生的i倍频带叠加声压级：</w:t>
            </w:r>
          </w:p>
          <w:p w14:paraId="7E1F4087">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"C:\\Users\\Admin\\AppData\\Local\\Temp\\ksohtml12936\\wps8.png"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103120" cy="670560"/>
                  <wp:effectExtent l="0" t="0" r="11430" b="1524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39" r:link="rId40"/>
                          <a:stretch>
                            <a:fillRect/>
                          </a:stretch>
                        </pic:blipFill>
                        <pic:spPr>
                          <a:xfrm>
                            <a:off x="0" y="0"/>
                            <a:ext cx="2103120" cy="67056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53D32BD5">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w:t>
            </w:r>
          </w:p>
          <w:p w14:paraId="21A67D3D">
            <w:pPr>
              <w:pStyle w:val="36"/>
              <w:spacing w:line="360" w:lineRule="auto"/>
              <w:ind w:firstLine="480"/>
              <w:rPr>
                <w:rFonts w:cs="Times New Roman"/>
                <w:color w:val="auto"/>
                <w:sz w:val="24"/>
                <w:szCs w:val="24"/>
                <w:highlight w:val="none"/>
              </w:rPr>
            </w:pPr>
            <w:r>
              <w:rPr>
                <w:rFonts w:cs="Times New Roman"/>
                <w:color w:val="auto"/>
                <w:sz w:val="24"/>
                <w:szCs w:val="24"/>
                <w:highlight w:val="none"/>
              </w:rPr>
              <w:t>L</w:t>
            </w:r>
            <w:r>
              <w:rPr>
                <w:rFonts w:cs="Times New Roman"/>
                <w:color w:val="auto"/>
                <w:sz w:val="24"/>
                <w:szCs w:val="24"/>
                <w:highlight w:val="none"/>
                <w:vertAlign w:val="subscript"/>
              </w:rPr>
              <w:t>p1i(T)-</w:t>
            </w:r>
            <w:r>
              <w:rPr>
                <w:rFonts w:cs="Times New Roman"/>
                <w:color w:val="auto"/>
                <w:sz w:val="24"/>
                <w:szCs w:val="24"/>
                <w:highlight w:val="none"/>
              </w:rPr>
              <w:t>--靠近围护结构处室内N个声源i倍频带的叠加声压级，dB；</w:t>
            </w:r>
          </w:p>
          <w:p w14:paraId="187B30F3">
            <w:pPr>
              <w:pStyle w:val="36"/>
              <w:spacing w:line="360" w:lineRule="auto"/>
              <w:ind w:firstLine="480"/>
              <w:rPr>
                <w:rFonts w:cs="Times New Roman"/>
                <w:color w:val="auto"/>
                <w:sz w:val="24"/>
                <w:szCs w:val="24"/>
                <w:highlight w:val="none"/>
              </w:rPr>
            </w:pPr>
            <w:r>
              <w:rPr>
                <w:rFonts w:cs="Times New Roman"/>
                <w:color w:val="auto"/>
                <w:sz w:val="24"/>
                <w:szCs w:val="24"/>
                <w:highlight w:val="none"/>
              </w:rPr>
              <w:t>L</w:t>
            </w:r>
            <w:r>
              <w:rPr>
                <w:rFonts w:cs="Times New Roman"/>
                <w:color w:val="auto"/>
                <w:sz w:val="24"/>
                <w:szCs w:val="24"/>
                <w:highlight w:val="none"/>
                <w:vertAlign w:val="subscript"/>
              </w:rPr>
              <w:t>p1ij</w:t>
            </w:r>
            <w:r>
              <w:rPr>
                <w:rFonts w:cs="Times New Roman"/>
                <w:color w:val="auto"/>
                <w:sz w:val="24"/>
                <w:szCs w:val="24"/>
                <w:highlight w:val="none"/>
              </w:rPr>
              <w:t>--</w:t>
            </w:r>
            <w:r>
              <w:rPr>
                <w:rFonts w:cs="Times New Roman"/>
                <w:color w:val="auto"/>
                <w:sz w:val="24"/>
                <w:szCs w:val="24"/>
                <w:highlight w:val="none"/>
                <w:shd w:val="clear" w:color="auto" w:fill="FFFFFF"/>
              </w:rPr>
              <w:t>-</w:t>
            </w:r>
            <w:r>
              <w:rPr>
                <w:rFonts w:cs="Times New Roman"/>
                <w:color w:val="auto"/>
                <w:sz w:val="24"/>
                <w:szCs w:val="24"/>
                <w:highlight w:val="none"/>
              </w:rPr>
              <w:t>室内j声源i倍频带的声压级，dB；</w:t>
            </w:r>
          </w:p>
          <w:p w14:paraId="498FE0DE">
            <w:pPr>
              <w:pStyle w:val="36"/>
              <w:spacing w:line="360" w:lineRule="auto"/>
              <w:ind w:firstLine="480"/>
              <w:rPr>
                <w:rFonts w:cs="Times New Roman"/>
                <w:color w:val="auto"/>
                <w:sz w:val="24"/>
                <w:szCs w:val="24"/>
                <w:highlight w:val="none"/>
              </w:rPr>
            </w:pPr>
            <w:r>
              <w:rPr>
                <w:rFonts w:cs="Times New Roman"/>
                <w:color w:val="auto"/>
                <w:sz w:val="24"/>
                <w:szCs w:val="24"/>
                <w:highlight w:val="none"/>
              </w:rPr>
              <w:t>N--</w:t>
            </w:r>
            <w:r>
              <w:rPr>
                <w:rFonts w:cs="Times New Roman"/>
                <w:color w:val="auto"/>
                <w:sz w:val="24"/>
                <w:szCs w:val="24"/>
                <w:highlight w:val="none"/>
                <w:shd w:val="clear" w:color="auto" w:fill="FFFFFF"/>
              </w:rPr>
              <w:t>-</w:t>
            </w:r>
            <w:r>
              <w:rPr>
                <w:rFonts w:cs="Times New Roman"/>
                <w:color w:val="auto"/>
                <w:sz w:val="24"/>
                <w:szCs w:val="24"/>
                <w:highlight w:val="none"/>
              </w:rPr>
              <w:t>室内声源总数。</w:t>
            </w:r>
          </w:p>
          <w:p w14:paraId="13AFA386">
            <w:pPr>
              <w:pStyle w:val="36"/>
              <w:spacing w:line="360" w:lineRule="auto"/>
              <w:ind w:firstLine="480"/>
              <w:rPr>
                <w:rFonts w:cs="Times New Roman"/>
                <w:color w:val="auto"/>
                <w:sz w:val="24"/>
                <w:szCs w:val="24"/>
                <w:highlight w:val="none"/>
              </w:rPr>
            </w:pPr>
            <w:r>
              <w:rPr>
                <w:rFonts w:hint="eastAsia"/>
                <w:color w:val="auto"/>
                <w:sz w:val="24"/>
                <w:szCs w:val="24"/>
                <w:highlight w:val="none"/>
              </w:rPr>
              <w:t>③</w:t>
            </w:r>
            <w:r>
              <w:rPr>
                <w:rFonts w:cs="Times New Roman"/>
                <w:color w:val="auto"/>
                <w:sz w:val="24"/>
                <w:szCs w:val="24"/>
                <w:highlight w:val="none"/>
              </w:rPr>
              <w:t>计算出室外靠近围护结构处的声压级：</w:t>
            </w:r>
          </w:p>
          <w:p w14:paraId="1D43A604">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"C:\\Users\\Admin\\AppData\\Local\\Temp\\ksohtml12936\\wps9.png"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423160" cy="365760"/>
                  <wp:effectExtent l="0" t="0" r="15240" b="152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1" r:link="rId42"/>
                          <a:stretch>
                            <a:fillRect/>
                          </a:stretch>
                        </pic:blipFill>
                        <pic:spPr>
                          <a:xfrm>
                            <a:off x="0" y="0"/>
                            <a:ext cx="2423160" cy="36576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3BC073D6">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w:t>
            </w:r>
          </w:p>
          <w:p w14:paraId="62BF0332">
            <w:pPr>
              <w:pStyle w:val="36"/>
              <w:spacing w:line="360" w:lineRule="auto"/>
              <w:ind w:firstLine="480"/>
              <w:rPr>
                <w:rFonts w:cs="Times New Roman"/>
                <w:color w:val="auto"/>
                <w:sz w:val="24"/>
                <w:szCs w:val="24"/>
                <w:highlight w:val="none"/>
              </w:rPr>
            </w:pPr>
            <w:r>
              <w:rPr>
                <w:rFonts w:cs="Times New Roman"/>
                <w:color w:val="auto"/>
                <w:sz w:val="24"/>
                <w:szCs w:val="24"/>
                <w:highlight w:val="none"/>
              </w:rPr>
              <w:t>L</w:t>
            </w:r>
            <w:r>
              <w:rPr>
                <w:rFonts w:cs="Times New Roman"/>
                <w:color w:val="auto"/>
                <w:sz w:val="24"/>
                <w:szCs w:val="24"/>
                <w:highlight w:val="none"/>
                <w:vertAlign w:val="subscript"/>
              </w:rPr>
              <w:t>p2i(T)</w:t>
            </w:r>
            <w:r>
              <w:rPr>
                <w:rFonts w:cs="Times New Roman"/>
                <w:color w:val="auto"/>
                <w:sz w:val="24"/>
                <w:szCs w:val="24"/>
                <w:highlight w:val="none"/>
              </w:rPr>
              <w:t>---靠近围护结构处室内N个声源i倍频带的叠加声压级，dB；</w:t>
            </w:r>
          </w:p>
          <w:p w14:paraId="5FF34CD0">
            <w:pPr>
              <w:pStyle w:val="36"/>
              <w:spacing w:line="360" w:lineRule="auto"/>
              <w:ind w:firstLine="480"/>
              <w:rPr>
                <w:rFonts w:cs="Times New Roman"/>
                <w:color w:val="auto"/>
                <w:sz w:val="24"/>
                <w:szCs w:val="24"/>
                <w:highlight w:val="none"/>
              </w:rPr>
            </w:pPr>
            <w:r>
              <w:rPr>
                <w:rFonts w:cs="Times New Roman"/>
                <w:color w:val="auto"/>
                <w:sz w:val="24"/>
                <w:szCs w:val="24"/>
                <w:highlight w:val="none"/>
              </w:rPr>
              <w:t>T</w:t>
            </w:r>
            <w:r>
              <w:rPr>
                <w:rFonts w:cs="Times New Roman"/>
                <w:color w:val="auto"/>
                <w:sz w:val="24"/>
                <w:szCs w:val="24"/>
                <w:highlight w:val="none"/>
                <w:vertAlign w:val="subscript"/>
              </w:rPr>
              <w:t>Li</w:t>
            </w:r>
            <w:r>
              <w:rPr>
                <w:rFonts w:cs="Times New Roman"/>
                <w:color w:val="auto"/>
                <w:sz w:val="24"/>
                <w:szCs w:val="24"/>
                <w:highlight w:val="none"/>
              </w:rPr>
              <w:t>---围护结构i倍频带的隔声量，dB。</w:t>
            </w:r>
          </w:p>
          <w:p w14:paraId="1EEBD802">
            <w:pPr>
              <w:pStyle w:val="36"/>
              <w:spacing w:line="360" w:lineRule="auto"/>
              <w:ind w:firstLine="480"/>
              <w:rPr>
                <w:rFonts w:cs="Times New Roman"/>
                <w:color w:val="auto"/>
                <w:sz w:val="24"/>
                <w:szCs w:val="24"/>
                <w:highlight w:val="none"/>
              </w:rPr>
            </w:pPr>
            <w:r>
              <w:rPr>
                <w:rFonts w:hint="eastAsia"/>
                <w:color w:val="auto"/>
                <w:sz w:val="24"/>
                <w:szCs w:val="24"/>
                <w:highlight w:val="none"/>
              </w:rPr>
              <w:t>④</w:t>
            </w:r>
            <w:r>
              <w:rPr>
                <w:rFonts w:cs="Times New Roman"/>
                <w:color w:val="auto"/>
                <w:sz w:val="24"/>
                <w:szCs w:val="24"/>
                <w:highlight w:val="none"/>
              </w:rPr>
              <w:t>将室外声源的声压级和透声面积换算成等效的室外声源，计算出中心位置位于透声面积（S）处的等效声源的倍频带的声功率级：</w:t>
            </w:r>
          </w:p>
          <w:p w14:paraId="7C9919C4">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"C:\\Users\\Admin\\AppData\\Local\\Temp\\ksohtml12936\\wps10.png"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1798320" cy="426720"/>
                  <wp:effectExtent l="0" t="0" r="11430" b="1143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43" r:link="rId44"/>
                          <a:stretch>
                            <a:fillRect/>
                          </a:stretch>
                        </pic:blipFill>
                        <pic:spPr>
                          <a:xfrm>
                            <a:off x="0" y="0"/>
                            <a:ext cx="1798320" cy="42672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71991F36">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式中：S为透声面积，㎡。</w:t>
            </w:r>
          </w:p>
          <w:p w14:paraId="1A20190C">
            <w:pPr>
              <w:pStyle w:val="36"/>
              <w:spacing w:line="360" w:lineRule="auto"/>
              <w:ind w:firstLine="480"/>
              <w:rPr>
                <w:rFonts w:cs="Times New Roman"/>
                <w:color w:val="auto"/>
                <w:sz w:val="24"/>
                <w:szCs w:val="24"/>
                <w:highlight w:val="none"/>
              </w:rPr>
            </w:pPr>
            <w:r>
              <w:rPr>
                <w:rFonts w:hint="eastAsia"/>
                <w:color w:val="auto"/>
                <w:sz w:val="24"/>
                <w:szCs w:val="24"/>
                <w:highlight w:val="none"/>
              </w:rPr>
              <w:t>⑤</w:t>
            </w:r>
            <w:r>
              <w:rPr>
                <w:rFonts w:cs="Times New Roman"/>
                <w:color w:val="auto"/>
                <w:sz w:val="24"/>
                <w:szCs w:val="24"/>
                <w:highlight w:val="none"/>
              </w:rPr>
              <w:t>等效室外声源的位置为围护结构的位置，其倍频带声功率级为Lw，由此按室外声源</w:t>
            </w:r>
            <w:r>
              <w:rPr>
                <w:rFonts w:cs="Times New Roman"/>
                <w:color w:val="auto"/>
                <w:sz w:val="24"/>
                <w:szCs w:val="24"/>
                <w:highlight w:val="none"/>
                <w:shd w:val="clear" w:color="auto" w:fill="FFFFFF"/>
              </w:rPr>
              <w:t>方法</w:t>
            </w:r>
            <w:r>
              <w:rPr>
                <w:rFonts w:cs="Times New Roman"/>
                <w:color w:val="auto"/>
                <w:sz w:val="24"/>
                <w:szCs w:val="24"/>
                <w:highlight w:val="none"/>
              </w:rPr>
              <w:t>计算等效室外声源在预测点产生的声级。</w:t>
            </w:r>
          </w:p>
          <w:p w14:paraId="54C6DA39">
            <w:pPr>
              <w:pStyle w:val="36"/>
              <w:spacing w:line="360" w:lineRule="auto"/>
              <w:ind w:firstLine="480"/>
              <w:rPr>
                <w:rFonts w:cs="Times New Roman"/>
                <w:color w:val="auto"/>
                <w:sz w:val="24"/>
                <w:szCs w:val="24"/>
                <w:highlight w:val="none"/>
              </w:rPr>
            </w:pPr>
            <w:r>
              <w:rPr>
                <w:rFonts w:cs="Times New Roman"/>
                <w:color w:val="auto"/>
                <w:sz w:val="24"/>
                <w:szCs w:val="24"/>
                <w:highlight w:val="none"/>
              </w:rPr>
              <w:t>（3）噪声贡献值计算</w:t>
            </w:r>
          </w:p>
          <w:p w14:paraId="3FA5407A">
            <w:pPr>
              <w:pStyle w:val="36"/>
              <w:spacing w:line="360" w:lineRule="auto"/>
              <w:ind w:firstLine="480"/>
              <w:rPr>
                <w:rFonts w:cs="Times New Roman"/>
                <w:color w:val="auto"/>
                <w:sz w:val="24"/>
                <w:szCs w:val="24"/>
                <w:highlight w:val="none"/>
              </w:rPr>
            </w:pPr>
            <w:r>
              <w:rPr>
                <w:rFonts w:cs="Times New Roman"/>
                <w:color w:val="auto"/>
                <w:sz w:val="24"/>
                <w:szCs w:val="24"/>
                <w:highlight w:val="none"/>
              </w:rPr>
              <w:t>设第i个室外声源在预测点产生的A声级为L</w:t>
            </w:r>
            <w:r>
              <w:rPr>
                <w:rFonts w:cs="Times New Roman"/>
                <w:color w:val="auto"/>
                <w:sz w:val="24"/>
                <w:szCs w:val="24"/>
                <w:highlight w:val="none"/>
                <w:vertAlign w:val="subscript"/>
              </w:rPr>
              <w:t>Ai</w:t>
            </w:r>
            <w:r>
              <w:rPr>
                <w:rFonts w:cs="Times New Roman"/>
                <w:color w:val="auto"/>
                <w:sz w:val="24"/>
                <w:szCs w:val="24"/>
                <w:highlight w:val="none"/>
              </w:rPr>
              <w:t>，在T时间内该声源工作时间为t</w:t>
            </w:r>
            <w:r>
              <w:rPr>
                <w:rFonts w:cs="Times New Roman"/>
                <w:color w:val="auto"/>
                <w:sz w:val="24"/>
                <w:szCs w:val="24"/>
                <w:highlight w:val="none"/>
                <w:vertAlign w:val="subscript"/>
              </w:rPr>
              <w:t>i</w:t>
            </w:r>
            <w:r>
              <w:rPr>
                <w:rFonts w:cs="Times New Roman"/>
                <w:color w:val="auto"/>
                <w:sz w:val="24"/>
                <w:szCs w:val="24"/>
                <w:highlight w:val="none"/>
              </w:rPr>
              <w:t>；第j个等效室外声源在预测点产生的A声级为</w:t>
            </w:r>
            <w:r>
              <w:rPr>
                <w:rFonts w:cs="Times New Roman"/>
                <w:color w:val="auto"/>
                <w:sz w:val="24"/>
                <w:szCs w:val="24"/>
                <w:highlight w:val="none"/>
                <w:shd w:val="clear" w:color="auto" w:fill="FFFFFF"/>
              </w:rPr>
              <w:t>L</w:t>
            </w:r>
            <w:r>
              <w:rPr>
                <w:rFonts w:cs="Times New Roman"/>
                <w:color w:val="auto"/>
                <w:sz w:val="24"/>
                <w:szCs w:val="24"/>
                <w:highlight w:val="none"/>
                <w:shd w:val="clear" w:color="auto" w:fill="FFFFFF"/>
                <w:vertAlign w:val="subscript"/>
              </w:rPr>
              <w:t>Aj</w:t>
            </w:r>
            <w:r>
              <w:rPr>
                <w:rFonts w:cs="Times New Roman"/>
                <w:color w:val="auto"/>
                <w:sz w:val="24"/>
                <w:szCs w:val="24"/>
                <w:highlight w:val="none"/>
              </w:rPr>
              <w:t>，在拟建工程声源对预测点产生的贡献值（</w:t>
            </w:r>
            <w:r>
              <w:rPr>
                <w:rFonts w:cs="Times New Roman"/>
                <w:color w:val="auto"/>
                <w:sz w:val="24"/>
                <w:szCs w:val="24"/>
                <w:highlight w:val="none"/>
                <w:shd w:val="clear" w:color="auto" w:fill="FFFFFF"/>
              </w:rPr>
              <w:t>Le</w:t>
            </w:r>
            <w:r>
              <w:rPr>
                <w:rFonts w:cs="Times New Roman"/>
                <w:color w:val="auto"/>
                <w:sz w:val="24"/>
                <w:szCs w:val="24"/>
                <w:highlight w:val="none"/>
                <w:shd w:val="clear" w:color="auto" w:fill="FFFFFF"/>
                <w:vertAlign w:val="subscript"/>
              </w:rPr>
              <w:t>qg</w:t>
            </w:r>
            <w:r>
              <w:rPr>
                <w:rFonts w:cs="Times New Roman"/>
                <w:color w:val="auto"/>
                <w:sz w:val="24"/>
                <w:szCs w:val="24"/>
                <w:highlight w:val="none"/>
                <w:vertAlign w:val="subscript"/>
              </w:rPr>
              <w:t>）</w:t>
            </w:r>
            <w:r>
              <w:rPr>
                <w:rFonts w:cs="Times New Roman"/>
                <w:color w:val="auto"/>
                <w:sz w:val="24"/>
                <w:szCs w:val="24"/>
                <w:highlight w:val="none"/>
              </w:rPr>
              <w:t>为：</w:t>
            </w:r>
          </w:p>
          <w:p w14:paraId="4DDF0F4B">
            <w:pPr>
              <w:pStyle w:val="61"/>
              <w:spacing w:line="360" w:lineRule="auto"/>
              <w:ind w:firstLine="480"/>
              <w:rPr>
                <w:rFonts w:cs="Times New Roman"/>
                <w:color w:val="auto"/>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"C:\\Users\\Admin\\AppData\\Local\\Temp\\ksohtml12936\\wps11.png"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3268980" cy="579120"/>
                  <wp:effectExtent l="0" t="0" r="7620" b="11430"/>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pic:cNvPicPr>
                        </pic:nvPicPr>
                        <pic:blipFill>
                          <a:blip r:embed="rId45" r:link="rId46"/>
                          <a:stretch>
                            <a:fillRect/>
                          </a:stretch>
                        </pic:blipFill>
                        <pic:spPr>
                          <a:xfrm>
                            <a:off x="0" y="0"/>
                            <a:ext cx="3268980" cy="57912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4202FB14">
            <w:pPr>
              <w:pStyle w:val="36"/>
              <w:spacing w:line="360" w:lineRule="auto"/>
              <w:ind w:firstLine="412"/>
              <w:rPr>
                <w:rFonts w:cs="Times New Roman"/>
                <w:color w:val="auto"/>
                <w:sz w:val="24"/>
                <w:szCs w:val="24"/>
                <w:highlight w:val="none"/>
              </w:rPr>
            </w:pPr>
            <w:r>
              <w:rPr>
                <w:rFonts w:cs="Times New Roman"/>
                <w:color w:val="auto"/>
                <w:spacing w:val="-17"/>
                <w:sz w:val="24"/>
                <w:szCs w:val="24"/>
                <w:highlight w:val="none"/>
              </w:rPr>
              <w:t>式</w:t>
            </w:r>
            <w:r>
              <w:rPr>
                <w:rFonts w:cs="Times New Roman"/>
                <w:color w:val="auto"/>
                <w:sz w:val="24"/>
                <w:szCs w:val="24"/>
                <w:highlight w:val="none"/>
              </w:rPr>
              <w:t>中：</w:t>
            </w:r>
          </w:p>
          <w:p w14:paraId="121B1113">
            <w:pPr>
              <w:pStyle w:val="36"/>
              <w:spacing w:line="360" w:lineRule="auto"/>
              <w:ind w:firstLine="480"/>
              <w:rPr>
                <w:rFonts w:cs="Times New Roman"/>
                <w:color w:val="auto"/>
                <w:sz w:val="24"/>
                <w:szCs w:val="24"/>
                <w:highlight w:val="none"/>
              </w:rPr>
            </w:pPr>
            <w:r>
              <w:rPr>
                <w:rFonts w:cs="Times New Roman"/>
                <w:color w:val="auto"/>
                <w:sz w:val="24"/>
                <w:szCs w:val="24"/>
                <w:highlight w:val="none"/>
              </w:rPr>
              <w:t>t</w:t>
            </w:r>
            <w:r>
              <w:rPr>
                <w:rFonts w:cs="Times New Roman"/>
                <w:color w:val="auto"/>
                <w:sz w:val="24"/>
                <w:szCs w:val="24"/>
                <w:highlight w:val="none"/>
                <w:vertAlign w:val="subscript"/>
              </w:rPr>
              <w:t>j</w:t>
            </w:r>
            <w:r>
              <w:rPr>
                <w:rFonts w:cs="Times New Roman"/>
                <w:color w:val="auto"/>
                <w:sz w:val="24"/>
                <w:szCs w:val="24"/>
                <w:highlight w:val="none"/>
              </w:rPr>
              <w:t>---在T时间内j声源工作时间，s；</w:t>
            </w:r>
          </w:p>
          <w:p w14:paraId="3A84E724">
            <w:pPr>
              <w:pStyle w:val="36"/>
              <w:spacing w:line="360" w:lineRule="auto"/>
              <w:ind w:firstLine="480"/>
              <w:rPr>
                <w:rFonts w:cs="Times New Roman"/>
                <w:color w:val="auto"/>
                <w:sz w:val="24"/>
                <w:szCs w:val="24"/>
                <w:highlight w:val="none"/>
              </w:rPr>
            </w:pPr>
            <w:r>
              <w:rPr>
                <w:rFonts w:cs="Times New Roman"/>
                <w:color w:val="auto"/>
                <w:sz w:val="24"/>
                <w:szCs w:val="24"/>
                <w:highlight w:val="none"/>
              </w:rPr>
              <w:t>t</w:t>
            </w:r>
            <w:r>
              <w:rPr>
                <w:rFonts w:cs="Times New Roman"/>
                <w:color w:val="auto"/>
                <w:sz w:val="24"/>
                <w:szCs w:val="24"/>
                <w:highlight w:val="none"/>
                <w:vertAlign w:val="subscript"/>
              </w:rPr>
              <w:t>i</w:t>
            </w:r>
            <w:r>
              <w:rPr>
                <w:rFonts w:cs="Times New Roman"/>
                <w:color w:val="auto"/>
                <w:sz w:val="24"/>
                <w:szCs w:val="24"/>
                <w:highlight w:val="none"/>
              </w:rPr>
              <w:t>---在T时间内i声源工作时间，s；</w:t>
            </w:r>
          </w:p>
          <w:p w14:paraId="0A10A270">
            <w:pPr>
              <w:pStyle w:val="36"/>
              <w:spacing w:line="360" w:lineRule="auto"/>
              <w:ind w:firstLine="480"/>
              <w:rPr>
                <w:rFonts w:cs="Times New Roman"/>
                <w:color w:val="auto"/>
                <w:sz w:val="24"/>
                <w:szCs w:val="24"/>
                <w:highlight w:val="none"/>
              </w:rPr>
            </w:pPr>
            <w:r>
              <w:rPr>
                <w:rFonts w:cs="Times New Roman"/>
                <w:color w:val="auto"/>
                <w:sz w:val="24"/>
                <w:szCs w:val="24"/>
                <w:highlight w:val="none"/>
              </w:rPr>
              <w:t>T---用于计算等效声级的时间，s；</w:t>
            </w:r>
          </w:p>
          <w:p w14:paraId="2C4A3195">
            <w:pPr>
              <w:pStyle w:val="36"/>
              <w:spacing w:line="360" w:lineRule="auto"/>
              <w:ind w:firstLine="480"/>
              <w:rPr>
                <w:rFonts w:cs="Times New Roman"/>
                <w:color w:val="auto"/>
                <w:sz w:val="24"/>
                <w:szCs w:val="24"/>
                <w:highlight w:val="none"/>
              </w:rPr>
            </w:pPr>
            <w:r>
              <w:rPr>
                <w:rFonts w:cs="Times New Roman"/>
                <w:color w:val="auto"/>
                <w:sz w:val="24"/>
                <w:szCs w:val="24"/>
                <w:highlight w:val="none"/>
              </w:rPr>
              <w:t>N--</w:t>
            </w:r>
            <w:r>
              <w:rPr>
                <w:rFonts w:cs="Times New Roman"/>
                <w:color w:val="auto"/>
                <w:sz w:val="24"/>
                <w:szCs w:val="24"/>
                <w:highlight w:val="none"/>
                <w:shd w:val="clear" w:color="auto" w:fill="FFFFFF"/>
              </w:rPr>
              <w:t>-</w:t>
            </w:r>
            <w:r>
              <w:rPr>
                <w:rFonts w:cs="Times New Roman"/>
                <w:color w:val="auto"/>
                <w:sz w:val="24"/>
                <w:szCs w:val="24"/>
                <w:highlight w:val="none"/>
              </w:rPr>
              <w:t>室外声源个数；</w:t>
            </w:r>
          </w:p>
          <w:p w14:paraId="7E3FD9A6">
            <w:pPr>
              <w:pStyle w:val="36"/>
              <w:spacing w:line="360" w:lineRule="auto"/>
              <w:ind w:firstLine="480"/>
              <w:rPr>
                <w:rFonts w:cs="Times New Roman"/>
                <w:color w:val="auto"/>
                <w:sz w:val="24"/>
                <w:szCs w:val="24"/>
                <w:highlight w:val="none"/>
              </w:rPr>
            </w:pPr>
            <w:r>
              <w:rPr>
                <w:rFonts w:cs="Times New Roman"/>
                <w:color w:val="auto"/>
                <w:sz w:val="24"/>
                <w:szCs w:val="24"/>
                <w:highlight w:val="none"/>
              </w:rPr>
              <w:t>M--</w:t>
            </w:r>
            <w:r>
              <w:rPr>
                <w:rFonts w:cs="Times New Roman"/>
                <w:color w:val="auto"/>
                <w:sz w:val="24"/>
                <w:szCs w:val="24"/>
                <w:highlight w:val="none"/>
                <w:shd w:val="clear" w:color="auto" w:fill="FFFFFF"/>
              </w:rPr>
              <w:t>-</w:t>
            </w:r>
            <w:r>
              <w:rPr>
                <w:rFonts w:cs="Times New Roman"/>
                <w:color w:val="auto"/>
                <w:sz w:val="24"/>
                <w:szCs w:val="24"/>
                <w:highlight w:val="none"/>
              </w:rPr>
              <w:t>室内声源个数。</w:t>
            </w:r>
          </w:p>
          <w:p w14:paraId="28F63621">
            <w:pPr>
              <w:pStyle w:val="36"/>
              <w:spacing w:line="360" w:lineRule="auto"/>
              <w:ind w:firstLine="480"/>
              <w:rPr>
                <w:rFonts w:cs="Times New Roman"/>
                <w:color w:val="auto"/>
                <w:sz w:val="24"/>
                <w:szCs w:val="24"/>
                <w:highlight w:val="none"/>
              </w:rPr>
            </w:pPr>
            <w:r>
              <w:rPr>
                <w:rFonts w:cs="Times New Roman"/>
                <w:color w:val="auto"/>
                <w:sz w:val="24"/>
                <w:szCs w:val="24"/>
                <w:highlight w:val="none"/>
              </w:rPr>
              <w:t>（4）预测值计算</w:t>
            </w:r>
          </w:p>
          <w:p w14:paraId="42641D3D">
            <w:pPr>
              <w:pStyle w:val="36"/>
              <w:spacing w:line="360" w:lineRule="auto"/>
              <w:ind w:firstLine="480"/>
              <w:rPr>
                <w:rFonts w:cs="Times New Roman"/>
                <w:color w:val="auto"/>
                <w:sz w:val="24"/>
                <w:szCs w:val="24"/>
                <w:highlight w:val="none"/>
              </w:rPr>
            </w:pPr>
            <w:r>
              <w:rPr>
                <w:rFonts w:cs="Times New Roman"/>
                <w:color w:val="auto"/>
                <w:sz w:val="24"/>
                <w:szCs w:val="24"/>
                <w:highlight w:val="none"/>
              </w:rPr>
              <w:t>预测点的预测等效声级（</w:t>
            </w:r>
            <w:r>
              <w:rPr>
                <w:rFonts w:cs="Times New Roman"/>
                <w:color w:val="auto"/>
                <w:sz w:val="24"/>
                <w:szCs w:val="24"/>
                <w:highlight w:val="none"/>
                <w:shd w:val="clear" w:color="auto" w:fill="FFFFFF"/>
              </w:rPr>
              <w:t>Leq</w:t>
            </w:r>
            <w:r>
              <w:rPr>
                <w:rFonts w:cs="Times New Roman"/>
                <w:color w:val="auto"/>
                <w:sz w:val="24"/>
                <w:szCs w:val="24"/>
                <w:highlight w:val="none"/>
              </w:rPr>
              <w:t>）计算公式为：</w:t>
            </w:r>
          </w:p>
          <w:p w14:paraId="49D257D3">
            <w:pPr>
              <w:pStyle w:val="61"/>
              <w:spacing w:line="360" w:lineRule="auto"/>
              <w:ind w:firstLine="480"/>
              <w:rPr>
                <w:rFonts w:cs="Times New Roman"/>
                <w:color w:val="auto"/>
                <w:spacing w:val="-10"/>
                <w:sz w:val="24"/>
                <w:szCs w:val="24"/>
                <w:highlight w:val="none"/>
              </w:rPr>
            </w:pP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fldChar w:fldCharType="begin"/>
            </w:r>
            <w:r>
              <w:rPr>
                <w:rFonts w:cs="Times New Roman"/>
                <w:color w:val="auto"/>
                <w:sz w:val="24"/>
                <w:szCs w:val="24"/>
                <w:highlight w:val="none"/>
              </w:rPr>
              <w:instrText xml:space="preserve"> INCLUDEPICTURE  "C:\\Users\\Admin\\AppData\\Local\\Temp\\ksohtml12936\\wps12.png" \* MERGEFORMATINET </w:instrText>
            </w:r>
            <w:r>
              <w:rPr>
                <w:rFonts w:cs="Times New Roman"/>
                <w:color w:val="auto"/>
                <w:sz w:val="24"/>
                <w:szCs w:val="24"/>
                <w:highlight w:val="none"/>
              </w:rPr>
              <w:fldChar w:fldCharType="separate"/>
            </w:r>
            <w:r>
              <w:rPr>
                <w:rFonts w:cs="Times New Roman"/>
                <w:color w:val="auto"/>
                <w:sz w:val="24"/>
                <w:szCs w:val="24"/>
                <w:highlight w:val="none"/>
              </w:rPr>
              <w:drawing>
                <wp:inline distT="0" distB="0" distL="114300" distR="114300">
                  <wp:extent cx="2354580" cy="502920"/>
                  <wp:effectExtent l="0" t="0" r="7620" b="1143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47" r:link="rId48"/>
                          <a:stretch>
                            <a:fillRect/>
                          </a:stretch>
                        </pic:blipFill>
                        <pic:spPr>
                          <a:xfrm>
                            <a:off x="0" y="0"/>
                            <a:ext cx="2354580" cy="502920"/>
                          </a:xfrm>
                          <a:prstGeom prst="rect">
                            <a:avLst/>
                          </a:prstGeom>
                          <a:noFill/>
                          <a:ln>
                            <a:noFill/>
                          </a:ln>
                        </pic:spPr>
                      </pic:pic>
                    </a:graphicData>
                  </a:graphic>
                </wp:inline>
              </w:drawing>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r>
              <w:rPr>
                <w:rFonts w:cs="Times New Roman"/>
                <w:color w:val="auto"/>
                <w:sz w:val="24"/>
                <w:szCs w:val="24"/>
                <w:highlight w:val="none"/>
              </w:rPr>
              <w:fldChar w:fldCharType="end"/>
            </w:r>
          </w:p>
          <w:p w14:paraId="4C7561B2">
            <w:pPr>
              <w:pStyle w:val="36"/>
              <w:spacing w:line="360" w:lineRule="auto"/>
              <w:ind w:firstLine="480"/>
              <w:rPr>
                <w:rFonts w:cs="Times New Roman"/>
                <w:color w:val="auto"/>
                <w:sz w:val="24"/>
                <w:szCs w:val="24"/>
                <w:highlight w:val="none"/>
              </w:rPr>
            </w:pPr>
            <w:r>
              <w:rPr>
                <w:rFonts w:cs="Times New Roman"/>
                <w:color w:val="auto"/>
                <w:sz w:val="24"/>
                <w:szCs w:val="24"/>
                <w:highlight w:val="none"/>
              </w:rPr>
              <w:t>式中：</w:t>
            </w:r>
            <w:r>
              <w:rPr>
                <w:rFonts w:cs="Times New Roman"/>
                <w:color w:val="auto"/>
                <w:sz w:val="24"/>
                <w:szCs w:val="24"/>
                <w:highlight w:val="none"/>
                <w:shd w:val="clear" w:color="auto" w:fill="FFFFFF"/>
              </w:rPr>
              <w:t>L</w:t>
            </w:r>
            <w:r>
              <w:rPr>
                <w:rFonts w:cs="Times New Roman"/>
                <w:color w:val="auto"/>
                <w:sz w:val="24"/>
                <w:szCs w:val="24"/>
                <w:highlight w:val="none"/>
                <w:shd w:val="clear" w:color="auto" w:fill="FFFFFF"/>
                <w:vertAlign w:val="subscript"/>
              </w:rPr>
              <w:t>eqg</w:t>
            </w:r>
            <w:r>
              <w:rPr>
                <w:rFonts w:cs="Times New Roman"/>
                <w:color w:val="auto"/>
                <w:sz w:val="24"/>
                <w:szCs w:val="24"/>
                <w:highlight w:val="none"/>
              </w:rPr>
              <w:t>---建设项目声源在预测点的等效声级贡献值，dB；</w:t>
            </w:r>
          </w:p>
          <w:p w14:paraId="4AFE53E5">
            <w:pPr>
              <w:pStyle w:val="36"/>
              <w:spacing w:line="360" w:lineRule="auto"/>
              <w:ind w:firstLine="480"/>
              <w:rPr>
                <w:rFonts w:cs="Times New Roman"/>
                <w:color w:val="auto"/>
                <w:sz w:val="24"/>
                <w:szCs w:val="24"/>
                <w:highlight w:val="none"/>
              </w:rPr>
            </w:pPr>
            <w:r>
              <w:rPr>
                <w:rFonts w:cs="Times New Roman"/>
                <w:color w:val="auto"/>
                <w:sz w:val="24"/>
                <w:szCs w:val="24"/>
                <w:highlight w:val="none"/>
                <w:shd w:val="clear" w:color="auto" w:fill="FFFFFF"/>
              </w:rPr>
              <w:t>L</w:t>
            </w:r>
            <w:r>
              <w:rPr>
                <w:rFonts w:cs="Times New Roman"/>
                <w:color w:val="auto"/>
                <w:sz w:val="24"/>
                <w:szCs w:val="24"/>
                <w:highlight w:val="none"/>
                <w:shd w:val="clear" w:color="auto" w:fill="FFFFFF"/>
                <w:vertAlign w:val="subscript"/>
              </w:rPr>
              <w:t>eqb</w:t>
            </w:r>
            <w:r>
              <w:rPr>
                <w:rFonts w:cs="Times New Roman"/>
                <w:color w:val="auto"/>
                <w:sz w:val="24"/>
                <w:szCs w:val="24"/>
                <w:highlight w:val="none"/>
              </w:rPr>
              <w:t>---预测点的背景值，dB。</w:t>
            </w:r>
          </w:p>
          <w:p w14:paraId="64191FC4">
            <w:pPr>
              <w:pStyle w:val="36"/>
              <w:spacing w:line="360" w:lineRule="auto"/>
              <w:ind w:firstLine="480"/>
              <w:rPr>
                <w:rFonts w:cs="Times New Roman"/>
                <w:color w:val="auto"/>
                <w:sz w:val="24"/>
                <w:szCs w:val="24"/>
                <w:highlight w:val="none"/>
              </w:rPr>
            </w:pPr>
            <w:r>
              <w:rPr>
                <w:rFonts w:cs="Times New Roman"/>
                <w:color w:val="auto"/>
                <w:sz w:val="24"/>
                <w:szCs w:val="24"/>
                <w:highlight w:val="none"/>
              </w:rPr>
              <w:t>（5）隔声量的确定</w:t>
            </w:r>
          </w:p>
          <w:p w14:paraId="4BB1C732">
            <w:pPr>
              <w:pStyle w:val="36"/>
              <w:spacing w:line="360" w:lineRule="auto"/>
              <w:ind w:firstLine="480"/>
              <w:rPr>
                <w:rFonts w:cs="Times New Roman"/>
                <w:color w:val="auto"/>
                <w:sz w:val="24"/>
                <w:szCs w:val="24"/>
                <w:highlight w:val="none"/>
              </w:rPr>
            </w:pPr>
            <w:r>
              <w:rPr>
                <w:rFonts w:cs="Times New Roman"/>
                <w:color w:val="auto"/>
                <w:sz w:val="24"/>
                <w:szCs w:val="24"/>
                <w:highlight w:val="none"/>
              </w:rPr>
              <w:t>项目主要噪声设备大多设置于各建构筑物内，设备噪声经减震、隔声后，可削减</w:t>
            </w:r>
            <w:r>
              <w:rPr>
                <w:rFonts w:hint="eastAsia" w:cs="Times New Roman"/>
                <w:color w:val="auto"/>
                <w:sz w:val="24"/>
                <w:szCs w:val="24"/>
                <w:highlight w:val="none"/>
                <w:lang w:val="en-US" w:eastAsia="zh-CN"/>
              </w:rPr>
              <w:t>15</w:t>
            </w:r>
            <w:r>
              <w:rPr>
                <w:rFonts w:cs="Times New Roman"/>
                <w:color w:val="auto"/>
                <w:sz w:val="24"/>
                <w:szCs w:val="24"/>
                <w:highlight w:val="none"/>
              </w:rPr>
              <w:t>dB（A）以上。</w:t>
            </w:r>
          </w:p>
          <w:p w14:paraId="5190D171">
            <w:pPr>
              <w:pStyle w:val="36"/>
              <w:spacing w:line="360" w:lineRule="auto"/>
              <w:ind w:firstLine="480"/>
              <w:rPr>
                <w:rFonts w:cs="Times New Roman"/>
                <w:color w:val="auto"/>
                <w:sz w:val="24"/>
                <w:szCs w:val="24"/>
                <w:highlight w:val="none"/>
              </w:rPr>
            </w:pPr>
            <w:r>
              <w:rPr>
                <w:rFonts w:cs="Times New Roman"/>
                <w:color w:val="auto"/>
                <w:sz w:val="24"/>
                <w:szCs w:val="24"/>
                <w:highlight w:val="none"/>
              </w:rPr>
              <w:t>（6）预测结果</w:t>
            </w:r>
          </w:p>
          <w:p w14:paraId="0A505BE5">
            <w:pPr>
              <w:spacing w:line="360" w:lineRule="auto"/>
              <w:ind w:firstLine="480" w:firstLineChars="200"/>
              <w:jc w:val="left"/>
              <w:rPr>
                <w:b/>
                <w:bCs/>
                <w:sz w:val="24"/>
              </w:rPr>
            </w:pPr>
            <w:r>
              <w:rPr>
                <w:sz w:val="24"/>
                <w:lang w:val="zh-CN"/>
              </w:rPr>
              <w:t>利用上述模式计算本项目噪声源同时工作时，预测到厂界的噪声最大值及位置，具体预测结果见表</w:t>
            </w:r>
            <w:r>
              <w:rPr>
                <w:rFonts w:hint="eastAsia"/>
                <w:sz w:val="24"/>
              </w:rPr>
              <w:t>4.3-2</w:t>
            </w:r>
            <w:r>
              <w:rPr>
                <w:sz w:val="24"/>
                <w:lang w:val="zh-CN"/>
              </w:rPr>
              <w:t>所示。</w:t>
            </w:r>
          </w:p>
          <w:p w14:paraId="2B0AC955">
            <w:pPr>
              <w:keepNext w:val="0"/>
              <w:keepLines w:val="0"/>
              <w:pageBreakBefore w:val="0"/>
              <w:widowControl w:val="0"/>
              <w:tabs>
                <w:tab w:val="left" w:pos="482"/>
              </w:tabs>
              <w:kinsoku/>
              <w:wordWrap/>
              <w:overflowPunct/>
              <w:topLinePunct w:val="0"/>
              <w:autoSpaceDE/>
              <w:autoSpaceDN/>
              <w:bidi w:val="0"/>
              <w:adjustRightInd/>
              <w:snapToGrid/>
              <w:spacing w:before="163" w:beforeLines="5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表4.3-2 厂界噪声预测结果 单位：dB(A)</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04"/>
              <w:gridCol w:w="1742"/>
              <w:gridCol w:w="1383"/>
              <w:gridCol w:w="959"/>
              <w:gridCol w:w="961"/>
              <w:gridCol w:w="1144"/>
              <w:gridCol w:w="1106"/>
              <w:gridCol w:w="947"/>
            </w:tblGrid>
            <w:tr w14:paraId="1B3D5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41" w:type="pct"/>
                  <w:vMerge w:val="restart"/>
                  <w:noWrap w:val="0"/>
                  <w:vAlign w:val="center"/>
                </w:tcPr>
                <w:p w14:paraId="51E4937F">
                  <w:pPr>
                    <w:pStyle w:val="62"/>
                    <w:spacing w:before="24" w:after="24" w:line="340" w:lineRule="exact"/>
                    <w:rPr>
                      <w:rFonts w:ascii="Times New Roman"/>
                      <w:color w:val="auto"/>
                      <w:kern w:val="2"/>
                      <w:szCs w:val="21"/>
                    </w:rPr>
                  </w:pPr>
                  <w:r>
                    <w:rPr>
                      <w:rFonts w:ascii="Times New Roman"/>
                      <w:color w:val="auto"/>
                      <w:kern w:val="2"/>
                      <w:szCs w:val="21"/>
                    </w:rPr>
                    <w:t>编号</w:t>
                  </w:r>
                </w:p>
              </w:tc>
              <w:tc>
                <w:tcPr>
                  <w:tcW w:w="984" w:type="pct"/>
                  <w:vMerge w:val="restart"/>
                  <w:noWrap w:val="0"/>
                  <w:vAlign w:val="center"/>
                </w:tcPr>
                <w:p w14:paraId="726C72BB">
                  <w:pPr>
                    <w:pStyle w:val="62"/>
                    <w:spacing w:before="24" w:after="24" w:line="340" w:lineRule="exact"/>
                    <w:rPr>
                      <w:rFonts w:ascii="Times New Roman"/>
                      <w:color w:val="auto"/>
                      <w:kern w:val="2"/>
                      <w:szCs w:val="21"/>
                    </w:rPr>
                  </w:pPr>
                  <w:r>
                    <w:rPr>
                      <w:rFonts w:ascii="Times New Roman"/>
                      <w:color w:val="auto"/>
                      <w:kern w:val="2"/>
                      <w:szCs w:val="21"/>
                    </w:rPr>
                    <w:t>测点位置</w:t>
                  </w:r>
                </w:p>
              </w:tc>
              <w:tc>
                <w:tcPr>
                  <w:tcW w:w="781" w:type="pct"/>
                  <w:vMerge w:val="restart"/>
                  <w:noWrap w:val="0"/>
                  <w:vAlign w:val="center"/>
                </w:tcPr>
                <w:p w14:paraId="0AC04451">
                  <w:pPr>
                    <w:pStyle w:val="62"/>
                    <w:spacing w:before="24" w:after="24" w:line="340" w:lineRule="exact"/>
                    <w:rPr>
                      <w:rFonts w:ascii="Times New Roman"/>
                      <w:color w:val="auto"/>
                      <w:kern w:val="2"/>
                      <w:szCs w:val="21"/>
                    </w:rPr>
                  </w:pPr>
                  <w:r>
                    <w:rPr>
                      <w:rFonts w:hint="eastAsia" w:ascii="Times New Roman"/>
                      <w:color w:val="auto"/>
                      <w:kern w:val="2"/>
                      <w:szCs w:val="21"/>
                    </w:rPr>
                    <w:t>降噪措施</w:t>
                  </w:r>
                </w:p>
              </w:tc>
              <w:tc>
                <w:tcPr>
                  <w:tcW w:w="1085" w:type="pct"/>
                  <w:gridSpan w:val="2"/>
                  <w:noWrap w:val="0"/>
                  <w:vAlign w:val="center"/>
                </w:tcPr>
                <w:p w14:paraId="610BD175">
                  <w:pPr>
                    <w:pStyle w:val="62"/>
                    <w:spacing w:before="24" w:after="24" w:line="340" w:lineRule="exact"/>
                    <w:rPr>
                      <w:rFonts w:ascii="Times New Roman"/>
                      <w:color w:val="auto"/>
                      <w:kern w:val="2"/>
                      <w:szCs w:val="21"/>
                    </w:rPr>
                  </w:pPr>
                  <w:r>
                    <w:rPr>
                      <w:rFonts w:ascii="Times New Roman"/>
                      <w:color w:val="auto"/>
                      <w:kern w:val="2"/>
                      <w:szCs w:val="21"/>
                    </w:rPr>
                    <w:t>影响贡献值</w:t>
                  </w:r>
                </w:p>
              </w:tc>
              <w:tc>
                <w:tcPr>
                  <w:tcW w:w="1271" w:type="pct"/>
                  <w:gridSpan w:val="2"/>
                  <w:noWrap w:val="0"/>
                  <w:vAlign w:val="center"/>
                </w:tcPr>
                <w:p w14:paraId="433E95B1">
                  <w:pPr>
                    <w:pStyle w:val="62"/>
                    <w:spacing w:before="24" w:after="24" w:line="340" w:lineRule="exact"/>
                    <w:rPr>
                      <w:rFonts w:ascii="Times New Roman"/>
                      <w:color w:val="auto"/>
                      <w:kern w:val="2"/>
                      <w:szCs w:val="21"/>
                    </w:rPr>
                  </w:pPr>
                  <w:r>
                    <w:rPr>
                      <w:rFonts w:ascii="Times New Roman"/>
                      <w:color w:val="auto"/>
                      <w:kern w:val="2"/>
                      <w:szCs w:val="21"/>
                    </w:rPr>
                    <w:t>标准值</w:t>
                  </w:r>
                </w:p>
              </w:tc>
              <w:tc>
                <w:tcPr>
                  <w:tcW w:w="535" w:type="pct"/>
                  <w:vMerge w:val="restart"/>
                  <w:noWrap w:val="0"/>
                  <w:vAlign w:val="center"/>
                </w:tcPr>
                <w:p w14:paraId="041AF7D6">
                  <w:pPr>
                    <w:pStyle w:val="62"/>
                    <w:spacing w:before="24" w:after="24" w:line="340" w:lineRule="exact"/>
                    <w:rPr>
                      <w:rFonts w:ascii="Times New Roman"/>
                      <w:color w:val="auto"/>
                      <w:kern w:val="2"/>
                      <w:szCs w:val="21"/>
                    </w:rPr>
                  </w:pPr>
                  <w:r>
                    <w:rPr>
                      <w:rFonts w:ascii="Times New Roman"/>
                      <w:color w:val="auto"/>
                      <w:kern w:val="2"/>
                      <w:szCs w:val="21"/>
                    </w:rPr>
                    <w:t>达标情况</w:t>
                  </w:r>
                </w:p>
              </w:tc>
            </w:tr>
            <w:tr w14:paraId="09621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41" w:type="pct"/>
                  <w:vMerge w:val="continue"/>
                  <w:noWrap w:val="0"/>
                  <w:vAlign w:val="center"/>
                </w:tcPr>
                <w:p w14:paraId="42EDB8BD">
                  <w:pPr>
                    <w:pStyle w:val="62"/>
                    <w:spacing w:before="24" w:after="24" w:line="340" w:lineRule="exact"/>
                    <w:rPr>
                      <w:rFonts w:ascii="Times New Roman"/>
                      <w:color w:val="auto"/>
                      <w:kern w:val="2"/>
                      <w:szCs w:val="21"/>
                    </w:rPr>
                  </w:pPr>
                </w:p>
              </w:tc>
              <w:tc>
                <w:tcPr>
                  <w:tcW w:w="984" w:type="pct"/>
                  <w:vMerge w:val="continue"/>
                  <w:noWrap w:val="0"/>
                  <w:vAlign w:val="center"/>
                </w:tcPr>
                <w:p w14:paraId="3ECA2225">
                  <w:pPr>
                    <w:pStyle w:val="62"/>
                    <w:spacing w:before="24" w:after="24" w:line="340" w:lineRule="exact"/>
                    <w:rPr>
                      <w:rFonts w:ascii="Times New Roman"/>
                      <w:color w:val="auto"/>
                      <w:kern w:val="2"/>
                      <w:szCs w:val="21"/>
                    </w:rPr>
                  </w:pPr>
                </w:p>
              </w:tc>
              <w:tc>
                <w:tcPr>
                  <w:tcW w:w="781" w:type="pct"/>
                  <w:vMerge w:val="continue"/>
                  <w:noWrap w:val="0"/>
                  <w:vAlign w:val="center"/>
                </w:tcPr>
                <w:p w14:paraId="21FBF07F">
                  <w:pPr>
                    <w:pStyle w:val="62"/>
                    <w:spacing w:before="24" w:after="24" w:line="340" w:lineRule="exact"/>
                    <w:rPr>
                      <w:rFonts w:hint="eastAsia" w:ascii="Times New Roman"/>
                      <w:color w:val="auto"/>
                      <w:kern w:val="2"/>
                      <w:szCs w:val="21"/>
                    </w:rPr>
                  </w:pPr>
                </w:p>
              </w:tc>
              <w:tc>
                <w:tcPr>
                  <w:tcW w:w="542" w:type="pct"/>
                  <w:noWrap w:val="0"/>
                  <w:vAlign w:val="center"/>
                </w:tcPr>
                <w:p w14:paraId="1F252958">
                  <w:pPr>
                    <w:pStyle w:val="62"/>
                    <w:spacing w:before="24" w:after="24" w:line="340" w:lineRule="exact"/>
                    <w:rPr>
                      <w:rFonts w:hint="eastAsia" w:ascii="Times New Roman"/>
                      <w:color w:val="auto"/>
                      <w:kern w:val="2"/>
                      <w:szCs w:val="21"/>
                    </w:rPr>
                  </w:pPr>
                  <w:r>
                    <w:rPr>
                      <w:rFonts w:hint="eastAsia" w:ascii="Times New Roman"/>
                      <w:color w:val="auto"/>
                      <w:kern w:val="2"/>
                      <w:szCs w:val="21"/>
                    </w:rPr>
                    <w:t>昼间</w:t>
                  </w:r>
                </w:p>
              </w:tc>
              <w:tc>
                <w:tcPr>
                  <w:tcW w:w="542" w:type="pct"/>
                  <w:noWrap w:val="0"/>
                  <w:vAlign w:val="center"/>
                </w:tcPr>
                <w:p w14:paraId="03906C64">
                  <w:pPr>
                    <w:pStyle w:val="62"/>
                    <w:spacing w:before="24" w:after="24" w:line="340" w:lineRule="exact"/>
                    <w:rPr>
                      <w:rFonts w:hint="eastAsia" w:ascii="Times New Roman" w:eastAsia="宋体"/>
                      <w:color w:val="auto"/>
                      <w:kern w:val="2"/>
                      <w:szCs w:val="21"/>
                      <w:lang w:val="en-US" w:eastAsia="zh-CN"/>
                    </w:rPr>
                  </w:pPr>
                  <w:r>
                    <w:rPr>
                      <w:rFonts w:hint="eastAsia" w:ascii="Times New Roman"/>
                      <w:color w:val="auto"/>
                      <w:kern w:val="2"/>
                      <w:szCs w:val="21"/>
                      <w:lang w:val="en-US" w:eastAsia="zh-CN"/>
                    </w:rPr>
                    <w:t>夜间</w:t>
                  </w:r>
                </w:p>
              </w:tc>
              <w:tc>
                <w:tcPr>
                  <w:tcW w:w="646" w:type="pct"/>
                  <w:noWrap w:val="0"/>
                  <w:vAlign w:val="center"/>
                </w:tcPr>
                <w:p w14:paraId="08B0D3E5">
                  <w:pPr>
                    <w:pStyle w:val="62"/>
                    <w:spacing w:before="24" w:after="24" w:line="340" w:lineRule="exact"/>
                    <w:rPr>
                      <w:rFonts w:hint="eastAsia" w:ascii="Times New Roman"/>
                      <w:color w:val="auto"/>
                      <w:kern w:val="2"/>
                      <w:szCs w:val="21"/>
                    </w:rPr>
                  </w:pPr>
                  <w:r>
                    <w:rPr>
                      <w:rFonts w:ascii="Times New Roman"/>
                      <w:color w:val="auto"/>
                      <w:kern w:val="2"/>
                      <w:szCs w:val="21"/>
                    </w:rPr>
                    <w:t>昼间</w:t>
                  </w:r>
                </w:p>
              </w:tc>
              <w:tc>
                <w:tcPr>
                  <w:tcW w:w="625" w:type="pct"/>
                  <w:noWrap w:val="0"/>
                  <w:vAlign w:val="center"/>
                </w:tcPr>
                <w:p w14:paraId="3E15A43C">
                  <w:pPr>
                    <w:pStyle w:val="62"/>
                    <w:spacing w:before="24" w:after="24" w:line="340" w:lineRule="exact"/>
                    <w:rPr>
                      <w:rFonts w:hint="eastAsia" w:ascii="Times New Roman" w:eastAsia="宋体"/>
                      <w:color w:val="auto"/>
                      <w:kern w:val="2"/>
                      <w:szCs w:val="21"/>
                      <w:lang w:val="en-US" w:eastAsia="zh-CN"/>
                    </w:rPr>
                  </w:pPr>
                  <w:r>
                    <w:rPr>
                      <w:rFonts w:hint="eastAsia" w:ascii="Times New Roman"/>
                      <w:color w:val="auto"/>
                      <w:kern w:val="2"/>
                      <w:szCs w:val="21"/>
                      <w:lang w:val="en-US" w:eastAsia="zh-CN"/>
                    </w:rPr>
                    <w:t>夜间</w:t>
                  </w:r>
                </w:p>
              </w:tc>
              <w:tc>
                <w:tcPr>
                  <w:tcW w:w="535" w:type="pct"/>
                  <w:vMerge w:val="continue"/>
                  <w:noWrap w:val="0"/>
                  <w:vAlign w:val="center"/>
                </w:tcPr>
                <w:p w14:paraId="06318CAE">
                  <w:pPr>
                    <w:pStyle w:val="62"/>
                    <w:spacing w:before="24" w:after="24" w:line="340" w:lineRule="exact"/>
                    <w:rPr>
                      <w:rFonts w:ascii="Times New Roman"/>
                      <w:color w:val="auto"/>
                      <w:kern w:val="2"/>
                      <w:szCs w:val="21"/>
                    </w:rPr>
                  </w:pPr>
                </w:p>
              </w:tc>
            </w:tr>
            <w:tr w14:paraId="3F02D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1" w:type="pct"/>
                  <w:noWrap w:val="0"/>
                  <w:vAlign w:val="center"/>
                </w:tcPr>
                <w:p w14:paraId="0FE8B509">
                  <w:pPr>
                    <w:pStyle w:val="62"/>
                    <w:spacing w:before="24" w:after="24" w:line="340" w:lineRule="exact"/>
                    <w:rPr>
                      <w:rFonts w:ascii="Times New Roman"/>
                      <w:color w:val="auto"/>
                      <w:kern w:val="2"/>
                      <w:szCs w:val="21"/>
                    </w:rPr>
                  </w:pPr>
                  <w:r>
                    <w:rPr>
                      <w:rFonts w:ascii="Times New Roman"/>
                      <w:color w:val="auto"/>
                      <w:kern w:val="2"/>
                      <w:szCs w:val="21"/>
                    </w:rPr>
                    <w:t>1</w:t>
                  </w:r>
                </w:p>
              </w:tc>
              <w:tc>
                <w:tcPr>
                  <w:tcW w:w="984" w:type="pct"/>
                  <w:noWrap w:val="0"/>
                  <w:vAlign w:val="center"/>
                </w:tcPr>
                <w:p w14:paraId="25AA700A">
                  <w:pPr>
                    <w:jc w:val="center"/>
                    <w:rPr>
                      <w:rFonts w:hint="default" w:eastAsia="宋体"/>
                      <w:color w:val="auto"/>
                      <w:kern w:val="2"/>
                      <w:sz w:val="21"/>
                      <w:szCs w:val="21"/>
                      <w:lang w:val="en-US" w:eastAsia="zh-CN" w:bidi="ar-SA"/>
                    </w:rPr>
                  </w:pPr>
                  <w:r>
                    <w:rPr>
                      <w:rFonts w:hint="eastAsia"/>
                      <w:color w:val="auto"/>
                      <w:szCs w:val="21"/>
                      <w:lang w:val="en-US" w:eastAsia="zh-CN"/>
                    </w:rPr>
                    <w:t>厂界西北侧</w:t>
                  </w:r>
                </w:p>
              </w:tc>
              <w:tc>
                <w:tcPr>
                  <w:tcW w:w="781" w:type="pct"/>
                  <w:vMerge w:val="restart"/>
                  <w:noWrap w:val="0"/>
                  <w:vAlign w:val="center"/>
                </w:tcPr>
                <w:p w14:paraId="44F39C27">
                  <w:pPr>
                    <w:adjustRightInd w:val="0"/>
                    <w:spacing w:line="340" w:lineRule="exact"/>
                    <w:jc w:val="center"/>
                    <w:rPr>
                      <w:rFonts w:hint="eastAsia"/>
                      <w:color w:val="auto"/>
                      <w:szCs w:val="21"/>
                    </w:rPr>
                  </w:pPr>
                  <w:r>
                    <w:rPr>
                      <w:rFonts w:hint="eastAsia"/>
                      <w:snapToGrid w:val="0"/>
                      <w:color w:val="auto"/>
                      <w:szCs w:val="21"/>
                    </w:rPr>
                    <w:t>设备基础减振、</w:t>
                  </w:r>
                  <w:r>
                    <w:rPr>
                      <w:color w:val="auto"/>
                    </w:rPr>
                    <w:t>车间隔声</w:t>
                  </w:r>
                </w:p>
              </w:tc>
              <w:tc>
                <w:tcPr>
                  <w:tcW w:w="542" w:type="pct"/>
                  <w:noWrap w:val="0"/>
                  <w:vAlign w:val="center"/>
                </w:tcPr>
                <w:p w14:paraId="35817312">
                  <w:pPr>
                    <w:spacing w:line="340" w:lineRule="exact"/>
                    <w:jc w:val="center"/>
                    <w:rPr>
                      <w:rFonts w:hint="default" w:eastAsia="宋体"/>
                      <w:color w:val="auto"/>
                      <w:szCs w:val="21"/>
                      <w:lang w:val="en-US" w:eastAsia="zh-CN"/>
                    </w:rPr>
                  </w:pPr>
                  <w:r>
                    <w:rPr>
                      <w:rFonts w:hint="eastAsia"/>
                      <w:color w:val="auto"/>
                      <w:szCs w:val="21"/>
                      <w:lang w:val="en-US" w:eastAsia="zh-CN"/>
                    </w:rPr>
                    <w:t>55.6</w:t>
                  </w:r>
                </w:p>
              </w:tc>
              <w:tc>
                <w:tcPr>
                  <w:tcW w:w="542" w:type="pct"/>
                  <w:shd w:val="clear" w:color="auto" w:fill="auto"/>
                  <w:noWrap w:val="0"/>
                  <w:vAlign w:val="center"/>
                </w:tcPr>
                <w:p w14:paraId="0F3B4A2E">
                  <w:pPr>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47.2</w:t>
                  </w:r>
                </w:p>
              </w:tc>
              <w:tc>
                <w:tcPr>
                  <w:tcW w:w="646" w:type="pct"/>
                  <w:vMerge w:val="restart"/>
                  <w:noWrap w:val="0"/>
                  <w:vAlign w:val="center"/>
                </w:tcPr>
                <w:p w14:paraId="67A13477">
                  <w:pPr>
                    <w:widowControl/>
                    <w:spacing w:line="340" w:lineRule="exact"/>
                    <w:jc w:val="center"/>
                    <w:rPr>
                      <w:color w:val="auto"/>
                      <w:szCs w:val="21"/>
                    </w:rPr>
                  </w:pPr>
                  <w:r>
                    <w:rPr>
                      <w:color w:val="auto"/>
                      <w:szCs w:val="21"/>
                    </w:rPr>
                    <w:t>65</w:t>
                  </w:r>
                </w:p>
              </w:tc>
              <w:tc>
                <w:tcPr>
                  <w:tcW w:w="625" w:type="pct"/>
                  <w:vMerge w:val="restart"/>
                  <w:noWrap w:val="0"/>
                  <w:vAlign w:val="center"/>
                </w:tcPr>
                <w:p w14:paraId="3B64C7EC">
                  <w:pPr>
                    <w:widowControl/>
                    <w:spacing w:line="340" w:lineRule="exact"/>
                    <w:jc w:val="center"/>
                    <w:rPr>
                      <w:rFonts w:hint="default" w:eastAsia="宋体"/>
                      <w:color w:val="auto"/>
                      <w:szCs w:val="21"/>
                      <w:lang w:val="en-US" w:eastAsia="zh-CN"/>
                    </w:rPr>
                  </w:pPr>
                  <w:r>
                    <w:rPr>
                      <w:rFonts w:hint="eastAsia"/>
                      <w:color w:val="auto"/>
                      <w:szCs w:val="21"/>
                      <w:lang w:val="en-US" w:eastAsia="zh-CN"/>
                    </w:rPr>
                    <w:t>55</w:t>
                  </w:r>
                </w:p>
              </w:tc>
              <w:tc>
                <w:tcPr>
                  <w:tcW w:w="535" w:type="pct"/>
                  <w:vMerge w:val="restart"/>
                  <w:noWrap w:val="0"/>
                  <w:vAlign w:val="center"/>
                </w:tcPr>
                <w:p w14:paraId="77387246">
                  <w:pPr>
                    <w:widowControl/>
                    <w:spacing w:line="340" w:lineRule="exact"/>
                    <w:jc w:val="center"/>
                    <w:rPr>
                      <w:color w:val="auto"/>
                      <w:szCs w:val="21"/>
                    </w:rPr>
                  </w:pPr>
                  <w:r>
                    <w:rPr>
                      <w:color w:val="auto"/>
                      <w:szCs w:val="21"/>
                    </w:rPr>
                    <w:t>达标</w:t>
                  </w:r>
                </w:p>
              </w:tc>
            </w:tr>
            <w:tr w14:paraId="4FC41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1" w:type="pct"/>
                  <w:noWrap w:val="0"/>
                  <w:vAlign w:val="center"/>
                </w:tcPr>
                <w:p w14:paraId="034E7EFE">
                  <w:pPr>
                    <w:pStyle w:val="62"/>
                    <w:spacing w:before="24" w:after="24" w:line="340" w:lineRule="exact"/>
                    <w:rPr>
                      <w:rFonts w:ascii="Times New Roman"/>
                      <w:color w:val="auto"/>
                      <w:kern w:val="2"/>
                      <w:szCs w:val="21"/>
                    </w:rPr>
                  </w:pPr>
                  <w:r>
                    <w:rPr>
                      <w:rFonts w:hint="eastAsia" w:ascii="Times New Roman"/>
                      <w:color w:val="auto"/>
                      <w:kern w:val="2"/>
                      <w:szCs w:val="21"/>
                    </w:rPr>
                    <w:t>2</w:t>
                  </w:r>
                </w:p>
              </w:tc>
              <w:tc>
                <w:tcPr>
                  <w:tcW w:w="984" w:type="pct"/>
                  <w:noWrap w:val="0"/>
                  <w:vAlign w:val="center"/>
                </w:tcPr>
                <w:p w14:paraId="3F737808">
                  <w:pPr>
                    <w:jc w:val="center"/>
                    <w:rPr>
                      <w:rFonts w:hint="eastAsia" w:eastAsia="宋体"/>
                      <w:color w:val="auto"/>
                      <w:kern w:val="2"/>
                      <w:sz w:val="21"/>
                      <w:szCs w:val="21"/>
                      <w:lang w:val="en-US" w:eastAsia="zh-CN" w:bidi="ar-SA"/>
                    </w:rPr>
                  </w:pPr>
                  <w:r>
                    <w:rPr>
                      <w:rFonts w:hint="eastAsia"/>
                      <w:color w:val="auto"/>
                      <w:szCs w:val="21"/>
                      <w:lang w:val="en-US" w:eastAsia="zh-CN"/>
                    </w:rPr>
                    <w:t>厂界西南侧</w:t>
                  </w:r>
                </w:p>
              </w:tc>
              <w:tc>
                <w:tcPr>
                  <w:tcW w:w="781" w:type="pct"/>
                  <w:vMerge w:val="continue"/>
                  <w:noWrap w:val="0"/>
                  <w:vAlign w:val="center"/>
                </w:tcPr>
                <w:p w14:paraId="7840E840">
                  <w:pPr>
                    <w:adjustRightInd w:val="0"/>
                    <w:spacing w:line="340" w:lineRule="exact"/>
                    <w:jc w:val="center"/>
                    <w:rPr>
                      <w:rFonts w:hint="eastAsia"/>
                      <w:snapToGrid w:val="0"/>
                      <w:color w:val="auto"/>
                      <w:szCs w:val="21"/>
                    </w:rPr>
                  </w:pPr>
                </w:p>
              </w:tc>
              <w:tc>
                <w:tcPr>
                  <w:tcW w:w="542" w:type="pct"/>
                  <w:noWrap w:val="0"/>
                  <w:vAlign w:val="center"/>
                </w:tcPr>
                <w:p w14:paraId="1463B52E">
                  <w:pPr>
                    <w:spacing w:line="340" w:lineRule="exact"/>
                    <w:jc w:val="center"/>
                    <w:rPr>
                      <w:rFonts w:hint="default" w:eastAsia="宋体"/>
                      <w:color w:val="auto"/>
                      <w:szCs w:val="21"/>
                      <w:lang w:val="en-US" w:eastAsia="zh-CN"/>
                    </w:rPr>
                  </w:pPr>
                  <w:r>
                    <w:rPr>
                      <w:rFonts w:hint="eastAsia"/>
                      <w:color w:val="auto"/>
                      <w:szCs w:val="21"/>
                      <w:lang w:val="en-US" w:eastAsia="zh-CN"/>
                    </w:rPr>
                    <w:t>57.2</w:t>
                  </w:r>
                </w:p>
              </w:tc>
              <w:tc>
                <w:tcPr>
                  <w:tcW w:w="542" w:type="pct"/>
                  <w:shd w:val="clear" w:color="auto" w:fill="auto"/>
                  <w:noWrap w:val="0"/>
                  <w:vAlign w:val="center"/>
                </w:tcPr>
                <w:p w14:paraId="34F0F8BB">
                  <w:pPr>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46.5</w:t>
                  </w:r>
                </w:p>
              </w:tc>
              <w:tc>
                <w:tcPr>
                  <w:tcW w:w="646" w:type="pct"/>
                  <w:vMerge w:val="continue"/>
                  <w:noWrap w:val="0"/>
                  <w:vAlign w:val="center"/>
                </w:tcPr>
                <w:p w14:paraId="64F099C9">
                  <w:pPr>
                    <w:widowControl/>
                    <w:spacing w:line="340" w:lineRule="exact"/>
                    <w:jc w:val="center"/>
                    <w:rPr>
                      <w:rFonts w:hint="eastAsia"/>
                      <w:color w:val="auto"/>
                      <w:szCs w:val="21"/>
                    </w:rPr>
                  </w:pPr>
                </w:p>
              </w:tc>
              <w:tc>
                <w:tcPr>
                  <w:tcW w:w="625" w:type="pct"/>
                  <w:vMerge w:val="continue"/>
                  <w:noWrap w:val="0"/>
                  <w:vAlign w:val="center"/>
                </w:tcPr>
                <w:p w14:paraId="1B1833EA">
                  <w:pPr>
                    <w:widowControl/>
                    <w:spacing w:line="340" w:lineRule="exact"/>
                    <w:jc w:val="center"/>
                    <w:rPr>
                      <w:rFonts w:hint="eastAsia"/>
                      <w:color w:val="auto"/>
                      <w:szCs w:val="21"/>
                    </w:rPr>
                  </w:pPr>
                </w:p>
              </w:tc>
              <w:tc>
                <w:tcPr>
                  <w:tcW w:w="535" w:type="pct"/>
                  <w:vMerge w:val="continue"/>
                  <w:noWrap w:val="0"/>
                  <w:vAlign w:val="center"/>
                </w:tcPr>
                <w:p w14:paraId="7A281713">
                  <w:pPr>
                    <w:widowControl/>
                    <w:spacing w:line="340" w:lineRule="exact"/>
                    <w:jc w:val="center"/>
                    <w:rPr>
                      <w:color w:val="auto"/>
                      <w:szCs w:val="21"/>
                    </w:rPr>
                  </w:pPr>
                </w:p>
              </w:tc>
            </w:tr>
            <w:tr w14:paraId="2D419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1" w:type="pct"/>
                  <w:noWrap w:val="0"/>
                  <w:vAlign w:val="center"/>
                </w:tcPr>
                <w:p w14:paraId="581F3376">
                  <w:pPr>
                    <w:pStyle w:val="62"/>
                    <w:spacing w:before="24" w:after="24" w:line="340" w:lineRule="exact"/>
                    <w:rPr>
                      <w:rFonts w:hint="eastAsia" w:ascii="Times New Roman" w:eastAsia="宋体"/>
                      <w:color w:val="auto"/>
                      <w:kern w:val="2"/>
                      <w:szCs w:val="21"/>
                      <w:lang w:val="en-US" w:eastAsia="zh-CN"/>
                    </w:rPr>
                  </w:pPr>
                  <w:r>
                    <w:rPr>
                      <w:rFonts w:hint="eastAsia" w:ascii="Times New Roman"/>
                      <w:color w:val="auto"/>
                      <w:kern w:val="2"/>
                      <w:szCs w:val="21"/>
                      <w:lang w:val="en-US" w:eastAsia="zh-CN"/>
                    </w:rPr>
                    <w:t>3</w:t>
                  </w:r>
                </w:p>
              </w:tc>
              <w:tc>
                <w:tcPr>
                  <w:tcW w:w="984" w:type="pct"/>
                  <w:noWrap w:val="0"/>
                  <w:vAlign w:val="center"/>
                </w:tcPr>
                <w:p w14:paraId="6AC74C2B">
                  <w:pPr>
                    <w:jc w:val="center"/>
                    <w:rPr>
                      <w:rFonts w:hint="eastAsia" w:eastAsia="宋体"/>
                      <w:color w:val="auto"/>
                      <w:kern w:val="2"/>
                      <w:sz w:val="21"/>
                      <w:szCs w:val="21"/>
                      <w:lang w:val="en-US" w:eastAsia="zh-CN" w:bidi="ar-SA"/>
                    </w:rPr>
                  </w:pPr>
                  <w:r>
                    <w:rPr>
                      <w:rFonts w:hint="eastAsia"/>
                      <w:color w:val="auto"/>
                      <w:szCs w:val="21"/>
                      <w:lang w:val="en-US" w:eastAsia="zh-CN"/>
                    </w:rPr>
                    <w:t>厂界东北侧</w:t>
                  </w:r>
                </w:p>
              </w:tc>
              <w:tc>
                <w:tcPr>
                  <w:tcW w:w="781" w:type="pct"/>
                  <w:vMerge w:val="continue"/>
                  <w:noWrap w:val="0"/>
                  <w:vAlign w:val="center"/>
                </w:tcPr>
                <w:p w14:paraId="0B503DE3">
                  <w:pPr>
                    <w:adjustRightInd w:val="0"/>
                    <w:spacing w:line="340" w:lineRule="exact"/>
                    <w:jc w:val="center"/>
                    <w:rPr>
                      <w:rFonts w:hint="eastAsia"/>
                      <w:snapToGrid w:val="0"/>
                      <w:color w:val="auto"/>
                      <w:szCs w:val="21"/>
                    </w:rPr>
                  </w:pPr>
                </w:p>
              </w:tc>
              <w:tc>
                <w:tcPr>
                  <w:tcW w:w="542" w:type="pct"/>
                  <w:noWrap w:val="0"/>
                  <w:vAlign w:val="center"/>
                </w:tcPr>
                <w:p w14:paraId="532C1E11">
                  <w:pPr>
                    <w:spacing w:line="340" w:lineRule="exact"/>
                    <w:jc w:val="center"/>
                    <w:rPr>
                      <w:rFonts w:hint="default" w:eastAsia="宋体"/>
                      <w:color w:val="auto"/>
                      <w:szCs w:val="21"/>
                      <w:lang w:val="en-US" w:eastAsia="zh-CN"/>
                    </w:rPr>
                  </w:pPr>
                  <w:r>
                    <w:rPr>
                      <w:rFonts w:hint="eastAsia"/>
                      <w:color w:val="auto"/>
                      <w:szCs w:val="21"/>
                      <w:lang w:val="en-US" w:eastAsia="zh-CN"/>
                    </w:rPr>
                    <w:t>58.1</w:t>
                  </w:r>
                </w:p>
              </w:tc>
              <w:tc>
                <w:tcPr>
                  <w:tcW w:w="542" w:type="pct"/>
                  <w:shd w:val="clear" w:color="auto" w:fill="auto"/>
                  <w:noWrap w:val="0"/>
                  <w:vAlign w:val="center"/>
                </w:tcPr>
                <w:p w14:paraId="6E28DCB9">
                  <w:pPr>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52.6</w:t>
                  </w:r>
                </w:p>
              </w:tc>
              <w:tc>
                <w:tcPr>
                  <w:tcW w:w="646" w:type="pct"/>
                  <w:vMerge w:val="continue"/>
                  <w:noWrap w:val="0"/>
                  <w:vAlign w:val="center"/>
                </w:tcPr>
                <w:p w14:paraId="5DC66EDB">
                  <w:pPr>
                    <w:widowControl/>
                    <w:spacing w:line="340" w:lineRule="exact"/>
                    <w:jc w:val="center"/>
                    <w:rPr>
                      <w:rFonts w:hint="eastAsia"/>
                      <w:color w:val="auto"/>
                      <w:szCs w:val="21"/>
                    </w:rPr>
                  </w:pPr>
                </w:p>
              </w:tc>
              <w:tc>
                <w:tcPr>
                  <w:tcW w:w="625" w:type="pct"/>
                  <w:vMerge w:val="continue"/>
                  <w:noWrap w:val="0"/>
                  <w:vAlign w:val="center"/>
                </w:tcPr>
                <w:p w14:paraId="4FEEA4F7">
                  <w:pPr>
                    <w:widowControl/>
                    <w:spacing w:line="340" w:lineRule="exact"/>
                    <w:jc w:val="center"/>
                    <w:rPr>
                      <w:rFonts w:hint="eastAsia"/>
                      <w:color w:val="auto"/>
                      <w:szCs w:val="21"/>
                    </w:rPr>
                  </w:pPr>
                </w:p>
              </w:tc>
              <w:tc>
                <w:tcPr>
                  <w:tcW w:w="535" w:type="pct"/>
                  <w:vMerge w:val="continue"/>
                  <w:noWrap w:val="0"/>
                  <w:vAlign w:val="center"/>
                </w:tcPr>
                <w:p w14:paraId="756D5511">
                  <w:pPr>
                    <w:widowControl/>
                    <w:spacing w:line="340" w:lineRule="exact"/>
                    <w:jc w:val="center"/>
                    <w:rPr>
                      <w:color w:val="auto"/>
                      <w:szCs w:val="21"/>
                    </w:rPr>
                  </w:pPr>
                </w:p>
              </w:tc>
            </w:tr>
            <w:tr w14:paraId="6FD98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1" w:type="pct"/>
                  <w:noWrap w:val="0"/>
                  <w:vAlign w:val="center"/>
                </w:tcPr>
                <w:p w14:paraId="070A81C1">
                  <w:pPr>
                    <w:pStyle w:val="62"/>
                    <w:spacing w:before="24" w:after="24" w:line="340" w:lineRule="exact"/>
                    <w:rPr>
                      <w:rFonts w:hint="eastAsia" w:ascii="Times New Roman" w:eastAsia="宋体"/>
                      <w:color w:val="auto"/>
                      <w:kern w:val="2"/>
                      <w:szCs w:val="21"/>
                      <w:lang w:val="en-US" w:eastAsia="zh-CN"/>
                    </w:rPr>
                  </w:pPr>
                  <w:r>
                    <w:rPr>
                      <w:rFonts w:hint="eastAsia" w:ascii="Times New Roman"/>
                      <w:color w:val="auto"/>
                      <w:kern w:val="2"/>
                      <w:szCs w:val="21"/>
                      <w:lang w:val="en-US" w:eastAsia="zh-CN"/>
                    </w:rPr>
                    <w:t>4</w:t>
                  </w:r>
                </w:p>
              </w:tc>
              <w:tc>
                <w:tcPr>
                  <w:tcW w:w="984" w:type="pct"/>
                  <w:noWrap w:val="0"/>
                  <w:vAlign w:val="center"/>
                </w:tcPr>
                <w:p w14:paraId="79B8CD19">
                  <w:pPr>
                    <w:jc w:val="center"/>
                    <w:rPr>
                      <w:rFonts w:hint="eastAsia" w:eastAsia="宋体"/>
                      <w:color w:val="auto"/>
                      <w:kern w:val="2"/>
                      <w:sz w:val="21"/>
                      <w:szCs w:val="21"/>
                      <w:lang w:val="en-US" w:eastAsia="zh-CN" w:bidi="ar-SA"/>
                    </w:rPr>
                  </w:pPr>
                  <w:r>
                    <w:rPr>
                      <w:rFonts w:hint="eastAsia"/>
                      <w:color w:val="auto"/>
                      <w:szCs w:val="21"/>
                      <w:lang w:val="en-US" w:eastAsia="zh-CN"/>
                    </w:rPr>
                    <w:t>厂界东南侧</w:t>
                  </w:r>
                </w:p>
              </w:tc>
              <w:tc>
                <w:tcPr>
                  <w:tcW w:w="781" w:type="pct"/>
                  <w:vMerge w:val="continue"/>
                  <w:noWrap w:val="0"/>
                  <w:vAlign w:val="center"/>
                </w:tcPr>
                <w:p w14:paraId="6C1717CA">
                  <w:pPr>
                    <w:spacing w:line="340" w:lineRule="exact"/>
                    <w:jc w:val="center"/>
                    <w:rPr>
                      <w:rFonts w:hint="eastAsia"/>
                      <w:color w:val="auto"/>
                      <w:szCs w:val="21"/>
                    </w:rPr>
                  </w:pPr>
                </w:p>
              </w:tc>
              <w:tc>
                <w:tcPr>
                  <w:tcW w:w="542" w:type="pct"/>
                  <w:noWrap w:val="0"/>
                  <w:vAlign w:val="center"/>
                </w:tcPr>
                <w:p w14:paraId="417A966A">
                  <w:pPr>
                    <w:spacing w:line="340" w:lineRule="exact"/>
                    <w:jc w:val="center"/>
                    <w:rPr>
                      <w:rFonts w:hint="default" w:eastAsia="宋体"/>
                      <w:color w:val="auto"/>
                      <w:szCs w:val="21"/>
                      <w:lang w:val="en-US" w:eastAsia="zh-CN"/>
                    </w:rPr>
                  </w:pPr>
                  <w:r>
                    <w:rPr>
                      <w:rFonts w:hint="eastAsia"/>
                      <w:color w:val="auto"/>
                      <w:szCs w:val="21"/>
                      <w:lang w:val="en-US" w:eastAsia="zh-CN"/>
                    </w:rPr>
                    <w:t>57.3</w:t>
                  </w:r>
                </w:p>
              </w:tc>
              <w:tc>
                <w:tcPr>
                  <w:tcW w:w="542" w:type="pct"/>
                  <w:shd w:val="clear" w:color="auto" w:fill="auto"/>
                  <w:noWrap w:val="0"/>
                  <w:vAlign w:val="center"/>
                </w:tcPr>
                <w:p w14:paraId="3F025931">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52.4</w:t>
                  </w:r>
                </w:p>
              </w:tc>
              <w:tc>
                <w:tcPr>
                  <w:tcW w:w="646" w:type="pct"/>
                  <w:vMerge w:val="continue"/>
                  <w:noWrap w:val="0"/>
                  <w:vAlign w:val="center"/>
                </w:tcPr>
                <w:p w14:paraId="3CC88FCE">
                  <w:pPr>
                    <w:widowControl/>
                    <w:spacing w:line="340" w:lineRule="exact"/>
                    <w:jc w:val="center"/>
                    <w:rPr>
                      <w:color w:val="auto"/>
                      <w:szCs w:val="21"/>
                    </w:rPr>
                  </w:pPr>
                </w:p>
              </w:tc>
              <w:tc>
                <w:tcPr>
                  <w:tcW w:w="625" w:type="pct"/>
                  <w:vMerge w:val="continue"/>
                  <w:noWrap w:val="0"/>
                  <w:vAlign w:val="center"/>
                </w:tcPr>
                <w:p w14:paraId="6DB78FBC">
                  <w:pPr>
                    <w:widowControl/>
                    <w:spacing w:line="340" w:lineRule="exact"/>
                    <w:jc w:val="center"/>
                    <w:rPr>
                      <w:color w:val="auto"/>
                      <w:szCs w:val="21"/>
                    </w:rPr>
                  </w:pPr>
                </w:p>
              </w:tc>
              <w:tc>
                <w:tcPr>
                  <w:tcW w:w="535" w:type="pct"/>
                  <w:vMerge w:val="continue"/>
                  <w:noWrap w:val="0"/>
                  <w:vAlign w:val="center"/>
                </w:tcPr>
                <w:p w14:paraId="7F08D9EC">
                  <w:pPr>
                    <w:widowControl/>
                    <w:spacing w:line="340" w:lineRule="exact"/>
                    <w:jc w:val="center"/>
                    <w:rPr>
                      <w:color w:val="auto"/>
                      <w:szCs w:val="21"/>
                    </w:rPr>
                  </w:pPr>
                </w:p>
              </w:tc>
            </w:tr>
          </w:tbl>
          <w:p w14:paraId="71983FAA">
            <w:pPr>
              <w:pStyle w:val="59"/>
              <w:spacing w:line="360" w:lineRule="auto"/>
              <w:ind w:firstLine="480"/>
              <w:rPr>
                <w:rFonts w:ascii="Times New Roman" w:hAnsi="Times New Roman"/>
                <w:bCs w:val="0"/>
                <w:szCs w:val="24"/>
              </w:rPr>
            </w:pPr>
            <w:r>
              <w:rPr>
                <w:rFonts w:ascii="Times New Roman" w:hAnsi="Times New Roman"/>
                <w:bCs w:val="0"/>
                <w:szCs w:val="24"/>
                <w:lang w:val="zh-CN"/>
              </w:rPr>
              <w:t>根据表</w:t>
            </w:r>
            <w:r>
              <w:rPr>
                <w:rFonts w:ascii="Times New Roman" w:hAnsi="Times New Roman"/>
                <w:bCs w:val="0"/>
                <w:szCs w:val="24"/>
              </w:rPr>
              <w:t>4.3-2</w:t>
            </w:r>
            <w:r>
              <w:rPr>
                <w:rFonts w:ascii="Times New Roman" w:hAnsi="Times New Roman"/>
                <w:bCs w:val="0"/>
                <w:szCs w:val="24"/>
                <w:lang w:val="zh-CN"/>
              </w:rPr>
              <w:t>预测结果表明，项目主要噪声源在采取有效的降噪措施前提下，项目边界噪声均可满足《工业企业厂界环境噪声排放标准》</w:t>
            </w:r>
            <w:r>
              <w:rPr>
                <w:rFonts w:hint="eastAsia"/>
                <w:bCs w:val="0"/>
                <w:szCs w:val="24"/>
                <w:lang w:val="zh-CN"/>
              </w:rPr>
              <w:t>（</w:t>
            </w:r>
            <w:r>
              <w:rPr>
                <w:rFonts w:ascii="Times New Roman" w:hAnsi="Times New Roman"/>
                <w:bCs w:val="0"/>
                <w:szCs w:val="24"/>
                <w:lang w:val="zh-CN"/>
              </w:rPr>
              <w:t>GB12348-2008</w:t>
            </w:r>
            <w:r>
              <w:rPr>
                <w:rFonts w:hint="eastAsia"/>
                <w:bCs w:val="0"/>
                <w:szCs w:val="24"/>
                <w:lang w:val="zh-CN"/>
              </w:rPr>
              <w:t>）</w:t>
            </w:r>
            <w:r>
              <w:rPr>
                <w:rFonts w:ascii="Times New Roman" w:hAnsi="Times New Roman"/>
                <w:bCs w:val="0"/>
                <w:szCs w:val="24"/>
                <w:lang w:val="zh-CN"/>
              </w:rPr>
              <w:t>中3类标准。</w:t>
            </w:r>
          </w:p>
          <w:p w14:paraId="715E3777">
            <w:pPr>
              <w:pStyle w:val="50"/>
              <w:ind w:firstLine="480"/>
              <w:rPr>
                <w:rFonts w:ascii="Times New Roman" w:hAnsi="Times New Roman"/>
                <w:sz w:val="24"/>
                <w:szCs w:val="24"/>
                <w:lang w:val="zh-CN"/>
              </w:rPr>
            </w:pPr>
            <w:r>
              <w:rPr>
                <w:rFonts w:hint="eastAsia" w:ascii="Times New Roman" w:hAnsi="Times New Roman"/>
                <w:sz w:val="24"/>
                <w:szCs w:val="24"/>
                <w:lang w:val="zh-CN"/>
              </w:rPr>
              <w:t>（</w:t>
            </w:r>
            <w:r>
              <w:rPr>
                <w:rFonts w:hint="eastAsia" w:ascii="Times New Roman" w:hAnsi="Times New Roman"/>
                <w:sz w:val="24"/>
                <w:szCs w:val="24"/>
                <w:lang w:val="en-US" w:eastAsia="zh-CN"/>
              </w:rPr>
              <w:t>7</w:t>
            </w:r>
            <w:r>
              <w:rPr>
                <w:rFonts w:hint="eastAsia" w:ascii="Times New Roman" w:hAnsi="Times New Roman"/>
                <w:sz w:val="24"/>
                <w:szCs w:val="24"/>
                <w:lang w:val="zh-CN"/>
              </w:rPr>
              <w:t>）</w:t>
            </w:r>
            <w:r>
              <w:rPr>
                <w:rFonts w:ascii="Times New Roman" w:hAnsi="Times New Roman"/>
                <w:sz w:val="24"/>
                <w:szCs w:val="24"/>
                <w:lang w:val="zh-CN"/>
              </w:rPr>
              <w:t>敏感点噪声预测结果分析</w:t>
            </w:r>
          </w:p>
          <w:p w14:paraId="7685D925">
            <w:pPr>
              <w:spacing w:line="360" w:lineRule="auto"/>
              <w:ind w:firstLine="480"/>
              <w:rPr>
                <w:sz w:val="24"/>
                <w:lang w:val="zh-CN"/>
              </w:rPr>
            </w:pPr>
            <w:r>
              <w:rPr>
                <w:rFonts w:hint="eastAsia"/>
                <w:sz w:val="24"/>
                <w:lang w:val="zh-CN"/>
              </w:rPr>
              <w:t>根据现场勘查，项目</w:t>
            </w:r>
            <w:r>
              <w:rPr>
                <w:sz w:val="24"/>
                <w:lang w:val="zh-CN"/>
              </w:rPr>
              <w:t>周边</w:t>
            </w:r>
            <w:r>
              <w:rPr>
                <w:rFonts w:hint="eastAsia"/>
                <w:sz w:val="24"/>
              </w:rPr>
              <w:t>5</w:t>
            </w:r>
            <w:r>
              <w:rPr>
                <w:sz w:val="24"/>
              </w:rPr>
              <w:t>0m范围内</w:t>
            </w:r>
            <w:r>
              <w:rPr>
                <w:rFonts w:hint="eastAsia"/>
                <w:sz w:val="24"/>
              </w:rPr>
              <w:t>无</w:t>
            </w:r>
            <w:r>
              <w:rPr>
                <w:sz w:val="24"/>
              </w:rPr>
              <w:t>声环境</w:t>
            </w:r>
            <w:r>
              <w:rPr>
                <w:rFonts w:hint="eastAsia"/>
                <w:sz w:val="24"/>
              </w:rPr>
              <w:t>保护目标</w:t>
            </w:r>
            <w:r>
              <w:rPr>
                <w:sz w:val="24"/>
                <w:lang w:val="zh-CN"/>
              </w:rPr>
              <w:t>。</w:t>
            </w:r>
          </w:p>
          <w:p w14:paraId="00547D26">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zh-CN" w:eastAsia="zh-CN"/>
              </w:rPr>
            </w:pPr>
            <w:bookmarkStart w:id="103" w:name="_Toc25273"/>
            <w:bookmarkStart w:id="104" w:name="_Toc31999"/>
            <w:r>
              <w:rPr>
                <w:rFonts w:hint="default"/>
                <w:b/>
                <w:color w:val="262626"/>
                <w:kern w:val="0"/>
                <w:sz w:val="24"/>
                <w:lang w:val="en-US" w:eastAsia="zh-CN"/>
              </w:rPr>
              <w:t>4.3.3</w:t>
            </w:r>
            <w:r>
              <w:rPr>
                <w:rFonts w:hint="default"/>
                <w:b/>
                <w:color w:val="262626"/>
                <w:kern w:val="0"/>
                <w:sz w:val="24"/>
                <w:lang w:val="zh-CN" w:eastAsia="zh-CN"/>
              </w:rPr>
              <w:t>噪声污染控制措施</w:t>
            </w:r>
            <w:bookmarkEnd w:id="103"/>
            <w:bookmarkEnd w:id="104"/>
          </w:p>
          <w:p w14:paraId="0F9AC2CC">
            <w:pPr>
              <w:spacing w:line="360" w:lineRule="auto"/>
              <w:ind w:firstLine="480"/>
              <w:rPr>
                <w:rFonts w:hint="eastAsia" w:ascii="Times New Roman" w:hAnsi="Times New Roman" w:eastAsia="宋体" w:cs="Times New Roman"/>
                <w:bCs/>
                <w:color w:val="auto"/>
                <w:sz w:val="24"/>
                <w:lang w:val="en-US" w:eastAsia="zh-CN"/>
              </w:rPr>
            </w:pPr>
            <w:r>
              <w:rPr>
                <w:color w:val="000000"/>
                <w:sz w:val="24"/>
                <w:lang w:val="zh-CN"/>
              </w:rPr>
              <w:t>为了确保厂界噪声达到《工业企业厂界环境噪声排放标准》</w:t>
            </w:r>
            <w:r>
              <w:rPr>
                <w:rFonts w:hint="eastAsia"/>
                <w:color w:val="000000"/>
                <w:sz w:val="24"/>
                <w:lang w:val="zh-CN"/>
              </w:rPr>
              <w:t>（</w:t>
            </w:r>
            <w:r>
              <w:rPr>
                <w:color w:val="000000"/>
                <w:sz w:val="24"/>
                <w:lang w:val="zh-CN"/>
              </w:rPr>
              <w:t>GB 12348-2008</w:t>
            </w:r>
            <w:r>
              <w:rPr>
                <w:rFonts w:hint="eastAsia"/>
                <w:color w:val="000000"/>
                <w:sz w:val="24"/>
                <w:lang w:val="zh-CN"/>
              </w:rPr>
              <w:t>）</w:t>
            </w:r>
            <w:r>
              <w:rPr>
                <w:color w:val="000000"/>
                <w:sz w:val="24"/>
                <w:lang w:val="zh-CN"/>
              </w:rPr>
              <w:t>中3类标准，本报告建议采用以下降噪措施：</w:t>
            </w:r>
          </w:p>
          <w:p w14:paraId="72B76991">
            <w:pPr>
              <w:adjustRightInd w:val="0"/>
              <w:snapToGrid w:val="0"/>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（1）</w:t>
            </w:r>
            <w:r>
              <w:rPr>
                <w:rFonts w:hint="eastAsia" w:ascii="Times New Roman" w:hAnsi="Times New Roman" w:eastAsia="宋体" w:cs="Times New Roman"/>
                <w:bCs/>
                <w:color w:val="auto"/>
                <w:sz w:val="24"/>
                <w:lang w:val="zh-CN"/>
              </w:rPr>
              <w:t>噪声源控制措施</w:t>
            </w:r>
          </w:p>
          <w:p w14:paraId="5E7F91E2">
            <w:pPr>
              <w:adjustRightInd w:val="0"/>
              <w:snapToGrid w:val="0"/>
              <w:spacing w:line="360" w:lineRule="auto"/>
              <w:ind w:firstLine="480" w:firstLineChars="200"/>
              <w:rPr>
                <w:rFonts w:ascii="Times New Roman" w:hAnsi="Times New Roman" w:eastAsia="宋体" w:cs="Times New Roman"/>
                <w:bCs/>
                <w:color w:val="auto"/>
                <w:sz w:val="24"/>
              </w:rPr>
            </w:pPr>
            <w:r>
              <w:rPr>
                <w:rFonts w:hint="eastAsia" w:ascii="Times New Roman" w:hAnsi="Times New Roman" w:eastAsia="宋体" w:cs="Times New Roman"/>
                <w:bCs/>
                <w:color w:val="auto"/>
                <w:sz w:val="24"/>
              </w:rPr>
              <w:t>①</w:t>
            </w:r>
            <w:r>
              <w:rPr>
                <w:rFonts w:ascii="Times New Roman" w:hAnsi="Times New Roman" w:eastAsia="宋体" w:cs="Times New Roman"/>
                <w:bCs/>
                <w:color w:val="auto"/>
                <w:sz w:val="24"/>
              </w:rPr>
              <w:t>项目选用低噪声生产设备，</w:t>
            </w:r>
            <w:r>
              <w:rPr>
                <w:rFonts w:hint="eastAsia" w:ascii="Times New Roman" w:hAnsi="Times New Roman" w:eastAsia="宋体" w:cs="Times New Roman"/>
                <w:bCs/>
                <w:color w:val="auto"/>
                <w:sz w:val="24"/>
                <w:lang w:val="en-US" w:eastAsia="zh-CN"/>
              </w:rPr>
              <w:t>采用</w:t>
            </w:r>
            <w:r>
              <w:rPr>
                <w:rFonts w:hint="default" w:ascii="Times New Roman" w:hAnsi="Times New Roman" w:eastAsia="宋体" w:cs="Times New Roman"/>
                <w:bCs/>
                <w:color w:val="auto"/>
                <w:sz w:val="24"/>
              </w:rPr>
              <w:t>低噪声</w:t>
            </w:r>
            <w:r>
              <w:rPr>
                <w:rFonts w:hint="eastAsia" w:ascii="Times New Roman" w:hAnsi="Times New Roman" w:eastAsia="宋体" w:cs="Times New Roman"/>
                <w:bCs/>
                <w:color w:val="auto"/>
                <w:sz w:val="24"/>
                <w:lang w:val="en-US" w:eastAsia="zh-CN"/>
              </w:rPr>
              <w:t>生产</w:t>
            </w:r>
            <w:r>
              <w:rPr>
                <w:rFonts w:hint="default" w:ascii="Times New Roman" w:hAnsi="Times New Roman" w:eastAsia="宋体" w:cs="Times New Roman"/>
                <w:bCs/>
                <w:color w:val="auto"/>
                <w:sz w:val="24"/>
              </w:rPr>
              <w:t>工艺；</w:t>
            </w:r>
          </w:p>
          <w:p w14:paraId="061121AB">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rPr>
              <w:t>②</w:t>
            </w:r>
            <w:r>
              <w:rPr>
                <w:rFonts w:hint="default" w:ascii="Times New Roman" w:hAnsi="Times New Roman" w:eastAsia="宋体" w:cs="Times New Roman"/>
                <w:bCs/>
                <w:color w:val="auto"/>
                <w:sz w:val="24"/>
              </w:rPr>
              <w:t>采取声学控制措施，</w:t>
            </w:r>
            <w:r>
              <w:rPr>
                <w:rFonts w:ascii="Times New Roman" w:hAnsi="Times New Roman" w:eastAsia="宋体" w:cs="Times New Roman"/>
                <w:bCs/>
                <w:color w:val="auto"/>
                <w:sz w:val="24"/>
              </w:rPr>
              <w:t>对</w:t>
            </w:r>
            <w:r>
              <w:rPr>
                <w:rFonts w:hint="eastAsia" w:ascii="Times New Roman" w:hAnsi="Times New Roman" w:eastAsia="宋体" w:cs="Times New Roman"/>
                <w:bCs/>
                <w:color w:val="auto"/>
                <w:sz w:val="24"/>
                <w:lang w:val="en-US" w:eastAsia="zh-CN"/>
              </w:rPr>
              <w:t>项目</w:t>
            </w:r>
            <w:r>
              <w:rPr>
                <w:rFonts w:ascii="Times New Roman" w:hAnsi="Times New Roman" w:eastAsia="宋体" w:cs="Times New Roman"/>
                <w:bCs/>
                <w:color w:val="auto"/>
                <w:sz w:val="24"/>
              </w:rPr>
              <w:t>高噪声设备</w:t>
            </w:r>
            <w:r>
              <w:rPr>
                <w:rFonts w:hint="eastAsia" w:ascii="Times New Roman" w:hAnsi="Times New Roman" w:eastAsia="宋体" w:cs="Times New Roman"/>
                <w:bCs/>
                <w:color w:val="auto"/>
                <w:sz w:val="24"/>
                <w:lang w:val="en-US" w:eastAsia="zh-CN"/>
              </w:rPr>
              <w:t>基础设置减振垫；</w:t>
            </w:r>
          </w:p>
          <w:p w14:paraId="52F83CE6">
            <w:pPr>
              <w:adjustRightInd w:val="0"/>
              <w:snapToGrid w:val="0"/>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rPr>
              <w:t>③</w:t>
            </w:r>
            <w:r>
              <w:rPr>
                <w:rFonts w:ascii="Times New Roman" w:hAnsi="Times New Roman" w:eastAsia="宋体" w:cs="Times New Roman"/>
                <w:bCs/>
                <w:color w:val="auto"/>
                <w:sz w:val="24"/>
              </w:rPr>
              <w:t>加强对设备的管理和维护，</w:t>
            </w:r>
            <w:r>
              <w:rPr>
                <w:rFonts w:hint="eastAsia" w:ascii="Times New Roman" w:hAnsi="Times New Roman" w:eastAsia="宋体" w:cs="Times New Roman"/>
                <w:bCs/>
                <w:color w:val="auto"/>
                <w:sz w:val="24"/>
                <w:lang w:val="en-US" w:eastAsia="zh-CN"/>
              </w:rPr>
              <w:t>避免设备在异常情况下运行；</w:t>
            </w:r>
          </w:p>
          <w:p w14:paraId="37F85EF5">
            <w:pPr>
              <w:adjustRightInd w:val="0"/>
              <w:snapToGrid w:val="0"/>
              <w:spacing w:line="360" w:lineRule="auto"/>
              <w:ind w:firstLine="480" w:firstLineChars="200"/>
              <w:rPr>
                <w:rFonts w:ascii="Times New Roman" w:hAnsi="Times New Roman" w:eastAsia="宋体" w:cs="Times New Roman"/>
                <w:bCs/>
                <w:color w:val="auto"/>
                <w:sz w:val="24"/>
              </w:rPr>
            </w:pPr>
            <w:r>
              <w:rPr>
                <w:rFonts w:hint="eastAsia" w:ascii="Times New Roman" w:hAnsi="Times New Roman" w:eastAsia="宋体" w:cs="Times New Roman"/>
                <w:bCs/>
                <w:color w:val="auto"/>
                <w:sz w:val="24"/>
              </w:rPr>
              <w:t>④</w:t>
            </w:r>
            <w:r>
              <w:rPr>
                <w:rFonts w:hint="default" w:ascii="Times New Roman" w:hAnsi="Times New Roman" w:eastAsia="宋体" w:cs="Times New Roman"/>
                <w:bCs/>
                <w:color w:val="auto"/>
                <w:sz w:val="24"/>
              </w:rPr>
              <w:t>优先选用低噪声车辆</w:t>
            </w:r>
            <w:r>
              <w:rPr>
                <w:rFonts w:hint="eastAsia" w:ascii="Times New Roman" w:hAnsi="Times New Roman" w:eastAsia="宋体" w:cs="Times New Roman"/>
                <w:bCs/>
                <w:color w:val="auto"/>
                <w:sz w:val="24"/>
                <w:lang w:eastAsia="zh-CN"/>
              </w:rPr>
              <w:t>，</w:t>
            </w:r>
            <w:r>
              <w:rPr>
                <w:rFonts w:ascii="Times New Roman" w:hAnsi="Times New Roman" w:eastAsia="宋体" w:cs="Times New Roman"/>
                <w:bCs/>
                <w:color w:val="auto"/>
                <w:sz w:val="24"/>
              </w:rPr>
              <w:t>车辆运输物料</w:t>
            </w:r>
            <w:r>
              <w:rPr>
                <w:rFonts w:hint="eastAsia" w:ascii="Times New Roman" w:hAnsi="Times New Roman" w:eastAsia="宋体" w:cs="Times New Roman"/>
                <w:bCs/>
                <w:color w:val="auto"/>
                <w:sz w:val="24"/>
              </w:rPr>
              <w:t>时</w:t>
            </w:r>
            <w:r>
              <w:rPr>
                <w:rFonts w:ascii="Times New Roman" w:hAnsi="Times New Roman" w:eastAsia="宋体" w:cs="Times New Roman"/>
                <w:bCs/>
                <w:color w:val="auto"/>
                <w:sz w:val="24"/>
              </w:rPr>
              <w:t>，在靠近居民点等对声环境质量要求较高的地方，应减小车速，禁止或少鸣喇叭。</w:t>
            </w:r>
          </w:p>
          <w:p w14:paraId="2F3EFE28">
            <w:pPr>
              <w:adjustRightInd w:val="0"/>
              <w:snapToGrid w:val="0"/>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（2）噪声传播途径控制措施</w:t>
            </w:r>
          </w:p>
          <w:p w14:paraId="06916156">
            <w:pPr>
              <w:adjustRightInd w:val="0"/>
              <w:snapToGrid w:val="0"/>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①合理规划平面布置，将高噪声设备设置于厂区中间，设备运转期间，关闭车间门窗，通过车间墙体等进行阻隔，降低噪声源强。</w:t>
            </w:r>
          </w:p>
          <w:p w14:paraId="5C1776D9">
            <w:pPr>
              <w:adjustRightInd w:val="0"/>
              <w:snapToGrid w:val="0"/>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②</w:t>
            </w:r>
            <w:r>
              <w:rPr>
                <w:rFonts w:hint="default" w:ascii="Times New Roman" w:hAnsi="Times New Roman" w:eastAsia="宋体" w:cs="Times New Roman"/>
                <w:bCs/>
                <w:color w:val="auto"/>
                <w:sz w:val="24"/>
                <w:lang w:val="en-US" w:eastAsia="zh-CN"/>
              </w:rPr>
              <w:t>设置声屏障等措施，</w:t>
            </w:r>
            <w:r>
              <w:rPr>
                <w:rFonts w:hint="eastAsia" w:ascii="Times New Roman" w:hAnsi="Times New Roman" w:eastAsia="宋体" w:cs="Times New Roman"/>
                <w:bCs/>
                <w:color w:val="auto"/>
                <w:sz w:val="24"/>
                <w:lang w:val="en-US" w:eastAsia="zh-CN"/>
              </w:rPr>
              <w:t>将高噪声设备设置专门设备隔间，对冷却塔、引风机采用设置隔声罩、</w:t>
            </w:r>
            <w:r>
              <w:rPr>
                <w:rFonts w:hint="default" w:ascii="Times New Roman" w:hAnsi="Times New Roman" w:eastAsia="宋体" w:cs="Times New Roman"/>
                <w:bCs/>
                <w:color w:val="auto"/>
                <w:sz w:val="24"/>
                <w:lang w:val="en-US" w:eastAsia="zh-CN"/>
              </w:rPr>
              <w:t>设备基础减振</w:t>
            </w:r>
            <w:r>
              <w:rPr>
                <w:rFonts w:hint="eastAsia" w:ascii="Times New Roman" w:hAnsi="Times New Roman" w:eastAsia="宋体" w:cs="Times New Roman"/>
                <w:bCs/>
                <w:color w:val="auto"/>
                <w:sz w:val="24"/>
                <w:lang w:val="en-US" w:eastAsia="zh-CN"/>
              </w:rPr>
              <w:t>、安装消声器等综合降噪措施。</w:t>
            </w:r>
          </w:p>
          <w:p w14:paraId="348377CA">
            <w:pPr>
              <w:adjustRightInd w:val="0"/>
              <w:snapToGrid w:val="0"/>
              <w:spacing w:line="360" w:lineRule="auto"/>
              <w:ind w:firstLine="480" w:firstLineChars="200"/>
              <w:rPr>
                <w:rFonts w:hint="eastAsia" w:ascii="Times New Roman" w:hAnsi="Times New Roman" w:eastAsia="宋体" w:cs="Times New Roman"/>
                <w:bCs/>
                <w:color w:val="auto"/>
                <w:sz w:val="24"/>
              </w:rPr>
            </w:pPr>
            <w:r>
              <w:rPr>
                <w:rFonts w:ascii="Times New Roman" w:hAnsi="Times New Roman" w:eastAsia="宋体" w:cs="Times New Roman"/>
                <w:bCs/>
                <w:color w:val="auto"/>
                <w:sz w:val="24"/>
              </w:rPr>
              <w:t>通过以上降噪措施，有效降低设备噪声对厂界的影响程度，确保</w:t>
            </w:r>
            <w:r>
              <w:rPr>
                <w:rFonts w:hint="eastAsia" w:ascii="Times New Roman" w:hAnsi="Times New Roman" w:eastAsia="宋体" w:cs="Times New Roman"/>
                <w:bCs/>
                <w:color w:val="auto"/>
                <w:sz w:val="24"/>
              </w:rPr>
              <w:t>厂</w:t>
            </w:r>
            <w:r>
              <w:rPr>
                <w:rFonts w:ascii="Times New Roman" w:hAnsi="Times New Roman" w:eastAsia="宋体" w:cs="Times New Roman"/>
                <w:bCs/>
                <w:color w:val="auto"/>
                <w:sz w:val="24"/>
              </w:rPr>
              <w:t>界噪声符合《工业企业厂界环境噪声排放标准》</w:t>
            </w:r>
            <w:r>
              <w:rPr>
                <w:rFonts w:hint="eastAsia" w:cs="Times New Roman"/>
                <w:bCs/>
                <w:color w:val="auto"/>
                <w:sz w:val="24"/>
                <w:lang w:eastAsia="zh-CN"/>
              </w:rPr>
              <w:t>（</w:t>
            </w:r>
            <w:r>
              <w:rPr>
                <w:rFonts w:ascii="Times New Roman" w:hAnsi="Times New Roman" w:eastAsia="宋体" w:cs="Times New Roman"/>
                <w:bCs/>
                <w:color w:val="auto"/>
                <w:sz w:val="24"/>
              </w:rPr>
              <w:t>GB12348-2008</w:t>
            </w:r>
            <w:r>
              <w:rPr>
                <w:rFonts w:hint="eastAsia" w:cs="Times New Roman"/>
                <w:bCs/>
                <w:color w:val="auto"/>
                <w:sz w:val="24"/>
                <w:lang w:eastAsia="zh-CN"/>
              </w:rPr>
              <w:t>）</w:t>
            </w:r>
            <w:r>
              <w:rPr>
                <w:rFonts w:ascii="Times New Roman" w:hAnsi="Times New Roman" w:eastAsia="宋体" w:cs="Times New Roman"/>
                <w:bCs/>
                <w:color w:val="auto"/>
                <w:sz w:val="24"/>
              </w:rPr>
              <w:t>中的</w:t>
            </w:r>
            <w:r>
              <w:rPr>
                <w:rFonts w:hint="eastAsia" w:ascii="Times New Roman" w:hAnsi="Times New Roman" w:eastAsia="宋体" w:cs="Times New Roman"/>
                <w:bCs/>
                <w:color w:val="auto"/>
                <w:sz w:val="24"/>
                <w:lang w:val="en-US" w:eastAsia="zh-CN"/>
              </w:rPr>
              <w:t>3类</w:t>
            </w:r>
            <w:r>
              <w:rPr>
                <w:rFonts w:ascii="Times New Roman" w:hAnsi="Times New Roman" w:eastAsia="宋体" w:cs="Times New Roman"/>
                <w:bCs/>
                <w:color w:val="auto"/>
                <w:sz w:val="24"/>
              </w:rPr>
              <w:t>标准要求，措施可行。</w:t>
            </w:r>
          </w:p>
          <w:p w14:paraId="78CB73F9">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sz w:val="28"/>
                <w:szCs w:val="28"/>
                <w:u w:val="none"/>
                <w:lang w:val="en-US" w:eastAsia="zh-CN"/>
              </w:rPr>
            </w:pPr>
            <w:bookmarkStart w:id="105" w:name="_Toc19362"/>
            <w:r>
              <w:rPr>
                <w:rFonts w:hint="eastAsia" w:ascii="Times New Roman" w:hAnsi="Times New Roman" w:eastAsia="宋体" w:cs="Times New Roman"/>
                <w:color w:val="auto"/>
                <w:sz w:val="28"/>
                <w:szCs w:val="28"/>
                <w:u w:val="none"/>
                <w:lang w:val="en-US" w:eastAsia="zh-CN"/>
              </w:rPr>
              <w:t>4.4固体废物环境影响分析和污染防治措施</w:t>
            </w:r>
            <w:bookmarkEnd w:id="105"/>
          </w:p>
          <w:p w14:paraId="6797F14E">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zh-CN" w:eastAsia="zh-CN"/>
              </w:rPr>
            </w:pPr>
            <w:bookmarkStart w:id="106" w:name="_Toc26295"/>
            <w:r>
              <w:rPr>
                <w:rFonts w:hint="default"/>
                <w:b/>
                <w:color w:val="262626"/>
                <w:kern w:val="0"/>
                <w:sz w:val="24"/>
                <w:lang w:val="zh-CN" w:eastAsia="zh-CN"/>
              </w:rPr>
              <w:t>4.4.1 固体废物</w:t>
            </w:r>
            <w:r>
              <w:rPr>
                <w:rFonts w:hint="eastAsia"/>
                <w:b/>
                <w:color w:val="262626"/>
                <w:kern w:val="0"/>
                <w:sz w:val="24"/>
                <w:lang w:val="en-US" w:eastAsia="zh-CN"/>
              </w:rPr>
              <w:t>污染源</w:t>
            </w:r>
            <w:r>
              <w:rPr>
                <w:rFonts w:hint="default"/>
                <w:b/>
                <w:color w:val="262626"/>
                <w:kern w:val="0"/>
                <w:sz w:val="24"/>
                <w:lang w:val="zh-CN" w:eastAsia="zh-CN"/>
              </w:rPr>
              <w:t>分析</w:t>
            </w:r>
            <w:bookmarkEnd w:id="106"/>
          </w:p>
          <w:p w14:paraId="1E2B0F4E">
            <w:pPr>
              <w:spacing w:line="360" w:lineRule="auto"/>
              <w:ind w:firstLine="480" w:firstLineChars="200"/>
              <w:rPr>
                <w:color w:val="000000"/>
                <w:sz w:val="24"/>
              </w:rPr>
            </w:pPr>
            <w:r>
              <w:rPr>
                <w:color w:val="000000"/>
                <w:sz w:val="24"/>
              </w:rPr>
              <w:t>（</w:t>
            </w:r>
            <w:r>
              <w:rPr>
                <w:rFonts w:hint="eastAsia"/>
                <w:color w:val="000000"/>
                <w:sz w:val="24"/>
                <w:lang w:val="en-US" w:eastAsia="zh-CN"/>
              </w:rPr>
              <w:t>1</w:t>
            </w:r>
            <w:r>
              <w:rPr>
                <w:color w:val="000000"/>
                <w:sz w:val="24"/>
              </w:rPr>
              <w:t>）生活固废</w:t>
            </w:r>
          </w:p>
          <w:p w14:paraId="044850B0">
            <w:pPr>
              <w:spacing w:line="360" w:lineRule="auto"/>
              <w:ind w:firstLine="480"/>
              <w:rPr>
                <w:color w:val="000000"/>
                <w:sz w:val="24"/>
                <w:lang w:val="zh-CN"/>
              </w:rPr>
            </w:pPr>
            <w:r>
              <w:rPr>
                <w:rFonts w:hint="eastAsia"/>
                <w:color w:val="000000"/>
                <w:sz w:val="24"/>
              </w:rPr>
              <w:t xml:space="preserve">根据我国生活垃圾排放系数，不住厂职工生活垃圾排放系数取 </w:t>
            </w:r>
            <w:r>
              <w:rPr>
                <w:color w:val="000000"/>
                <w:sz w:val="24"/>
              </w:rPr>
              <w:t>K=0.5kg/</w:t>
            </w:r>
            <w:r>
              <w:rPr>
                <w:rFonts w:hint="eastAsia"/>
                <w:color w:val="000000"/>
                <w:sz w:val="24"/>
              </w:rPr>
              <w:t>人</w:t>
            </w:r>
            <w:r>
              <w:rPr>
                <w:color w:val="000000"/>
                <w:sz w:val="24"/>
              </w:rPr>
              <w:t>•</w:t>
            </w:r>
            <w:r>
              <w:rPr>
                <w:rFonts w:hint="eastAsia"/>
                <w:color w:val="000000"/>
                <w:sz w:val="24"/>
              </w:rPr>
              <w:t>天，项目职工</w:t>
            </w:r>
            <w:r>
              <w:rPr>
                <w:rFonts w:hint="eastAsia"/>
                <w:color w:val="000000"/>
                <w:sz w:val="24"/>
                <w:lang w:val="en-US" w:eastAsia="zh-CN"/>
              </w:rPr>
              <w:t>70</w:t>
            </w:r>
            <w:r>
              <w:rPr>
                <w:rFonts w:hint="eastAsia"/>
                <w:color w:val="000000"/>
                <w:sz w:val="24"/>
              </w:rPr>
              <w:t>人，按</w:t>
            </w:r>
            <w:r>
              <w:rPr>
                <w:color w:val="000000"/>
                <w:sz w:val="24"/>
              </w:rPr>
              <w:t>300</w:t>
            </w:r>
            <w:r>
              <w:rPr>
                <w:rFonts w:hint="eastAsia"/>
                <w:color w:val="000000"/>
                <w:sz w:val="24"/>
              </w:rPr>
              <w:t>天</w:t>
            </w:r>
            <w:r>
              <w:rPr>
                <w:color w:val="000000"/>
                <w:sz w:val="24"/>
              </w:rPr>
              <w:t>/</w:t>
            </w:r>
            <w:r>
              <w:rPr>
                <w:rFonts w:hint="eastAsia"/>
                <w:color w:val="000000"/>
                <w:sz w:val="24"/>
              </w:rPr>
              <w:t>年计，则项目生活垃圾产生量为</w:t>
            </w:r>
            <w:r>
              <w:rPr>
                <w:rFonts w:hint="eastAsia"/>
                <w:color w:val="000000"/>
                <w:sz w:val="24"/>
                <w:lang w:val="en-US" w:eastAsia="zh-CN"/>
              </w:rPr>
              <w:t>10.5</w:t>
            </w:r>
            <w:r>
              <w:rPr>
                <w:color w:val="000000"/>
                <w:sz w:val="24"/>
              </w:rPr>
              <w:t>t/a</w:t>
            </w:r>
            <w:r>
              <w:rPr>
                <w:rFonts w:hint="eastAsia"/>
                <w:color w:val="000000"/>
                <w:sz w:val="24"/>
              </w:rPr>
              <w:t>。</w:t>
            </w:r>
            <w:r>
              <w:rPr>
                <w:color w:val="000000"/>
                <w:sz w:val="24"/>
              </w:rPr>
              <w:t>集中收集后委托环卫部门清运处理。</w:t>
            </w:r>
            <w:r>
              <w:rPr>
                <w:rFonts w:hint="eastAsia"/>
                <w:color w:val="000000"/>
                <w:sz w:val="24"/>
              </w:rPr>
              <w:t>对照《固体废物分类与代码目录》（公告2024年第4号），属于SW64，900-099-S64。</w:t>
            </w:r>
          </w:p>
          <w:p w14:paraId="52DC9C8F">
            <w:pPr>
              <w:adjustRightInd w:val="0"/>
              <w:snapToGrid w:val="0"/>
              <w:spacing w:line="360" w:lineRule="auto"/>
              <w:ind w:firstLine="480" w:firstLineChars="200"/>
              <w:rPr>
                <w:color w:val="000000"/>
                <w:sz w:val="24"/>
                <w:lang w:val="zh-CN"/>
              </w:rPr>
            </w:pPr>
            <w:r>
              <w:rPr>
                <w:color w:val="000000"/>
                <w:sz w:val="24"/>
                <w:lang w:val="zh-CN"/>
              </w:rPr>
              <w:t>（</w:t>
            </w:r>
            <w:r>
              <w:rPr>
                <w:rFonts w:hint="eastAsia"/>
                <w:color w:val="000000"/>
                <w:sz w:val="24"/>
                <w:lang w:val="en-US" w:eastAsia="zh-CN"/>
              </w:rPr>
              <w:t>2</w:t>
            </w:r>
            <w:r>
              <w:rPr>
                <w:color w:val="000000"/>
                <w:sz w:val="24"/>
              </w:rPr>
              <w:t>）</w:t>
            </w:r>
            <w:r>
              <w:rPr>
                <w:color w:val="000000"/>
                <w:sz w:val="24"/>
                <w:lang w:val="zh-CN"/>
              </w:rPr>
              <w:t>一般工业固废</w:t>
            </w:r>
          </w:p>
          <w:p w14:paraId="22F568EF">
            <w:pPr>
              <w:spacing w:line="360" w:lineRule="auto"/>
              <w:ind w:firstLine="480"/>
              <w:rPr>
                <w:rFonts w:hint="default" w:eastAsia="宋体"/>
                <w:color w:val="000000"/>
                <w:sz w:val="24"/>
                <w:lang w:val="en-US" w:eastAsia="zh-CN"/>
              </w:rPr>
            </w:pPr>
            <w:r>
              <w:rPr>
                <w:rFonts w:hint="eastAsia"/>
                <w:color w:val="000000"/>
                <w:sz w:val="24"/>
              </w:rPr>
              <w:t>①</w:t>
            </w:r>
            <w:r>
              <w:rPr>
                <w:rFonts w:hint="eastAsia"/>
                <w:color w:val="000000"/>
                <w:sz w:val="24"/>
                <w:lang w:val="en-US" w:eastAsia="zh-CN"/>
              </w:rPr>
              <w:t>塑料</w:t>
            </w:r>
            <w:r>
              <w:rPr>
                <w:rFonts w:hint="eastAsia"/>
                <w:color w:val="000000"/>
                <w:sz w:val="24"/>
              </w:rPr>
              <w:t>边角料</w:t>
            </w:r>
            <w:r>
              <w:rPr>
                <w:rFonts w:hint="eastAsia"/>
                <w:color w:val="000000"/>
                <w:sz w:val="24"/>
                <w:lang w:val="en-US" w:eastAsia="zh-CN"/>
              </w:rPr>
              <w:t>及不合格产品</w:t>
            </w:r>
          </w:p>
          <w:p w14:paraId="4BA88B6F">
            <w:pPr>
              <w:spacing w:line="360" w:lineRule="auto"/>
              <w:ind w:firstLine="480"/>
              <w:rPr>
                <w:rFonts w:hint="eastAsia"/>
                <w:color w:val="000000"/>
                <w:sz w:val="24"/>
              </w:rPr>
            </w:pPr>
            <w:r>
              <w:rPr>
                <w:rFonts w:hint="eastAsia"/>
                <w:color w:val="000000"/>
                <w:sz w:val="24"/>
              </w:rPr>
              <w:t>项目在</w:t>
            </w:r>
            <w:r>
              <w:rPr>
                <w:rFonts w:hint="eastAsia"/>
                <w:color w:val="000000"/>
                <w:sz w:val="24"/>
                <w:lang w:val="en-US" w:eastAsia="zh-CN"/>
              </w:rPr>
              <w:t>工业连接器和工业线缆生产</w:t>
            </w:r>
            <w:r>
              <w:rPr>
                <w:rFonts w:hint="eastAsia"/>
                <w:color w:val="000000"/>
                <w:sz w:val="24"/>
              </w:rPr>
              <w:t>过</w:t>
            </w:r>
            <w:r>
              <w:rPr>
                <w:rFonts w:hint="eastAsia"/>
                <w:color w:val="000000"/>
                <w:sz w:val="24"/>
                <w:lang w:eastAsia="zh-CN"/>
              </w:rPr>
              <w:t>程中</w:t>
            </w:r>
            <w:r>
              <w:rPr>
                <w:rFonts w:hint="eastAsia"/>
                <w:color w:val="000000"/>
                <w:sz w:val="24"/>
              </w:rPr>
              <w:t>会产生少许边角料</w:t>
            </w:r>
            <w:r>
              <w:rPr>
                <w:rFonts w:hint="eastAsia"/>
                <w:color w:val="000000"/>
                <w:sz w:val="24"/>
                <w:lang w:val="en-US" w:eastAsia="zh-CN"/>
              </w:rPr>
              <w:t>及不合格产品</w:t>
            </w:r>
            <w:r>
              <w:rPr>
                <w:rFonts w:hint="eastAsia"/>
                <w:color w:val="000000"/>
                <w:sz w:val="24"/>
              </w:rPr>
              <w:t>，</w:t>
            </w:r>
            <w:r>
              <w:rPr>
                <w:color w:val="000000"/>
                <w:sz w:val="24"/>
              </w:rPr>
              <w:t>参考《排放源统计调查产排污核算方法和系数手册》中《292塑料制品行业系数手册》，一般工业固废产生量为2.5</w:t>
            </w:r>
            <w:r>
              <w:rPr>
                <w:rFonts w:hint="eastAsia"/>
                <w:color w:val="000000"/>
                <w:sz w:val="24"/>
                <w:lang w:val="en-US" w:eastAsia="zh-CN"/>
              </w:rPr>
              <w:t>kg</w:t>
            </w:r>
            <w:r>
              <w:rPr>
                <w:color w:val="000000"/>
                <w:sz w:val="24"/>
              </w:rPr>
              <w:t>/t-产品，</w:t>
            </w:r>
            <w:r>
              <w:rPr>
                <w:rFonts w:hint="eastAsia"/>
                <w:color w:val="000000"/>
                <w:sz w:val="24"/>
              </w:rPr>
              <w:t>则边角料</w:t>
            </w:r>
            <w:r>
              <w:rPr>
                <w:rFonts w:hint="eastAsia"/>
                <w:color w:val="000000"/>
                <w:sz w:val="24"/>
                <w:lang w:val="en-US" w:eastAsia="zh-CN"/>
              </w:rPr>
              <w:t>及次品的</w:t>
            </w:r>
            <w:r>
              <w:rPr>
                <w:rFonts w:hint="eastAsia"/>
                <w:color w:val="000000"/>
                <w:sz w:val="24"/>
              </w:rPr>
              <w:t>产生量为</w:t>
            </w:r>
            <w:r>
              <w:rPr>
                <w:rFonts w:hint="eastAsia"/>
                <w:color w:val="000000"/>
                <w:sz w:val="24"/>
                <w:lang w:val="en-US" w:eastAsia="zh-CN"/>
              </w:rPr>
              <w:t>5.25</w:t>
            </w:r>
            <w:r>
              <w:rPr>
                <w:color w:val="000000"/>
                <w:sz w:val="24"/>
              </w:rPr>
              <w:t>t/a</w:t>
            </w:r>
            <w:r>
              <w:rPr>
                <w:rFonts w:hint="eastAsia"/>
                <w:color w:val="000000"/>
                <w:sz w:val="24"/>
              </w:rPr>
              <w:t>，</w:t>
            </w:r>
            <w:r>
              <w:rPr>
                <w:rFonts w:hint="eastAsia"/>
                <w:color w:val="auto"/>
                <w:sz w:val="24"/>
              </w:rPr>
              <w:t>该部分固废</w:t>
            </w:r>
            <w:r>
              <w:rPr>
                <w:rFonts w:hint="eastAsia"/>
                <w:color w:val="auto"/>
                <w:sz w:val="24"/>
                <w:lang w:val="en-US" w:eastAsia="zh-CN"/>
              </w:rPr>
              <w:t>收集后经破碎后外售其他公司综合利用</w:t>
            </w:r>
            <w:r>
              <w:rPr>
                <w:rFonts w:hint="eastAsia"/>
                <w:color w:val="auto"/>
                <w:sz w:val="24"/>
              </w:rPr>
              <w:t>。对照《固体废物分类与代码目录》（公告</w:t>
            </w:r>
            <w:r>
              <w:rPr>
                <w:rFonts w:hint="eastAsia"/>
                <w:color w:val="000000"/>
                <w:sz w:val="24"/>
              </w:rPr>
              <w:t>2024年第4号），属于SW17，废物代码为900-003-S17。</w:t>
            </w:r>
          </w:p>
          <w:p w14:paraId="46736949">
            <w:pPr>
              <w:spacing w:line="360" w:lineRule="auto"/>
              <w:ind w:firstLine="480" w:firstLineChars="200"/>
              <w:rPr>
                <w:color w:val="000000"/>
                <w:sz w:val="24"/>
              </w:rPr>
            </w:pPr>
            <w:r>
              <w:rPr>
                <w:rFonts w:hint="eastAsia"/>
                <w:color w:val="000000"/>
                <w:sz w:val="24"/>
              </w:rPr>
              <w:t>②废包装材料</w:t>
            </w:r>
          </w:p>
          <w:p w14:paraId="715B8528">
            <w:pPr>
              <w:adjustRightInd w:val="0"/>
              <w:snapToGrid w:val="0"/>
              <w:spacing w:line="360" w:lineRule="auto"/>
              <w:ind w:firstLine="480" w:firstLineChars="200"/>
              <w:rPr>
                <w:rFonts w:hint="eastAsia"/>
                <w:color w:val="000000"/>
                <w:sz w:val="24"/>
              </w:rPr>
            </w:pPr>
            <w:r>
              <w:rPr>
                <w:rFonts w:hint="eastAsia"/>
                <w:color w:val="000000"/>
                <w:sz w:val="24"/>
              </w:rPr>
              <w:t>项目</w:t>
            </w:r>
            <w:r>
              <w:rPr>
                <w:rFonts w:hint="eastAsia"/>
                <w:color w:val="000000"/>
                <w:sz w:val="24"/>
                <w:lang w:val="en-US" w:eastAsia="zh-CN"/>
              </w:rPr>
              <w:t>塑料</w:t>
            </w:r>
            <w:r>
              <w:rPr>
                <w:rFonts w:hint="eastAsia"/>
                <w:color w:val="000000"/>
                <w:sz w:val="24"/>
              </w:rPr>
              <w:t>颗粒使用后会有废包装袋，项目使用颗粒为</w:t>
            </w:r>
            <w:r>
              <w:rPr>
                <w:color w:val="000000"/>
                <w:sz w:val="24"/>
              </w:rPr>
              <w:t>25kg/</w:t>
            </w:r>
            <w:r>
              <w:rPr>
                <w:rFonts w:hint="eastAsia"/>
                <w:color w:val="000000"/>
                <w:sz w:val="24"/>
              </w:rPr>
              <w:t>袋，包装袋重约</w:t>
            </w:r>
            <w:r>
              <w:rPr>
                <w:rFonts w:hint="eastAsia"/>
                <w:color w:val="000000"/>
                <w:sz w:val="24"/>
                <w:lang w:val="en-US" w:eastAsia="zh-CN"/>
              </w:rPr>
              <w:t>15</w:t>
            </w:r>
            <w:r>
              <w:rPr>
                <w:color w:val="000000"/>
                <w:sz w:val="24"/>
              </w:rPr>
              <w:t>g/</w:t>
            </w:r>
            <w:r>
              <w:rPr>
                <w:rFonts w:hint="eastAsia"/>
                <w:color w:val="000000"/>
                <w:sz w:val="24"/>
              </w:rPr>
              <w:t>个，则共计产生废包装袋</w:t>
            </w:r>
            <w:r>
              <w:rPr>
                <w:rFonts w:hint="eastAsia"/>
                <w:color w:val="000000"/>
                <w:sz w:val="24"/>
                <w:lang w:val="en-US" w:eastAsia="zh-CN"/>
              </w:rPr>
              <w:t>0.018</w:t>
            </w:r>
            <w:r>
              <w:rPr>
                <w:color w:val="000000"/>
                <w:sz w:val="24"/>
              </w:rPr>
              <w:t>t/a</w:t>
            </w:r>
            <w:r>
              <w:rPr>
                <w:rFonts w:hint="eastAsia"/>
                <w:color w:val="000000"/>
                <w:sz w:val="24"/>
              </w:rPr>
              <w:t>，该部分固废收集后暂存一般固废</w:t>
            </w:r>
            <w:r>
              <w:rPr>
                <w:rFonts w:hint="eastAsia"/>
                <w:color w:val="000000"/>
                <w:sz w:val="24"/>
                <w:lang w:val="en-US" w:eastAsia="zh-CN"/>
              </w:rPr>
              <w:t>区</w:t>
            </w:r>
            <w:r>
              <w:rPr>
                <w:rFonts w:hint="eastAsia"/>
                <w:color w:val="000000"/>
                <w:sz w:val="24"/>
              </w:rPr>
              <w:t>，外售综合利用。对照《固体废物分类与代码目录》（公告2024年第4号），属于SW17，废物代码为900-00</w:t>
            </w:r>
            <w:r>
              <w:rPr>
                <w:rFonts w:hint="eastAsia"/>
                <w:color w:val="000000"/>
                <w:sz w:val="24"/>
                <w:lang w:val="en-US" w:eastAsia="zh-CN"/>
              </w:rPr>
              <w:t>3</w:t>
            </w:r>
            <w:r>
              <w:rPr>
                <w:rFonts w:hint="eastAsia"/>
                <w:color w:val="000000"/>
                <w:sz w:val="24"/>
              </w:rPr>
              <w:t>-S17。</w:t>
            </w:r>
          </w:p>
          <w:p w14:paraId="1F3F4147">
            <w:pPr>
              <w:spacing w:line="360" w:lineRule="auto"/>
              <w:ind w:firstLine="480" w:firstLineChars="200"/>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rPr>
              <w:t>③</w:t>
            </w:r>
            <w:r>
              <w:rPr>
                <w:rFonts w:hint="eastAsia" w:ascii="Times New Roman" w:hAnsi="Times New Roman" w:eastAsia="宋体" w:cs="Times New Roman"/>
                <w:color w:val="000000"/>
                <w:sz w:val="24"/>
                <w:lang w:val="en-US" w:eastAsia="zh-CN"/>
              </w:rPr>
              <w:t>收集粉尘</w:t>
            </w:r>
          </w:p>
          <w:p w14:paraId="37811CE1">
            <w:pPr>
              <w:spacing w:line="360" w:lineRule="auto"/>
              <w:ind w:firstLine="480" w:firstLineChars="200"/>
              <w:rPr>
                <w:rFonts w:hint="eastAsia" w:ascii="Times New Roman" w:hAnsi="Times New Roman" w:eastAsia="宋体" w:cs="Times New Roman"/>
                <w:color w:val="000000"/>
                <w:sz w:val="24"/>
              </w:rPr>
            </w:pPr>
            <w:r>
              <w:rPr>
                <w:rFonts w:hint="default" w:ascii="Times New Roman" w:hAnsi="Times New Roman" w:eastAsia="宋体" w:cs="Times New Roman"/>
                <w:color w:val="000000"/>
                <w:sz w:val="24"/>
              </w:rPr>
              <w:t>本项目在使用移动除尘器处理粉碎过程中产生的颗粒物时会削减出一定的颗粒物，根据前文核算，其颗粒物量共计约</w:t>
            </w:r>
            <w:r>
              <w:rPr>
                <w:rFonts w:hint="default" w:ascii="Times New Roman" w:hAnsi="Times New Roman" w:eastAsia="宋体" w:cs="Times New Roman"/>
                <w:color w:val="000000"/>
                <w:sz w:val="24"/>
                <w:lang w:val="en-US" w:eastAsia="zh-CN"/>
              </w:rPr>
              <w:t>0.000048</w:t>
            </w:r>
            <w:r>
              <w:rPr>
                <w:rFonts w:hint="default" w:ascii="Times New Roman" w:hAnsi="Times New Roman" w:eastAsia="宋体" w:cs="Times New Roman"/>
                <w:color w:val="000000"/>
                <w:sz w:val="24"/>
              </w:rPr>
              <w:t>t/a，收集后委托相关物资单位回收处理。</w:t>
            </w:r>
          </w:p>
          <w:p w14:paraId="10C8648C">
            <w:pPr>
              <w:adjustRightInd w:val="0"/>
              <w:snapToGrid w:val="0"/>
              <w:spacing w:line="360" w:lineRule="auto"/>
              <w:ind w:firstLine="480" w:firstLineChars="200"/>
              <w:rPr>
                <w:rFonts w:hint="eastAsia" w:ascii="Times New Roman" w:hAnsi="Times New Roman" w:eastAsia="宋体" w:cs="Times New Roman"/>
                <w:strike w:val="0"/>
                <w:dstrike w:val="0"/>
                <w:color w:val="auto"/>
                <w:sz w:val="24"/>
              </w:rPr>
            </w:pPr>
            <w:r>
              <w:rPr>
                <w:rFonts w:hint="eastAsia" w:ascii="Times New Roman" w:hAnsi="Times New Roman" w:eastAsia="宋体" w:cs="Times New Roman"/>
                <w:color w:val="000000"/>
                <w:sz w:val="24"/>
                <w:lang w:val="en-US" w:eastAsia="zh-CN"/>
              </w:rPr>
              <w:t>（3）危险废物</w:t>
            </w:r>
            <w:bookmarkEnd w:id="95"/>
            <w:bookmarkEnd w:id="96"/>
            <w:bookmarkEnd w:id="97"/>
          </w:p>
          <w:p w14:paraId="3388FF92">
            <w:pPr>
              <w:widowControl/>
              <w:spacing w:line="360" w:lineRule="auto"/>
              <w:ind w:firstLine="480" w:firstLineChars="200"/>
              <w:jc w:val="left"/>
              <w:rPr>
                <w:rFonts w:hint="default" w:ascii="Times New Roman" w:hAnsi="Times New Roman" w:eastAsia="宋体" w:cs="Times New Roman"/>
                <w:strike w:val="0"/>
                <w:dstrike w:val="0"/>
                <w:color w:val="auto"/>
                <w:sz w:val="24"/>
              </w:rPr>
            </w:pPr>
            <w:r>
              <w:rPr>
                <w:rFonts w:hint="eastAsia" w:ascii="Times New Roman" w:hAnsi="Times New Roman" w:eastAsia="宋体" w:cs="Times New Roman"/>
                <w:strike w:val="0"/>
                <w:dstrike w:val="0"/>
                <w:color w:val="auto"/>
                <w:sz w:val="24"/>
              </w:rPr>
              <w:t>①</w:t>
            </w:r>
            <w:r>
              <w:rPr>
                <w:rFonts w:hint="default" w:ascii="Times New Roman" w:hAnsi="Times New Roman" w:eastAsia="宋体" w:cs="Times New Roman"/>
                <w:strike w:val="0"/>
                <w:dstrike w:val="0"/>
                <w:color w:val="auto"/>
                <w:sz w:val="24"/>
              </w:rPr>
              <w:t>废活性炭</w:t>
            </w:r>
          </w:p>
          <w:p w14:paraId="60070472">
            <w:pPr>
              <w:widowControl/>
              <w:spacing w:line="360" w:lineRule="auto"/>
              <w:ind w:firstLine="480" w:firstLineChars="200"/>
              <w:jc w:val="left"/>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strike w:val="0"/>
                <w:dstrike w:val="0"/>
                <w:color w:val="auto"/>
                <w:sz w:val="24"/>
                <w:lang w:val="en-US" w:eastAsia="zh-CN"/>
              </w:rPr>
              <w:t>根据中国建筑出版社</w:t>
            </w:r>
            <w:r>
              <w:rPr>
                <w:rFonts w:hint="eastAsia" w:ascii="Times New Roman" w:hAnsi="Times New Roman" w:eastAsia="宋体"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1997</w:t>
            </w:r>
            <w:r>
              <w:rPr>
                <w:rFonts w:hint="eastAsia" w:ascii="Times New Roman" w:hAnsi="Times New Roman" w:eastAsia="宋体" w:cs="Times New Roman"/>
                <w:strike w:val="0"/>
                <w:dstrike w:val="0"/>
                <w:color w:val="auto"/>
                <w:sz w:val="24"/>
                <w:lang w:val="en-US" w:eastAsia="zh-CN"/>
              </w:rPr>
              <w:t>）</w:t>
            </w:r>
            <w:r>
              <w:rPr>
                <w:rFonts w:hint="default" w:ascii="Times New Roman" w:hAnsi="Times New Roman" w:eastAsia="宋体" w:cs="Times New Roman"/>
                <w:strike w:val="0"/>
                <w:dstrike w:val="0"/>
                <w:color w:val="auto"/>
                <w:sz w:val="24"/>
                <w:lang w:val="en-US" w:eastAsia="zh-CN"/>
              </w:rPr>
              <w:t>出版的《简明通风设计手册》第十章中关于活性吸附处理治理废气的方法中提供的数据：每1.0kg活性炭吸附有机废气的平衡量为0.43～0.61kg，本项目按1t活性炭吸附</w:t>
            </w:r>
            <w:r>
              <w:rPr>
                <w:rFonts w:hint="eastAsia" w:ascii="Times New Roman" w:hAnsi="Times New Roman" w:eastAsia="宋体" w:cs="Times New Roman"/>
                <w:strike w:val="0"/>
                <w:dstrike w:val="0"/>
                <w:color w:val="auto"/>
                <w:sz w:val="24"/>
                <w:lang w:val="en-US" w:eastAsia="zh-CN"/>
              </w:rPr>
              <w:t>0.3</w:t>
            </w:r>
            <w:r>
              <w:rPr>
                <w:rFonts w:hint="default" w:ascii="Times New Roman" w:hAnsi="Times New Roman" w:eastAsia="宋体" w:cs="Times New Roman"/>
                <w:strike w:val="0"/>
                <w:dstrike w:val="0"/>
                <w:color w:val="auto"/>
                <w:sz w:val="24"/>
                <w:lang w:val="en-US" w:eastAsia="zh-CN"/>
              </w:rPr>
              <w:t>t有机废气计算，</w:t>
            </w:r>
            <w:r>
              <w:rPr>
                <w:rFonts w:hint="default" w:ascii="Times New Roman" w:hAnsi="Times New Roman" w:eastAsia="宋体" w:cs="Times New Roman"/>
                <w:strike w:val="0"/>
                <w:dstrike w:val="0"/>
                <w:color w:val="auto"/>
                <w:sz w:val="24"/>
                <w:lang w:val="zh-CN" w:eastAsia="zh-CN"/>
              </w:rPr>
              <w:t>根据前文产排污分</w:t>
            </w:r>
            <w:r>
              <w:rPr>
                <w:rFonts w:hint="default" w:ascii="Times New Roman" w:hAnsi="Times New Roman" w:eastAsia="宋体" w:cs="Times New Roman"/>
                <w:bCs/>
                <w:color w:val="auto"/>
                <w:sz w:val="24"/>
                <w:highlight w:val="none"/>
                <w:lang w:val="zh-CN" w:eastAsia="zh-CN"/>
              </w:rPr>
              <w:t>析可知，项目有组织有机废气</w:t>
            </w:r>
            <w:r>
              <w:rPr>
                <w:rFonts w:hint="default" w:ascii="Times New Roman" w:hAnsi="Times New Roman" w:eastAsia="宋体" w:cs="Times New Roman"/>
                <w:bCs/>
                <w:color w:val="auto"/>
                <w:sz w:val="24"/>
                <w:highlight w:val="none"/>
                <w:lang w:val="en-US" w:eastAsia="zh-CN"/>
              </w:rPr>
              <w:t>净化了</w:t>
            </w:r>
            <w:r>
              <w:rPr>
                <w:rFonts w:hint="eastAsia" w:cs="Times New Roman"/>
                <w:bCs/>
                <w:color w:val="auto"/>
                <w:sz w:val="24"/>
                <w:highlight w:val="none"/>
                <w:lang w:val="en-US" w:eastAsia="zh-CN"/>
              </w:rPr>
              <w:t>0.06835</w:t>
            </w:r>
            <w:r>
              <w:rPr>
                <w:rFonts w:hint="eastAsia" w:ascii="Times New Roman" w:hAnsi="Times New Roman" w:eastAsia="宋体" w:cs="Times New Roman"/>
                <w:bCs/>
                <w:color w:val="auto"/>
                <w:sz w:val="24"/>
                <w:highlight w:val="none"/>
                <w:lang w:val="en-US" w:eastAsia="zh-CN"/>
              </w:rPr>
              <w:t>t</w:t>
            </w:r>
            <w:r>
              <w:rPr>
                <w:rFonts w:hint="default" w:ascii="Times New Roman" w:hAnsi="Times New Roman" w:eastAsia="宋体" w:cs="Times New Roman"/>
                <w:bCs/>
                <w:color w:val="auto"/>
                <w:sz w:val="24"/>
                <w:highlight w:val="none"/>
                <w:lang w:val="en-US" w:eastAsia="zh-CN"/>
              </w:rPr>
              <w:t>/a</w:t>
            </w:r>
            <w:r>
              <w:rPr>
                <w:rFonts w:hint="default" w:ascii="Times New Roman" w:hAnsi="Times New Roman" w:eastAsia="宋体" w:cs="Times New Roman"/>
                <w:bCs/>
                <w:color w:val="auto"/>
                <w:sz w:val="24"/>
                <w:highlight w:val="none"/>
                <w:lang w:val="zh-CN" w:eastAsia="zh-CN"/>
              </w:rPr>
              <w:t>，本项目有机废气采用</w:t>
            </w:r>
            <w:r>
              <w:rPr>
                <w:rFonts w:hint="eastAsia" w:ascii="Times New Roman" w:hAnsi="Times New Roman" w:eastAsia="宋体" w:cs="Times New Roman"/>
                <w:bCs/>
                <w:color w:val="auto"/>
                <w:sz w:val="24"/>
                <w:highlight w:val="none"/>
                <w:lang w:val="en-US" w:eastAsia="zh-CN"/>
              </w:rPr>
              <w:t>活性炭吸附装置</w:t>
            </w:r>
            <w:r>
              <w:rPr>
                <w:rFonts w:hint="default" w:ascii="Times New Roman" w:hAnsi="Times New Roman" w:eastAsia="宋体" w:cs="Times New Roman"/>
                <w:bCs/>
                <w:color w:val="auto"/>
                <w:sz w:val="24"/>
                <w:highlight w:val="none"/>
                <w:lang w:val="en-US" w:eastAsia="zh-CN"/>
              </w:rPr>
              <w:t>净化处理，则预计项目年</w:t>
            </w:r>
            <w:r>
              <w:rPr>
                <w:rFonts w:hint="eastAsia" w:ascii="Times New Roman" w:hAnsi="Times New Roman" w:eastAsia="宋体" w:cs="Times New Roman"/>
                <w:bCs/>
                <w:color w:val="auto"/>
                <w:sz w:val="24"/>
                <w:highlight w:val="none"/>
                <w:lang w:val="en-US" w:eastAsia="zh-CN"/>
              </w:rPr>
              <w:t>废</w:t>
            </w:r>
            <w:r>
              <w:rPr>
                <w:rFonts w:hint="default" w:ascii="Times New Roman" w:hAnsi="Times New Roman" w:eastAsia="宋体" w:cs="Times New Roman"/>
                <w:bCs/>
                <w:color w:val="auto"/>
                <w:sz w:val="24"/>
                <w:highlight w:val="none"/>
                <w:lang w:val="en-US" w:eastAsia="zh-CN"/>
              </w:rPr>
              <w:t>活性炭</w:t>
            </w:r>
            <w:r>
              <w:rPr>
                <w:rFonts w:hint="eastAsia" w:ascii="Times New Roman" w:hAnsi="Times New Roman" w:eastAsia="宋体" w:cs="Times New Roman"/>
                <w:bCs/>
                <w:color w:val="auto"/>
                <w:sz w:val="24"/>
                <w:highlight w:val="none"/>
                <w:lang w:val="en-US" w:eastAsia="zh-CN"/>
              </w:rPr>
              <w:t>产生</w:t>
            </w:r>
            <w:r>
              <w:rPr>
                <w:rFonts w:hint="default" w:ascii="Times New Roman" w:hAnsi="Times New Roman" w:eastAsia="宋体" w:cs="Times New Roman"/>
                <w:bCs/>
                <w:color w:val="auto"/>
                <w:sz w:val="24"/>
                <w:highlight w:val="none"/>
                <w:lang w:val="en-US" w:eastAsia="zh-CN"/>
              </w:rPr>
              <w:t>量为</w:t>
            </w:r>
            <w:r>
              <w:rPr>
                <w:rFonts w:hint="eastAsia" w:cs="Times New Roman"/>
                <w:bCs/>
                <w:color w:val="auto"/>
                <w:sz w:val="24"/>
                <w:highlight w:val="none"/>
                <w:lang w:val="en-US" w:eastAsia="zh-CN"/>
              </w:rPr>
              <w:t>0.06835</w:t>
            </w:r>
            <w:r>
              <w:rPr>
                <w:rFonts w:hint="eastAsia" w:ascii="Times New Roman" w:hAnsi="Times New Roman" w:eastAsia="宋体" w:cs="Times New Roman"/>
                <w:bCs/>
                <w:color w:val="auto"/>
                <w:sz w:val="24"/>
                <w:highlight w:val="none"/>
                <w:lang w:val="en-US" w:eastAsia="zh-CN"/>
              </w:rPr>
              <w:t>t/a÷0.3</w:t>
            </w:r>
            <w:r>
              <w:rPr>
                <w:rFonts w:hint="eastAsia" w:ascii="Times New Roman" w:hAnsi="Times New Roman" w:cs="Times New Roman"/>
                <w:bCs/>
                <w:color w:val="auto"/>
                <w:sz w:val="24"/>
                <w:highlight w:val="none"/>
                <w:lang w:val="en-US" w:eastAsia="zh-CN"/>
              </w:rPr>
              <w:t>t</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0.06835</w:t>
            </w:r>
            <w:r>
              <w:rPr>
                <w:rFonts w:hint="eastAsia" w:ascii="Times New Roman" w:hAnsi="Times New Roman" w:eastAsia="宋体" w:cs="Times New Roman"/>
                <w:bCs/>
                <w:color w:val="auto"/>
                <w:sz w:val="24"/>
                <w:highlight w:val="none"/>
                <w:lang w:val="en-US" w:eastAsia="zh-CN"/>
              </w:rPr>
              <w:t>t/a=</w:t>
            </w:r>
            <w:r>
              <w:rPr>
                <w:rFonts w:hint="eastAsia" w:cs="Times New Roman"/>
                <w:bCs/>
                <w:color w:val="auto"/>
                <w:sz w:val="24"/>
                <w:highlight w:val="none"/>
                <w:lang w:val="en-US" w:eastAsia="zh-CN"/>
              </w:rPr>
              <w:t>0.2962</w:t>
            </w:r>
            <w:r>
              <w:rPr>
                <w:rFonts w:hint="default" w:ascii="Times New Roman" w:hAnsi="Times New Roman" w:eastAsia="宋体" w:cs="Times New Roman"/>
                <w:bCs/>
                <w:color w:val="auto"/>
                <w:sz w:val="24"/>
                <w:highlight w:val="none"/>
                <w:lang w:val="en-US" w:eastAsia="zh-CN"/>
              </w:rPr>
              <w:t>t</w:t>
            </w:r>
            <w:r>
              <w:rPr>
                <w:rFonts w:hint="eastAsia" w:cs="Times New Roman"/>
                <w:bCs/>
                <w:color w:val="auto"/>
                <w:sz w:val="24"/>
                <w:highlight w:val="none"/>
                <w:lang w:val="en-US" w:eastAsia="zh-CN"/>
              </w:rPr>
              <w:t>/a</w:t>
            </w:r>
            <w:r>
              <w:rPr>
                <w:rFonts w:hint="default" w:ascii="Times New Roman" w:hAnsi="Times New Roman" w:eastAsia="宋体"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活性炭的填充量为</w:t>
            </w:r>
            <w:r>
              <w:rPr>
                <w:rFonts w:hint="eastAsia" w:cs="Times New Roman"/>
                <w:bCs/>
                <w:color w:val="auto"/>
                <w:sz w:val="24"/>
                <w:highlight w:val="none"/>
                <w:lang w:val="en-US" w:eastAsia="zh-CN"/>
              </w:rPr>
              <w:t>0.074</w:t>
            </w:r>
            <w:r>
              <w:rPr>
                <w:rFonts w:hint="eastAsia" w:ascii="Times New Roman" w:hAnsi="Times New Roman" w:eastAsia="宋体" w:cs="Times New Roman"/>
                <w:bCs/>
                <w:color w:val="auto"/>
                <w:sz w:val="24"/>
                <w:highlight w:val="none"/>
                <w:lang w:val="en-US" w:eastAsia="zh-CN"/>
              </w:rPr>
              <w:t>t</w:t>
            </w:r>
            <w:r>
              <w:rPr>
                <w:rFonts w:hint="default" w:ascii="Times New Roman" w:hAnsi="Times New Roman" w:eastAsia="宋体" w:cs="Times New Roman"/>
                <w:bCs/>
                <w:color w:val="auto"/>
                <w:sz w:val="24"/>
                <w:highlight w:val="none"/>
                <w:lang w:val="en-US" w:eastAsia="zh-CN"/>
              </w:rPr>
              <w:t>，项目计划</w:t>
            </w:r>
            <w:r>
              <w:rPr>
                <w:rFonts w:hint="eastAsia" w:ascii="Times New Roman" w:hAnsi="Times New Roman" w:eastAsia="宋体" w:cs="Times New Roman"/>
                <w:bCs/>
                <w:color w:val="auto"/>
                <w:sz w:val="24"/>
                <w:highlight w:val="none"/>
                <w:lang w:val="en-US" w:eastAsia="zh-CN"/>
              </w:rPr>
              <w:t>每三</w:t>
            </w:r>
            <w:r>
              <w:rPr>
                <w:rFonts w:hint="default" w:ascii="Times New Roman" w:hAnsi="Times New Roman" w:eastAsia="宋体" w:cs="Times New Roman"/>
                <w:bCs/>
                <w:color w:val="auto"/>
                <w:sz w:val="24"/>
                <w:highlight w:val="none"/>
                <w:lang w:val="zh-CN" w:eastAsia="zh-CN"/>
              </w:rPr>
              <w:t>个月更换一次活性炭吸附填料，确保项目有机废气达标排放</w:t>
            </w:r>
            <w:r>
              <w:rPr>
                <w:rFonts w:hint="eastAsia" w:ascii="Times New Roman" w:hAnsi="Times New Roman" w:eastAsia="宋体" w:cs="Times New Roman"/>
                <w:bCs/>
                <w:color w:val="auto"/>
                <w:sz w:val="24"/>
                <w:highlight w:val="none"/>
                <w:lang w:val="zh-CN" w:eastAsia="zh-CN"/>
              </w:rPr>
              <w:t>。</w:t>
            </w:r>
            <w:r>
              <w:rPr>
                <w:rFonts w:hint="default" w:ascii="Times New Roman" w:hAnsi="Times New Roman" w:eastAsia="宋体" w:cs="Times New Roman"/>
                <w:bCs/>
                <w:color w:val="auto"/>
                <w:sz w:val="24"/>
                <w:highlight w:val="none"/>
                <w:lang w:val="en-US" w:eastAsia="zh-CN"/>
              </w:rPr>
              <w:t>根据《国家危险废物名录》</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202</w:t>
            </w:r>
            <w:r>
              <w:rPr>
                <w:rFonts w:hint="eastAsia"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lang w:val="en-US" w:eastAsia="zh-CN"/>
              </w:rPr>
              <w:t>年版</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，废活性炭属于危险废物，废物类别为HW49其他废物，废物代码900-039-49</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妥善收集后</w:t>
            </w:r>
            <w:r>
              <w:rPr>
                <w:rFonts w:hint="eastAsia" w:ascii="Times New Roman" w:hAnsi="Times New Roman" w:eastAsia="宋体" w:cs="Times New Roman"/>
                <w:bCs/>
                <w:color w:val="auto"/>
                <w:sz w:val="24"/>
                <w:highlight w:val="none"/>
              </w:rPr>
              <w:t>暂存于危险废物</w:t>
            </w:r>
            <w:r>
              <w:rPr>
                <w:rFonts w:hint="eastAsia" w:ascii="Times New Roman" w:hAnsi="Times New Roman" w:eastAsia="宋体" w:cs="Times New Roman"/>
                <w:bCs/>
                <w:color w:val="auto"/>
                <w:sz w:val="24"/>
                <w:highlight w:val="none"/>
                <w:lang w:val="en-US" w:eastAsia="zh-CN"/>
              </w:rPr>
              <w:t>贮存库，定期委托有资质单位处置。</w:t>
            </w:r>
          </w:p>
          <w:p w14:paraId="04B91181">
            <w:pPr>
              <w:widowControl/>
              <w:spacing w:line="360" w:lineRule="auto"/>
              <w:ind w:firstLine="480" w:firstLineChars="200"/>
              <w:jc w:val="left"/>
              <w:rPr>
                <w:rFonts w:hint="default" w:ascii="Times New Roman" w:hAnsi="Times New Roman" w:eastAsia="宋体" w:cs="Times New Roman"/>
                <w:strike w:val="0"/>
                <w:dstrike w:val="0"/>
                <w:color w:val="auto"/>
                <w:sz w:val="24"/>
                <w:lang w:val="en-US" w:eastAsia="zh-CN"/>
              </w:rPr>
            </w:pPr>
            <w:r>
              <w:rPr>
                <w:rFonts w:hint="eastAsia" w:ascii="Times New Roman" w:hAnsi="Times New Roman" w:eastAsia="宋体" w:cs="Times New Roman"/>
                <w:strike w:val="0"/>
                <w:dstrike w:val="0"/>
                <w:color w:val="auto"/>
                <w:sz w:val="24"/>
                <w:lang w:val="en-US" w:eastAsia="zh-CN"/>
              </w:rPr>
              <w:t>②废机油</w:t>
            </w:r>
          </w:p>
          <w:p w14:paraId="111D105D">
            <w:pPr>
              <w:widowControl/>
              <w:spacing w:line="360" w:lineRule="auto"/>
              <w:ind w:firstLine="480" w:firstLineChars="200"/>
              <w:jc w:val="left"/>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本项目在设备检修维护过程会产生少量废机油，参考同类企业，废机油产生量为</w:t>
            </w:r>
            <w:r>
              <w:rPr>
                <w:rFonts w:hint="default" w:ascii="Times New Roman" w:hAnsi="Times New Roman" w:eastAsia="宋体" w:cs="Times New Roman"/>
                <w:bCs/>
                <w:color w:val="auto"/>
                <w:sz w:val="24"/>
                <w:highlight w:val="none"/>
                <w:lang w:val="en-US" w:eastAsia="zh-CN"/>
              </w:rPr>
              <w:t>0.</w:t>
            </w:r>
            <w:r>
              <w:rPr>
                <w:rFonts w:hint="eastAsia" w:ascii="Times New Roman" w:hAnsi="Times New Roman" w:eastAsia="宋体" w:cs="Times New Roman"/>
                <w:bCs/>
                <w:color w:val="auto"/>
                <w:sz w:val="24"/>
                <w:highlight w:val="none"/>
                <w:lang w:val="en-US" w:eastAsia="zh-CN"/>
              </w:rPr>
              <w:t>12</w:t>
            </w:r>
            <w:r>
              <w:rPr>
                <w:rFonts w:hint="default" w:ascii="Times New Roman" w:hAnsi="Times New Roman" w:eastAsia="宋体" w:cs="Times New Roman"/>
                <w:bCs/>
                <w:color w:val="auto"/>
                <w:sz w:val="24"/>
                <w:highlight w:val="none"/>
                <w:lang w:val="en-US" w:eastAsia="zh-CN"/>
              </w:rPr>
              <w:t>t/a</w:t>
            </w:r>
            <w:r>
              <w:rPr>
                <w:rFonts w:hint="eastAsia" w:ascii="Times New Roman" w:hAnsi="Times New Roman" w:eastAsia="宋体" w:cs="Times New Roman"/>
                <w:bCs/>
                <w:color w:val="auto"/>
                <w:sz w:val="24"/>
                <w:highlight w:val="none"/>
                <w:lang w:val="en-US" w:eastAsia="zh-CN"/>
              </w:rPr>
              <w:t>。废润滑油属于《国家危险废物名录》（</w:t>
            </w:r>
            <w:r>
              <w:rPr>
                <w:rFonts w:hint="default" w:ascii="Times New Roman" w:hAnsi="Times New Roman" w:eastAsia="宋体" w:cs="Times New Roman"/>
                <w:bCs/>
                <w:color w:val="auto"/>
                <w:sz w:val="24"/>
                <w:highlight w:val="none"/>
                <w:lang w:val="en-US" w:eastAsia="zh-CN"/>
              </w:rPr>
              <w:t>2025</w:t>
            </w:r>
            <w:r>
              <w:rPr>
                <w:rFonts w:hint="eastAsia" w:ascii="Times New Roman" w:hAnsi="Times New Roman" w:eastAsia="宋体" w:cs="Times New Roman"/>
                <w:bCs/>
                <w:color w:val="auto"/>
                <w:sz w:val="24"/>
                <w:highlight w:val="none"/>
                <w:lang w:val="en-US" w:eastAsia="zh-CN"/>
              </w:rPr>
              <w:t>年版）中的</w:t>
            </w:r>
            <w:r>
              <w:rPr>
                <w:rFonts w:hint="default" w:ascii="Times New Roman" w:hAnsi="Times New Roman" w:eastAsia="宋体" w:cs="Times New Roman"/>
                <w:bCs/>
                <w:color w:val="auto"/>
                <w:sz w:val="24"/>
                <w:highlight w:val="none"/>
                <w:lang w:val="en-US" w:eastAsia="zh-CN"/>
              </w:rPr>
              <w:t>HW08</w:t>
            </w:r>
            <w:r>
              <w:rPr>
                <w:rFonts w:hint="eastAsia" w:ascii="Times New Roman" w:hAnsi="Times New Roman" w:eastAsia="宋体" w:cs="Times New Roman"/>
                <w:bCs/>
                <w:color w:val="auto"/>
                <w:sz w:val="24"/>
                <w:highlight w:val="none"/>
                <w:lang w:val="en-US" w:eastAsia="zh-CN"/>
              </w:rPr>
              <w:t>类危废（</w:t>
            </w:r>
            <w:r>
              <w:rPr>
                <w:rFonts w:hint="default" w:ascii="Times New Roman" w:hAnsi="Times New Roman" w:eastAsia="宋体" w:cs="Times New Roman"/>
                <w:bCs/>
                <w:color w:val="auto"/>
                <w:sz w:val="24"/>
                <w:highlight w:val="none"/>
                <w:lang w:val="en-US" w:eastAsia="zh-CN"/>
              </w:rPr>
              <w:t>900-217-08</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HW08</w:t>
            </w:r>
            <w:r>
              <w:rPr>
                <w:rFonts w:hint="eastAsia" w:ascii="Times New Roman" w:hAnsi="Times New Roman" w:eastAsia="宋体" w:cs="Times New Roman"/>
                <w:bCs/>
                <w:color w:val="auto"/>
                <w:sz w:val="24"/>
                <w:highlight w:val="none"/>
                <w:lang w:val="en-US" w:eastAsia="zh-CN"/>
              </w:rPr>
              <w:t>废矿物油与含矿物油废物：</w:t>
            </w:r>
            <w:r>
              <w:rPr>
                <w:rFonts w:hint="default" w:ascii="Times New Roman" w:hAnsi="Times New Roman" w:eastAsia="宋体" w:cs="Times New Roman"/>
                <w:bCs/>
                <w:color w:val="auto"/>
                <w:sz w:val="24"/>
                <w:highlight w:val="none"/>
                <w:lang w:val="en-US" w:eastAsia="zh-CN"/>
              </w:rPr>
              <w:t>900-21</w:t>
            </w:r>
            <w:r>
              <w:rPr>
                <w:rFonts w:hint="eastAsia"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lang w:val="en-US" w:eastAsia="zh-CN"/>
              </w:rPr>
              <w:t>-08</w:t>
            </w:r>
            <w:r>
              <w:rPr>
                <w:rFonts w:hint="eastAsia" w:ascii="Times New Roman" w:hAnsi="Times New Roman" w:eastAsia="宋体" w:cs="Times New Roman"/>
                <w:bCs/>
                <w:color w:val="auto"/>
                <w:sz w:val="24"/>
                <w:highlight w:val="none"/>
                <w:lang w:val="en-US" w:eastAsia="zh-CN"/>
              </w:rPr>
              <w:t>车辆、轮船及其它机械维修过程中产生的废发动机油、制动器油、自动变速器油、齿轮油等废润滑油”。废机油统一收集后暂存于危险废物贮存库，后交由有资质单位进行处置。</w:t>
            </w:r>
          </w:p>
          <w:p w14:paraId="2446A1AC">
            <w:pPr>
              <w:widowControl/>
              <w:spacing w:line="360" w:lineRule="auto"/>
              <w:ind w:firstLine="480" w:firstLineChars="200"/>
              <w:jc w:val="left"/>
              <w:rPr>
                <w:rFonts w:hint="eastAsia" w:ascii="Times New Roman" w:hAnsi="Times New Roman" w:eastAsia="宋体" w:cs="Times New Roman"/>
                <w:strike w:val="0"/>
                <w:dstrike w:val="0"/>
                <w:color w:val="auto"/>
                <w:sz w:val="24"/>
                <w:lang w:val="en-US" w:eastAsia="zh-CN"/>
              </w:rPr>
            </w:pPr>
            <w:r>
              <w:rPr>
                <w:rFonts w:hint="default" w:ascii="Times New Roman" w:hAnsi="Times New Roman" w:eastAsia="宋体" w:cs="Times New Roman"/>
                <w:strike w:val="0"/>
                <w:dstrike w:val="0"/>
                <w:color w:val="auto"/>
                <w:sz w:val="24"/>
                <w:lang w:val="en-US" w:eastAsia="zh-CN"/>
              </w:rPr>
              <w:t>③</w:t>
            </w:r>
            <w:r>
              <w:rPr>
                <w:rFonts w:hint="eastAsia" w:ascii="Times New Roman" w:hAnsi="Times New Roman" w:eastAsia="宋体" w:cs="Times New Roman"/>
                <w:strike w:val="0"/>
                <w:dstrike w:val="0"/>
                <w:color w:val="auto"/>
                <w:sz w:val="24"/>
                <w:lang w:val="en-US" w:eastAsia="zh-CN"/>
              </w:rPr>
              <w:t>除油废液和钝化废液</w:t>
            </w:r>
          </w:p>
          <w:p w14:paraId="5AD8999C">
            <w:pPr>
              <w:widowControl/>
              <w:spacing w:line="360" w:lineRule="auto"/>
              <w:ind w:firstLine="480" w:firstLineChars="200"/>
              <w:jc w:val="left"/>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strike w:val="0"/>
                <w:dstrike w:val="0"/>
                <w:color w:val="auto"/>
                <w:sz w:val="24"/>
                <w:lang w:val="en-US" w:eastAsia="zh-CN"/>
              </w:rPr>
              <w:t>项目除油以及钝化年用水量为0.96t，损耗按照5%计，则每年产生的除油废液和钝化废液总计0.912t。除油废液（0.48t/a）</w:t>
            </w:r>
            <w:r>
              <w:rPr>
                <w:rFonts w:hint="eastAsia" w:ascii="Times New Roman" w:hAnsi="Times New Roman" w:eastAsia="宋体" w:cs="Times New Roman"/>
                <w:bCs/>
                <w:color w:val="auto"/>
                <w:sz w:val="24"/>
                <w:highlight w:val="none"/>
                <w:lang w:val="en-US" w:eastAsia="zh-CN"/>
              </w:rPr>
              <w:t>属于《国家危险废物名录》（</w:t>
            </w:r>
            <w:r>
              <w:rPr>
                <w:rFonts w:hint="default" w:ascii="Times New Roman" w:hAnsi="Times New Roman" w:eastAsia="宋体" w:cs="Times New Roman"/>
                <w:bCs/>
                <w:color w:val="auto"/>
                <w:sz w:val="24"/>
                <w:highlight w:val="none"/>
                <w:lang w:val="en-US" w:eastAsia="zh-CN"/>
              </w:rPr>
              <w:t>2025</w:t>
            </w:r>
            <w:r>
              <w:rPr>
                <w:rFonts w:hint="eastAsia" w:ascii="Times New Roman" w:hAnsi="Times New Roman" w:eastAsia="宋体" w:cs="Times New Roman"/>
                <w:bCs/>
                <w:color w:val="auto"/>
                <w:sz w:val="24"/>
                <w:highlight w:val="none"/>
                <w:lang w:val="en-US" w:eastAsia="zh-CN"/>
              </w:rPr>
              <w:t>年版）中的HW17 表面处理废物（336-063-17）：使用酸、碱或有机溶剂进行清洗、剥离、脱脂、除油、除蜡等过程中产生的废液。钝化废液</w:t>
            </w:r>
            <w:r>
              <w:rPr>
                <w:rFonts w:hint="eastAsia" w:ascii="Times New Roman" w:hAnsi="Times New Roman" w:eastAsia="宋体" w:cs="Times New Roman"/>
                <w:strike w:val="0"/>
                <w:dstrike w:val="0"/>
                <w:color w:val="auto"/>
                <w:sz w:val="24"/>
                <w:lang w:val="en-US" w:eastAsia="zh-CN"/>
              </w:rPr>
              <w:t>（0.48t/a）</w:t>
            </w:r>
            <w:r>
              <w:rPr>
                <w:rFonts w:hint="eastAsia" w:ascii="Times New Roman" w:hAnsi="Times New Roman" w:eastAsia="宋体" w:cs="Times New Roman"/>
                <w:bCs/>
                <w:color w:val="auto"/>
                <w:sz w:val="24"/>
                <w:highlight w:val="none"/>
                <w:lang w:val="en-US" w:eastAsia="zh-CN"/>
              </w:rPr>
              <w:t>属于《国家危险废物名录》（</w:t>
            </w:r>
            <w:r>
              <w:rPr>
                <w:rFonts w:hint="default" w:ascii="Times New Roman" w:hAnsi="Times New Roman" w:eastAsia="宋体" w:cs="Times New Roman"/>
                <w:bCs/>
                <w:color w:val="auto"/>
                <w:sz w:val="24"/>
                <w:highlight w:val="none"/>
                <w:lang w:val="en-US" w:eastAsia="zh-CN"/>
              </w:rPr>
              <w:t>2025</w:t>
            </w:r>
            <w:r>
              <w:rPr>
                <w:rFonts w:hint="eastAsia" w:ascii="Times New Roman" w:hAnsi="Times New Roman" w:eastAsia="宋体" w:cs="Times New Roman"/>
                <w:bCs/>
                <w:color w:val="auto"/>
                <w:sz w:val="24"/>
                <w:highlight w:val="none"/>
                <w:lang w:val="en-US" w:eastAsia="zh-CN"/>
              </w:rPr>
              <w:t>年版）中的HW17 表面处理废物（336-064-17）：使用钝化、防腐、防锈液进行表面处理过程中产生的废液。统一收集后暂存于危险废物贮存库，后交由有资质单位进行处置。</w:t>
            </w:r>
          </w:p>
          <w:p w14:paraId="62F05790">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strike w:val="0"/>
                <w:dstrike w:val="0"/>
                <w:color w:val="auto"/>
                <w:kern w:val="2"/>
                <w:sz w:val="24"/>
                <w:szCs w:val="24"/>
                <w:lang w:val="en-US" w:eastAsia="zh-CN" w:bidi="ar-SA"/>
              </w:rPr>
            </w:pPr>
            <w:r>
              <w:rPr>
                <w:rFonts w:hint="eastAsia" w:ascii="Times New Roman" w:hAnsi="Times New Roman" w:eastAsia="宋体" w:cs="Times New Roman"/>
                <w:strike w:val="0"/>
                <w:dstrike w:val="0"/>
                <w:color w:val="auto"/>
                <w:kern w:val="2"/>
                <w:sz w:val="24"/>
                <w:szCs w:val="24"/>
                <w:lang w:val="en-US" w:eastAsia="zh-CN" w:bidi="ar-SA"/>
              </w:rPr>
              <w:t>④废水处理污泥</w:t>
            </w:r>
          </w:p>
          <w:p w14:paraId="40E8B54E">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strike w:val="0"/>
                <w:dstrike w:val="0"/>
                <w:color w:val="auto"/>
                <w:kern w:val="2"/>
                <w:sz w:val="24"/>
                <w:szCs w:val="24"/>
                <w:lang w:val="en-US" w:eastAsia="zh-CN" w:bidi="ar-SA"/>
              </w:rPr>
            </w:pPr>
            <w:r>
              <w:rPr>
                <w:rFonts w:hint="eastAsia" w:ascii="Times New Roman" w:hAnsi="Times New Roman" w:eastAsia="宋体" w:cs="Times New Roman"/>
                <w:strike w:val="0"/>
                <w:dstrike w:val="0"/>
                <w:color w:val="auto"/>
                <w:kern w:val="2"/>
                <w:sz w:val="24"/>
                <w:szCs w:val="24"/>
                <w:lang w:val="en-US" w:eastAsia="zh-CN" w:bidi="ar-SA"/>
              </w:rPr>
              <w:t>项目除油前清洗水、除油后清洗水、钝化后清洗水废水处理设施会产生污泥，根据《第二次全国污染源普查工业污染源产排污系数手册》（试用版）机械行业系数手册，本项目年使用絮凝剂约52kg/a、污泥产生率4.53t/t-絮凝剂，计算得出污泥产生量0.236t/a，属于危险废物，危废类别为HW17，委托有资质单位处置。</w:t>
            </w:r>
          </w:p>
          <w:p w14:paraId="1B48FDC4">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strike w:val="0"/>
                <w:dstrike w:val="0"/>
                <w:color w:val="auto"/>
                <w:kern w:val="2"/>
                <w:sz w:val="24"/>
                <w:szCs w:val="24"/>
                <w:lang w:val="en-US" w:eastAsia="zh-CN" w:bidi="ar-SA"/>
              </w:rPr>
            </w:pPr>
            <w:r>
              <w:rPr>
                <w:rFonts w:hint="eastAsia" w:ascii="Times New Roman" w:hAnsi="Times New Roman" w:eastAsia="宋体" w:cs="Times New Roman"/>
                <w:strike w:val="0"/>
                <w:dstrike w:val="0"/>
                <w:color w:val="auto"/>
                <w:kern w:val="2"/>
                <w:sz w:val="24"/>
                <w:szCs w:val="24"/>
                <w:lang w:val="en-US" w:eastAsia="zh-CN" w:bidi="ar-SA"/>
              </w:rPr>
              <w:t>⑤</w:t>
            </w:r>
            <w:r>
              <w:rPr>
                <w:rFonts w:hint="eastAsia" w:ascii="Times New Roman" w:hAnsi="Times New Roman" w:eastAsia="宋体" w:cs="Times New Roman"/>
                <w:b w:val="0"/>
                <w:bCs w:val="0"/>
                <w:color w:val="auto"/>
                <w:spacing w:val="0"/>
                <w:position w:val="0"/>
                <w:sz w:val="24"/>
                <w:szCs w:val="24"/>
                <w:highlight w:val="none"/>
                <w:u w:val="none"/>
                <w:lang w:val="en-US" w:eastAsia="zh-CN"/>
              </w:rPr>
              <w:t>槽渣</w:t>
            </w:r>
          </w:p>
          <w:p w14:paraId="3874AEBF">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strike w:val="0"/>
                <w:dstrike w:val="0"/>
                <w:color w:val="auto"/>
                <w:kern w:val="2"/>
                <w:sz w:val="24"/>
                <w:szCs w:val="24"/>
                <w:lang w:val="en-US" w:eastAsia="zh-CN" w:bidi="ar-SA"/>
              </w:rPr>
            </w:pPr>
            <w:r>
              <w:rPr>
                <w:rFonts w:hint="eastAsia" w:ascii="Times New Roman" w:hAnsi="Times New Roman" w:eastAsia="宋体" w:cs="Times New Roman"/>
                <w:strike w:val="0"/>
                <w:dstrike w:val="0"/>
                <w:color w:val="auto"/>
                <w:kern w:val="2"/>
                <w:sz w:val="24"/>
                <w:szCs w:val="24"/>
                <w:lang w:val="en-US" w:eastAsia="zh-CN" w:bidi="ar-SA"/>
              </w:rPr>
              <w:t>参考《排放源统计调查产排污核算方法和系数手册》（生态环境部 2021.6.11）电镀行业系数手册，“其他电镀生产线”危险废物槽渣产生量约0.002千克/平方米-产品，项目脱脂处理总量约800000平米/年，则槽渣（含槽液经滤网过滤产生的残渣）产生量约1.6t/a。</w:t>
            </w:r>
          </w:p>
          <w:p w14:paraId="62599D85">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strike w:val="0"/>
                <w:dstrike w:val="0"/>
                <w:color w:val="auto"/>
                <w:kern w:val="2"/>
                <w:sz w:val="24"/>
                <w:szCs w:val="24"/>
                <w:lang w:val="en-US" w:eastAsia="zh-CN" w:bidi="ar-SA"/>
              </w:rPr>
            </w:pPr>
            <w:r>
              <w:rPr>
                <w:rFonts w:hint="eastAsia" w:ascii="Times New Roman" w:hAnsi="Times New Roman" w:eastAsia="宋体" w:cs="Times New Roman"/>
                <w:strike w:val="0"/>
                <w:dstrike w:val="0"/>
                <w:color w:val="auto"/>
                <w:kern w:val="2"/>
                <w:sz w:val="24"/>
                <w:szCs w:val="24"/>
                <w:lang w:val="en-US" w:eastAsia="zh-CN" w:bidi="ar-SA"/>
              </w:rPr>
              <w:t>根据《国家危险废物名录》（2025年版），项目槽渣属于危险废物，为“HW17表面处理废物：使用除油、除锈、酸洗、磷化、抛光、热喷涂、化学转化膜等处理剂进行金属表面处理过程中产生的废槽液、槽渣和废水处理污泥。”，废物代码为336-062-17。经收集后暂存于危险废物贮存间，定期交由委托有危废资质的单位回收处理。</w:t>
            </w:r>
          </w:p>
          <w:p w14:paraId="13C371A6">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b w:val="0"/>
                <w:bCs w:val="0"/>
                <w:color w:val="auto"/>
                <w:spacing w:val="0"/>
                <w:position w:val="0"/>
                <w:sz w:val="24"/>
                <w:szCs w:val="24"/>
                <w:highlight w:val="none"/>
                <w:u w:val="none"/>
                <w:lang w:val="en-US" w:eastAsia="zh-CN"/>
              </w:rPr>
            </w:pPr>
            <w:r>
              <w:rPr>
                <w:rFonts w:hint="eastAsia" w:ascii="微软雅黑" w:hAnsi="微软雅黑" w:eastAsia="微软雅黑" w:cs="微软雅黑"/>
                <w:strike w:val="0"/>
                <w:dstrike w:val="0"/>
                <w:color w:val="auto"/>
                <w:kern w:val="2"/>
                <w:sz w:val="24"/>
                <w:szCs w:val="24"/>
                <w:lang w:val="en-US" w:eastAsia="zh-CN" w:bidi="ar-SA"/>
              </w:rPr>
              <w:t>⑥</w:t>
            </w:r>
            <w:r>
              <w:rPr>
                <w:rFonts w:hint="eastAsia" w:ascii="Times New Roman" w:hAnsi="Times New Roman" w:eastAsia="宋体" w:cs="Times New Roman"/>
                <w:b w:val="0"/>
                <w:bCs w:val="0"/>
                <w:color w:val="auto"/>
                <w:spacing w:val="0"/>
                <w:position w:val="0"/>
                <w:sz w:val="24"/>
                <w:szCs w:val="24"/>
                <w:highlight w:val="none"/>
                <w:u w:val="none"/>
                <w:lang w:val="en-US" w:eastAsia="zh-CN"/>
              </w:rPr>
              <w:t>滤筒滤芯</w:t>
            </w:r>
          </w:p>
          <w:p w14:paraId="0F035BFB">
            <w:pPr>
              <w:pStyle w:val="3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b w:val="0"/>
                <w:bCs w:val="0"/>
                <w:color w:val="auto"/>
                <w:spacing w:val="0"/>
                <w:position w:val="0"/>
                <w:sz w:val="24"/>
                <w:szCs w:val="24"/>
                <w:highlight w:val="none"/>
                <w:u w:val="none"/>
                <w:lang w:val="en-US" w:eastAsia="zh-CN"/>
              </w:rPr>
            </w:pPr>
            <w:r>
              <w:rPr>
                <w:rFonts w:hint="eastAsia" w:ascii="Times New Roman" w:hAnsi="Times New Roman" w:eastAsia="宋体" w:cs="Times New Roman"/>
                <w:b w:val="0"/>
                <w:bCs w:val="0"/>
                <w:color w:val="auto"/>
                <w:spacing w:val="0"/>
                <w:position w:val="0"/>
                <w:sz w:val="24"/>
                <w:szCs w:val="24"/>
                <w:highlight w:val="none"/>
                <w:u w:val="none"/>
                <w:lang w:val="en-US" w:eastAsia="zh-CN"/>
              </w:rPr>
              <w:t>项目喷粉废气设滤芯回收装置回收塑粉，需定期更换，按1个季度更换一次计，每次产生滤芯约为0.5t；项目采用移动除尘器处理粉碎过程中产生的颗粒物时，需定期更换滤芯，根据建设单位提供的信息，其产生量约0.01t/a，则滤芯年产生量为2.01t。滤芯属于《国家危险废物名录》（2025年版）中的HW49其他废物（含有或沾染毒性、感染性危险废物的废弃包装物、容器、过滤吸附介质），废物代码为900-041-49。经收集后暂存于危险废物贮存间，定期交由委托有危废资质的单位回收处理。</w:t>
            </w:r>
          </w:p>
          <w:p w14:paraId="57DCA33C">
            <w:pPr>
              <w:keepNext w:val="0"/>
              <w:pageBreakBefore w:val="0"/>
              <w:kinsoku/>
              <w:wordWrap/>
              <w:overflowPunct/>
              <w:topLinePunct w:val="0"/>
              <w:bidi w:val="0"/>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综上分析，项目运营期各类固体废物产生及处置情况详见表</w:t>
            </w:r>
            <w:r>
              <w:rPr>
                <w:rFonts w:hint="eastAsia" w:ascii="Times New Roman" w:hAnsi="Times New Roman" w:eastAsia="宋体" w:cs="Times New Roman"/>
                <w:bCs/>
                <w:color w:val="auto"/>
                <w:sz w:val="24"/>
                <w:highlight w:val="none"/>
                <w:lang w:val="en-US" w:eastAsia="zh-CN"/>
              </w:rPr>
              <w:t>4.</w:t>
            </w:r>
            <w:r>
              <w:rPr>
                <w:rFonts w:hint="eastAsia" w:eastAsia="宋体" w:cs="Times New Roman"/>
                <w:bCs/>
                <w:color w:val="auto"/>
                <w:sz w:val="24"/>
                <w:highlight w:val="none"/>
                <w:lang w:val="en-US" w:eastAsia="zh-CN"/>
              </w:rPr>
              <w:t>4</w:t>
            </w:r>
            <w:r>
              <w:rPr>
                <w:rFonts w:hint="eastAsia" w:ascii="Times New Roman" w:hAnsi="Times New Roman" w:eastAsia="宋体" w:cs="Times New Roman"/>
                <w:bCs/>
                <w:color w:val="auto"/>
                <w:sz w:val="24"/>
                <w:highlight w:val="none"/>
                <w:lang w:val="en-US" w:eastAsia="zh-CN"/>
              </w:rPr>
              <w:t>-1</w:t>
            </w:r>
            <w:r>
              <w:rPr>
                <w:rFonts w:ascii="Times New Roman" w:hAnsi="Times New Roman" w:eastAsia="宋体" w:cs="Times New Roman"/>
                <w:bCs/>
                <w:color w:val="auto"/>
                <w:sz w:val="24"/>
                <w:highlight w:val="none"/>
              </w:rPr>
              <w:t>。</w:t>
            </w:r>
          </w:p>
          <w:p w14:paraId="56A050A5">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Times New Roman" w:cs="Times New Roman"/>
                <w:b/>
                <w:bCs/>
                <w:color w:val="auto"/>
                <w:sz w:val="24"/>
                <w:highlight w:val="none"/>
                <w:lang w:val="zh-CN"/>
              </w:rPr>
              <w:t>表</w:t>
            </w:r>
            <w:r>
              <w:rPr>
                <w:rFonts w:hint="eastAsia" w:ascii="Times New Roman" w:hAnsi="Times New Roman" w:cs="Times New Roman"/>
                <w:b/>
                <w:bCs/>
                <w:color w:val="auto"/>
                <w:sz w:val="24"/>
                <w:highlight w:val="none"/>
                <w:lang w:val="en-US" w:eastAsia="zh-CN"/>
              </w:rPr>
              <w:t>4.</w:t>
            </w:r>
            <w:r>
              <w:rPr>
                <w:rFonts w:hint="eastAsia" w:cs="Times New Roman"/>
                <w:b/>
                <w:bCs/>
                <w:color w:val="auto"/>
                <w:sz w:val="24"/>
                <w:highlight w:val="none"/>
                <w:lang w:val="en-US" w:eastAsia="zh-CN"/>
              </w:rPr>
              <w:t>4</w:t>
            </w:r>
            <w:r>
              <w:rPr>
                <w:rFonts w:hint="eastAsia" w:ascii="Times New Roman" w:hAnsi="Times New Roman" w:cs="Times New Roman"/>
                <w:b/>
                <w:bCs/>
                <w:color w:val="auto"/>
                <w:sz w:val="24"/>
                <w:highlight w:val="none"/>
                <w:lang w:val="en-US" w:eastAsia="zh-CN"/>
              </w:rPr>
              <w:t>-1</w:t>
            </w:r>
            <w:r>
              <w:rPr>
                <w:rFonts w:hint="default" w:ascii="Times New Roman" w:hAnsi="Times New Roman"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lang w:val="en-US" w:eastAsia="zh-CN"/>
              </w:rPr>
              <w:t xml:space="preserve"> 项目</w:t>
            </w:r>
            <w:r>
              <w:rPr>
                <w:rFonts w:hint="default" w:ascii="Times New Roman" w:hAnsi="Times New Roman" w:cs="Times New Roman"/>
                <w:b/>
                <w:bCs/>
                <w:color w:val="auto"/>
                <w:sz w:val="24"/>
                <w:highlight w:val="none"/>
                <w:lang w:val="en-US" w:eastAsia="zh-CN"/>
              </w:rPr>
              <w:t>固废产生及处置</w:t>
            </w:r>
            <w:r>
              <w:rPr>
                <w:rFonts w:hint="default" w:ascii="Times New Roman" w:hAnsi="Times New Roman" w:eastAsia="宋体" w:cs="Times New Roman"/>
                <w:b/>
                <w:bCs/>
                <w:color w:val="auto"/>
                <w:sz w:val="24"/>
                <w:highlight w:val="none"/>
                <w:lang w:val="en-US" w:eastAsia="zh-CN"/>
              </w:rPr>
              <w:t>情况汇总表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2"/>
              <w:gridCol w:w="512"/>
              <w:gridCol w:w="790"/>
              <w:gridCol w:w="969"/>
              <w:gridCol w:w="1313"/>
              <w:gridCol w:w="1013"/>
              <w:gridCol w:w="705"/>
              <w:gridCol w:w="460"/>
              <w:gridCol w:w="722"/>
              <w:gridCol w:w="722"/>
              <w:gridCol w:w="1202"/>
            </w:tblGrid>
            <w:tr w14:paraId="0428B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2" w:hRule="atLeast"/>
              </w:trPr>
              <w:tc>
                <w:tcPr>
                  <w:tcW w:w="0" w:type="auto"/>
                  <w:tcBorders>
                    <w:tl2br w:val="nil"/>
                    <w:tr2bl w:val="nil"/>
                  </w:tcBorders>
                  <w:noWrap w:val="0"/>
                  <w:vAlign w:val="center"/>
                </w:tcPr>
                <w:p w14:paraId="1B23CB8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0" w:type="auto"/>
                  <w:tcBorders>
                    <w:tl2br w:val="nil"/>
                    <w:tr2bl w:val="nil"/>
                  </w:tcBorders>
                  <w:noWrap w:val="0"/>
                  <w:vAlign w:val="center"/>
                </w:tcPr>
                <w:p w14:paraId="0462FE1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分类</w:t>
                  </w:r>
                </w:p>
              </w:tc>
              <w:tc>
                <w:tcPr>
                  <w:tcW w:w="0" w:type="auto"/>
                  <w:tcBorders>
                    <w:tl2br w:val="nil"/>
                    <w:tr2bl w:val="nil"/>
                  </w:tcBorders>
                  <w:noWrap w:val="0"/>
                  <w:vAlign w:val="center"/>
                </w:tcPr>
                <w:p w14:paraId="5376D5E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固废名称</w:t>
                  </w:r>
                </w:p>
              </w:tc>
              <w:tc>
                <w:tcPr>
                  <w:tcW w:w="0" w:type="auto"/>
                  <w:tcBorders>
                    <w:tl2br w:val="nil"/>
                    <w:tr2bl w:val="nil"/>
                  </w:tcBorders>
                  <w:noWrap w:val="0"/>
                  <w:vAlign w:val="center"/>
                </w:tcPr>
                <w:p w14:paraId="710F232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类别</w:t>
                  </w:r>
                </w:p>
              </w:tc>
              <w:tc>
                <w:tcPr>
                  <w:tcW w:w="0" w:type="auto"/>
                  <w:tcBorders>
                    <w:tl2br w:val="nil"/>
                    <w:tr2bl w:val="nil"/>
                  </w:tcBorders>
                  <w:noWrap w:val="0"/>
                  <w:vAlign w:val="center"/>
                </w:tcPr>
                <w:p w14:paraId="739388F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废物代码</w:t>
                  </w:r>
                </w:p>
              </w:tc>
              <w:tc>
                <w:tcPr>
                  <w:tcW w:w="0" w:type="auto"/>
                  <w:tcBorders>
                    <w:tl2br w:val="nil"/>
                    <w:tr2bl w:val="nil"/>
                  </w:tcBorders>
                  <w:noWrap w:val="0"/>
                  <w:vAlign w:val="center"/>
                </w:tcPr>
                <w:p w14:paraId="73797B03">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产生量t/a</w:t>
                  </w:r>
                </w:p>
              </w:tc>
              <w:tc>
                <w:tcPr>
                  <w:tcW w:w="0" w:type="auto"/>
                  <w:tcBorders>
                    <w:tl2br w:val="nil"/>
                    <w:tr2bl w:val="nil"/>
                  </w:tcBorders>
                  <w:noWrap w:val="0"/>
                  <w:vAlign w:val="center"/>
                </w:tcPr>
                <w:p w14:paraId="0DEC632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产生环节</w:t>
                  </w:r>
                </w:p>
              </w:tc>
              <w:tc>
                <w:tcPr>
                  <w:tcW w:w="0" w:type="auto"/>
                  <w:tcBorders>
                    <w:tl2br w:val="nil"/>
                    <w:tr2bl w:val="nil"/>
                  </w:tcBorders>
                  <w:noWrap w:val="0"/>
                  <w:vAlign w:val="center"/>
                </w:tcPr>
                <w:p w14:paraId="7F4D9AD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形态</w:t>
                  </w:r>
                </w:p>
              </w:tc>
              <w:tc>
                <w:tcPr>
                  <w:tcW w:w="0" w:type="auto"/>
                  <w:tcBorders>
                    <w:tl2br w:val="nil"/>
                    <w:tr2bl w:val="nil"/>
                  </w:tcBorders>
                  <w:noWrap w:val="0"/>
                  <w:vAlign w:val="center"/>
                </w:tcPr>
                <w:p w14:paraId="2505040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主要成分</w:t>
                  </w:r>
                </w:p>
              </w:tc>
              <w:tc>
                <w:tcPr>
                  <w:tcW w:w="0" w:type="auto"/>
                  <w:tcBorders>
                    <w:tl2br w:val="nil"/>
                    <w:tr2bl w:val="nil"/>
                  </w:tcBorders>
                  <w:noWrap w:val="0"/>
                  <w:vAlign w:val="center"/>
                </w:tcPr>
                <w:p w14:paraId="5E8D3A4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有害成分</w:t>
                  </w:r>
                </w:p>
              </w:tc>
              <w:tc>
                <w:tcPr>
                  <w:tcW w:w="0" w:type="auto"/>
                  <w:tcBorders>
                    <w:tl2br w:val="nil"/>
                    <w:tr2bl w:val="nil"/>
                  </w:tcBorders>
                  <w:noWrap w:val="0"/>
                  <w:vAlign w:val="center"/>
                </w:tcPr>
                <w:p w14:paraId="19CF130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处置方式</w:t>
                  </w:r>
                </w:p>
              </w:tc>
            </w:tr>
            <w:tr w14:paraId="1783C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11" w:hRule="atLeast"/>
              </w:trPr>
              <w:tc>
                <w:tcPr>
                  <w:tcW w:w="0" w:type="auto"/>
                  <w:tcBorders>
                    <w:tl2br w:val="nil"/>
                    <w:tr2bl w:val="nil"/>
                  </w:tcBorders>
                  <w:shd w:val="clear" w:color="auto" w:fill="auto"/>
                  <w:noWrap w:val="0"/>
                  <w:vAlign w:val="center"/>
                </w:tcPr>
                <w:p w14:paraId="58FB55B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0" w:type="auto"/>
                  <w:tcBorders>
                    <w:tl2br w:val="nil"/>
                    <w:tr2bl w:val="nil"/>
                  </w:tcBorders>
                  <w:shd w:val="clear" w:color="auto" w:fill="auto"/>
                  <w:noWrap w:val="0"/>
                  <w:vAlign w:val="center"/>
                </w:tcPr>
                <w:p w14:paraId="58EA358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生活垃圾</w:t>
                  </w:r>
                </w:p>
              </w:tc>
              <w:tc>
                <w:tcPr>
                  <w:tcW w:w="0" w:type="auto"/>
                  <w:tcBorders>
                    <w:tl2br w:val="nil"/>
                    <w:tr2bl w:val="nil"/>
                  </w:tcBorders>
                  <w:shd w:val="clear" w:color="auto" w:fill="auto"/>
                  <w:noWrap w:val="0"/>
                  <w:vAlign w:val="center"/>
                </w:tcPr>
                <w:p w14:paraId="59BDA49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办公、生活等</w:t>
                  </w:r>
                </w:p>
              </w:tc>
              <w:tc>
                <w:tcPr>
                  <w:tcW w:w="0" w:type="auto"/>
                  <w:tcBorders>
                    <w:tl2br w:val="nil"/>
                    <w:tr2bl w:val="nil"/>
                  </w:tcBorders>
                  <w:shd w:val="clear" w:color="auto" w:fill="auto"/>
                  <w:noWrap w:val="0"/>
                  <w:vAlign w:val="center"/>
                </w:tcPr>
                <w:p w14:paraId="0A9E7A7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SW64其他垃圾</w:t>
                  </w:r>
                </w:p>
              </w:tc>
              <w:tc>
                <w:tcPr>
                  <w:tcW w:w="0" w:type="auto"/>
                  <w:tcBorders>
                    <w:tl2br w:val="nil"/>
                    <w:tr2bl w:val="nil"/>
                  </w:tcBorders>
                  <w:shd w:val="clear" w:color="auto" w:fill="auto"/>
                  <w:noWrap w:val="0"/>
                  <w:vAlign w:val="center"/>
                </w:tcPr>
                <w:p w14:paraId="7F92A26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900-099-S64</w:t>
                  </w:r>
                </w:p>
              </w:tc>
              <w:tc>
                <w:tcPr>
                  <w:tcW w:w="0" w:type="auto"/>
                  <w:tcBorders>
                    <w:tl2br w:val="nil"/>
                    <w:tr2bl w:val="nil"/>
                  </w:tcBorders>
                  <w:shd w:val="clear" w:color="auto" w:fill="auto"/>
                  <w:noWrap w:val="0"/>
                  <w:vAlign w:val="center"/>
                </w:tcPr>
                <w:p w14:paraId="7E5A05E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10.5</w:t>
                  </w:r>
                </w:p>
              </w:tc>
              <w:tc>
                <w:tcPr>
                  <w:tcW w:w="0" w:type="auto"/>
                  <w:tcBorders>
                    <w:tl2br w:val="nil"/>
                    <w:tr2bl w:val="nil"/>
                  </w:tcBorders>
                  <w:shd w:val="clear" w:color="auto" w:fill="auto"/>
                  <w:noWrap w:val="0"/>
                  <w:vAlign w:val="center"/>
                </w:tcPr>
                <w:p w14:paraId="62C1BF3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职工日常生活</w:t>
                  </w:r>
                </w:p>
              </w:tc>
              <w:tc>
                <w:tcPr>
                  <w:tcW w:w="0" w:type="auto"/>
                  <w:tcBorders>
                    <w:tl2br w:val="nil"/>
                    <w:tr2bl w:val="nil"/>
                  </w:tcBorders>
                  <w:shd w:val="clear" w:color="auto" w:fill="auto"/>
                  <w:noWrap w:val="0"/>
                  <w:vAlign w:val="center"/>
                </w:tcPr>
                <w:p w14:paraId="728F21B4">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0" w:type="auto"/>
                  <w:tcBorders>
                    <w:tl2br w:val="nil"/>
                    <w:tr2bl w:val="nil"/>
                  </w:tcBorders>
                  <w:shd w:val="clear" w:color="auto" w:fill="auto"/>
                  <w:noWrap w:val="0"/>
                  <w:vAlign w:val="center"/>
                </w:tcPr>
                <w:p w14:paraId="1873824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0" w:type="auto"/>
                  <w:tcBorders>
                    <w:tl2br w:val="nil"/>
                    <w:tr2bl w:val="nil"/>
                  </w:tcBorders>
                  <w:shd w:val="clear" w:color="auto" w:fill="auto"/>
                  <w:noWrap w:val="0"/>
                  <w:vAlign w:val="center"/>
                </w:tcPr>
                <w:p w14:paraId="74BD79C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0" w:type="auto"/>
                  <w:tcBorders>
                    <w:tl2br w:val="nil"/>
                    <w:tr2bl w:val="nil"/>
                  </w:tcBorders>
                  <w:shd w:val="clear" w:color="auto" w:fill="auto"/>
                  <w:noWrap w:val="0"/>
                  <w:vAlign w:val="center"/>
                </w:tcPr>
                <w:p w14:paraId="777846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分类</w:t>
                  </w:r>
                  <w:r>
                    <w:rPr>
                      <w:rFonts w:hint="default" w:ascii="Times New Roman" w:hAnsi="Times New Roman" w:eastAsia="宋体" w:cs="Times New Roman"/>
                      <w:color w:val="auto"/>
                      <w:sz w:val="21"/>
                      <w:szCs w:val="21"/>
                      <w:highlight w:val="none"/>
                    </w:rPr>
                    <w:t>收集后交由环卫部门统一清运处置</w:t>
                  </w:r>
                </w:p>
              </w:tc>
            </w:tr>
            <w:tr w14:paraId="78F6E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0" w:type="auto"/>
                  <w:vMerge w:val="restart"/>
                  <w:tcBorders>
                    <w:tl2br w:val="nil"/>
                    <w:tr2bl w:val="nil"/>
                  </w:tcBorders>
                  <w:noWrap w:val="0"/>
                  <w:vAlign w:val="center"/>
                </w:tcPr>
                <w:p w14:paraId="2C2945A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0" w:type="auto"/>
                  <w:vMerge w:val="restart"/>
                  <w:tcBorders>
                    <w:tl2br w:val="nil"/>
                    <w:tr2bl w:val="nil"/>
                  </w:tcBorders>
                  <w:noWrap w:val="0"/>
                  <w:vAlign w:val="center"/>
                </w:tcPr>
                <w:p w14:paraId="7C424CC3">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一般工业固废</w:t>
                  </w:r>
                </w:p>
              </w:tc>
              <w:tc>
                <w:tcPr>
                  <w:tcW w:w="0" w:type="auto"/>
                  <w:tcBorders>
                    <w:tl2br w:val="nil"/>
                    <w:tr2bl w:val="nil"/>
                  </w:tcBorders>
                  <w:noWrap w:val="0"/>
                  <w:vAlign w:val="center"/>
                </w:tcPr>
                <w:p w14:paraId="0A8A252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lang w:val="en-US" w:eastAsia="zh-CN"/>
                    </w:rPr>
                    <w:t>塑料</w:t>
                  </w:r>
                  <w:r>
                    <w:rPr>
                      <w:rFonts w:hint="default" w:ascii="Times New Roman" w:hAnsi="Times New Roman" w:eastAsia="宋体" w:cs="Times New Roman"/>
                      <w:color w:val="000000"/>
                      <w:sz w:val="21"/>
                      <w:szCs w:val="21"/>
                    </w:rPr>
                    <w:t>边角料</w:t>
                  </w:r>
                  <w:r>
                    <w:rPr>
                      <w:rFonts w:hint="default" w:ascii="Times New Roman" w:hAnsi="Times New Roman" w:eastAsia="宋体" w:cs="Times New Roman"/>
                      <w:color w:val="000000"/>
                      <w:sz w:val="21"/>
                      <w:szCs w:val="21"/>
                      <w:lang w:val="en-US" w:eastAsia="zh-CN"/>
                    </w:rPr>
                    <w:t>及</w:t>
                  </w:r>
                  <w:r>
                    <w:rPr>
                      <w:rFonts w:hint="eastAsia" w:ascii="Times New Roman" w:hAnsi="Times New Roman" w:eastAsia="宋体" w:cs="Times New Roman"/>
                      <w:color w:val="000000"/>
                      <w:sz w:val="21"/>
                      <w:szCs w:val="21"/>
                      <w:lang w:val="en-US" w:eastAsia="zh-CN"/>
                    </w:rPr>
                    <w:t>不合格产品</w:t>
                  </w:r>
                </w:p>
              </w:tc>
              <w:tc>
                <w:tcPr>
                  <w:tcW w:w="0" w:type="auto"/>
                  <w:tcBorders>
                    <w:tl2br w:val="nil"/>
                    <w:tr2bl w:val="nil"/>
                  </w:tcBorders>
                  <w:noWrap w:val="0"/>
                  <w:vAlign w:val="center"/>
                </w:tcPr>
                <w:p w14:paraId="384E17D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SW17可再生类废物</w:t>
                  </w:r>
                </w:p>
              </w:tc>
              <w:tc>
                <w:tcPr>
                  <w:tcW w:w="0" w:type="auto"/>
                  <w:tcBorders>
                    <w:tl2br w:val="nil"/>
                    <w:tr2bl w:val="nil"/>
                  </w:tcBorders>
                  <w:noWrap w:val="0"/>
                  <w:vAlign w:val="center"/>
                </w:tcPr>
                <w:p w14:paraId="57C252F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900-003-S17</w:t>
                  </w:r>
                </w:p>
              </w:tc>
              <w:tc>
                <w:tcPr>
                  <w:tcW w:w="0" w:type="auto"/>
                  <w:tcBorders>
                    <w:tl2br w:val="nil"/>
                    <w:tr2bl w:val="nil"/>
                  </w:tcBorders>
                  <w:noWrap w:val="0"/>
                  <w:vAlign w:val="center"/>
                </w:tcPr>
                <w:p w14:paraId="6CE246D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5.2</w:t>
                  </w:r>
                </w:p>
              </w:tc>
              <w:tc>
                <w:tcPr>
                  <w:tcW w:w="0" w:type="auto"/>
                  <w:tcBorders>
                    <w:tl2br w:val="nil"/>
                    <w:tr2bl w:val="nil"/>
                  </w:tcBorders>
                  <w:noWrap w:val="0"/>
                  <w:vAlign w:val="center"/>
                </w:tcPr>
                <w:p w14:paraId="222AE3B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检验、修剪</w:t>
                  </w:r>
                </w:p>
              </w:tc>
              <w:tc>
                <w:tcPr>
                  <w:tcW w:w="0" w:type="auto"/>
                  <w:tcBorders>
                    <w:tl2br w:val="nil"/>
                    <w:tr2bl w:val="nil"/>
                  </w:tcBorders>
                  <w:noWrap w:val="0"/>
                  <w:vAlign w:val="center"/>
                </w:tcPr>
                <w:p w14:paraId="4116D39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0" w:type="auto"/>
                  <w:tcBorders>
                    <w:tl2br w:val="nil"/>
                    <w:tr2bl w:val="nil"/>
                  </w:tcBorders>
                  <w:noWrap w:val="0"/>
                  <w:vAlign w:val="center"/>
                </w:tcPr>
                <w:p w14:paraId="6F57522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废塑料</w:t>
                  </w:r>
                </w:p>
              </w:tc>
              <w:tc>
                <w:tcPr>
                  <w:tcW w:w="0" w:type="auto"/>
                  <w:tcBorders>
                    <w:tl2br w:val="nil"/>
                    <w:tr2bl w:val="nil"/>
                  </w:tcBorders>
                  <w:noWrap w:val="0"/>
                  <w:vAlign w:val="center"/>
                </w:tcPr>
                <w:p w14:paraId="4BB72D2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0" w:type="auto"/>
                  <w:tcBorders>
                    <w:tl2br w:val="nil"/>
                    <w:tr2bl w:val="nil"/>
                  </w:tcBorders>
                  <w:noWrap w:val="0"/>
                  <w:vAlign w:val="center"/>
                </w:tcPr>
                <w:p w14:paraId="4D15C50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收集后经破碎处理回用于生产</w:t>
                  </w:r>
                </w:p>
              </w:tc>
            </w:tr>
            <w:tr w14:paraId="5300E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16" w:hRule="atLeast"/>
              </w:trPr>
              <w:tc>
                <w:tcPr>
                  <w:tcW w:w="0" w:type="auto"/>
                  <w:vMerge w:val="continue"/>
                  <w:tcBorders>
                    <w:tl2br w:val="nil"/>
                    <w:tr2bl w:val="nil"/>
                  </w:tcBorders>
                  <w:noWrap w:val="0"/>
                  <w:vAlign w:val="center"/>
                </w:tcPr>
                <w:p w14:paraId="526D31A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20DB26C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3315938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废包装纸箱、包装袋</w:t>
                  </w:r>
                </w:p>
              </w:tc>
              <w:tc>
                <w:tcPr>
                  <w:tcW w:w="0" w:type="auto"/>
                  <w:tcBorders>
                    <w:tl2br w:val="nil"/>
                    <w:tr2bl w:val="nil"/>
                  </w:tcBorders>
                  <w:noWrap w:val="0"/>
                  <w:vAlign w:val="center"/>
                </w:tcPr>
                <w:p w14:paraId="7FA98AA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SW17可再生类废物</w:t>
                  </w:r>
                </w:p>
              </w:tc>
              <w:tc>
                <w:tcPr>
                  <w:tcW w:w="0" w:type="auto"/>
                  <w:tcBorders>
                    <w:tl2br w:val="nil"/>
                    <w:tr2bl w:val="nil"/>
                  </w:tcBorders>
                  <w:noWrap w:val="0"/>
                  <w:vAlign w:val="center"/>
                </w:tcPr>
                <w:p w14:paraId="67811B9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900-003-S17</w:t>
                  </w:r>
                </w:p>
              </w:tc>
              <w:tc>
                <w:tcPr>
                  <w:tcW w:w="0" w:type="auto"/>
                  <w:tcBorders>
                    <w:tl2br w:val="nil"/>
                    <w:tr2bl w:val="nil"/>
                  </w:tcBorders>
                  <w:noWrap w:val="0"/>
                  <w:vAlign w:val="center"/>
                </w:tcPr>
                <w:p w14:paraId="7EAE8A8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0.018</w:t>
                  </w:r>
                </w:p>
              </w:tc>
              <w:tc>
                <w:tcPr>
                  <w:tcW w:w="0" w:type="auto"/>
                  <w:tcBorders>
                    <w:tl2br w:val="nil"/>
                    <w:tr2bl w:val="nil"/>
                  </w:tcBorders>
                  <w:noWrap w:val="0"/>
                  <w:vAlign w:val="center"/>
                </w:tcPr>
                <w:p w14:paraId="743868A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配料、包装</w:t>
                  </w:r>
                </w:p>
              </w:tc>
              <w:tc>
                <w:tcPr>
                  <w:tcW w:w="0" w:type="auto"/>
                  <w:tcBorders>
                    <w:tl2br w:val="nil"/>
                    <w:tr2bl w:val="nil"/>
                  </w:tcBorders>
                  <w:noWrap w:val="0"/>
                  <w:vAlign w:val="center"/>
                </w:tcPr>
                <w:p w14:paraId="25509E64">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0" w:type="auto"/>
                  <w:tcBorders>
                    <w:tl2br w:val="nil"/>
                    <w:tr2bl w:val="nil"/>
                  </w:tcBorders>
                  <w:noWrap w:val="0"/>
                  <w:vAlign w:val="center"/>
                </w:tcPr>
                <w:p w14:paraId="5E02863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纸箱、塑料</w:t>
                  </w:r>
                </w:p>
              </w:tc>
              <w:tc>
                <w:tcPr>
                  <w:tcW w:w="0" w:type="auto"/>
                  <w:tcBorders>
                    <w:tl2br w:val="nil"/>
                    <w:tr2bl w:val="nil"/>
                  </w:tcBorders>
                  <w:noWrap w:val="0"/>
                  <w:vAlign w:val="center"/>
                </w:tcPr>
                <w:p w14:paraId="6A7FE21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0" w:type="auto"/>
                  <w:tcBorders>
                    <w:tl2br w:val="nil"/>
                    <w:tr2bl w:val="nil"/>
                  </w:tcBorders>
                  <w:noWrap w:val="0"/>
                  <w:vAlign w:val="center"/>
                </w:tcPr>
                <w:p w14:paraId="78644EB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经妥善分类收集后暂存于一般工业固废暂存间内，定期出售给回收企业综合利用</w:t>
                  </w:r>
                </w:p>
              </w:tc>
            </w:tr>
            <w:tr w14:paraId="5CDCC4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16" w:hRule="atLeast"/>
              </w:trPr>
              <w:tc>
                <w:tcPr>
                  <w:tcW w:w="0" w:type="auto"/>
                  <w:vMerge w:val="continue"/>
                  <w:tcBorders>
                    <w:tl2br w:val="nil"/>
                    <w:tr2bl w:val="nil"/>
                  </w:tcBorders>
                  <w:noWrap w:val="0"/>
                  <w:vAlign w:val="center"/>
                </w:tcPr>
                <w:p w14:paraId="3E7AD42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487706F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589153E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收集粉尘</w:t>
                  </w:r>
                </w:p>
              </w:tc>
              <w:tc>
                <w:tcPr>
                  <w:tcW w:w="0" w:type="auto"/>
                  <w:tcBorders>
                    <w:tl2br w:val="nil"/>
                    <w:tr2bl w:val="nil"/>
                  </w:tcBorders>
                  <w:noWrap w:val="0"/>
                  <w:vAlign w:val="center"/>
                </w:tcPr>
                <w:p w14:paraId="3EF8A98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SW17可再生类废物</w:t>
                  </w:r>
                </w:p>
              </w:tc>
              <w:tc>
                <w:tcPr>
                  <w:tcW w:w="0" w:type="auto"/>
                  <w:tcBorders>
                    <w:tl2br w:val="nil"/>
                    <w:tr2bl w:val="nil"/>
                  </w:tcBorders>
                  <w:noWrap w:val="0"/>
                  <w:vAlign w:val="center"/>
                </w:tcPr>
                <w:p w14:paraId="669764C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900-003-S17</w:t>
                  </w:r>
                </w:p>
              </w:tc>
              <w:tc>
                <w:tcPr>
                  <w:tcW w:w="0" w:type="auto"/>
                  <w:tcBorders>
                    <w:tl2br w:val="nil"/>
                    <w:tr2bl w:val="nil"/>
                  </w:tcBorders>
                  <w:noWrap w:val="0"/>
                  <w:vAlign w:val="center"/>
                </w:tcPr>
                <w:p w14:paraId="6D4FE5B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0.000048</w:t>
                  </w:r>
                </w:p>
              </w:tc>
              <w:tc>
                <w:tcPr>
                  <w:tcW w:w="0" w:type="auto"/>
                  <w:tcBorders>
                    <w:tl2br w:val="nil"/>
                    <w:tr2bl w:val="nil"/>
                  </w:tcBorders>
                  <w:noWrap w:val="0"/>
                  <w:vAlign w:val="center"/>
                </w:tcPr>
                <w:p w14:paraId="0BB38EC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移动除尘器</w:t>
                  </w:r>
                </w:p>
              </w:tc>
              <w:tc>
                <w:tcPr>
                  <w:tcW w:w="0" w:type="auto"/>
                  <w:tcBorders>
                    <w:tl2br w:val="nil"/>
                    <w:tr2bl w:val="nil"/>
                  </w:tcBorders>
                  <w:noWrap w:val="0"/>
                  <w:vAlign w:val="center"/>
                </w:tcPr>
                <w:p w14:paraId="3A051AB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0" w:type="auto"/>
                  <w:tcBorders>
                    <w:tl2br w:val="nil"/>
                    <w:tr2bl w:val="nil"/>
                  </w:tcBorders>
                  <w:noWrap w:val="0"/>
                  <w:vAlign w:val="center"/>
                </w:tcPr>
                <w:p w14:paraId="7FF51D6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0" w:type="auto"/>
                  <w:tcBorders>
                    <w:tl2br w:val="nil"/>
                    <w:tr2bl w:val="nil"/>
                  </w:tcBorders>
                  <w:noWrap w:val="0"/>
                  <w:vAlign w:val="center"/>
                </w:tcPr>
                <w:p w14:paraId="57718CD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0" w:type="auto"/>
                  <w:tcBorders>
                    <w:tl2br w:val="nil"/>
                    <w:tr2bl w:val="nil"/>
                  </w:tcBorders>
                  <w:noWrap w:val="0"/>
                  <w:vAlign w:val="center"/>
                </w:tcPr>
                <w:p w14:paraId="75BE0F1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经妥善分类收集后暂存于一般工业固废暂存间内，</w:t>
                  </w:r>
                  <w:r>
                    <w:rPr>
                      <w:rFonts w:hint="default" w:ascii="Times New Roman" w:hAnsi="Times New Roman" w:eastAsia="宋体" w:cs="Times New Roman"/>
                      <w:color w:val="auto"/>
                      <w:sz w:val="21"/>
                      <w:szCs w:val="21"/>
                      <w:highlight w:val="none"/>
                      <w:lang w:val="en-US" w:eastAsia="zh-CN"/>
                    </w:rPr>
                    <w:t>委托有资质的单位处置</w:t>
                  </w:r>
                </w:p>
              </w:tc>
            </w:tr>
            <w:tr w14:paraId="23177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1" w:hRule="atLeast"/>
              </w:trPr>
              <w:tc>
                <w:tcPr>
                  <w:tcW w:w="0" w:type="auto"/>
                  <w:vMerge w:val="restart"/>
                  <w:tcBorders>
                    <w:tl2br w:val="nil"/>
                    <w:tr2bl w:val="nil"/>
                  </w:tcBorders>
                  <w:noWrap w:val="0"/>
                  <w:vAlign w:val="center"/>
                </w:tcPr>
                <w:p w14:paraId="46905F9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0" w:type="auto"/>
                  <w:vMerge w:val="restart"/>
                  <w:tcBorders>
                    <w:tl2br w:val="nil"/>
                    <w:tr2bl w:val="nil"/>
                  </w:tcBorders>
                  <w:noWrap w:val="0"/>
                  <w:vAlign w:val="center"/>
                </w:tcPr>
                <w:p w14:paraId="621FFCD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0" w:type="auto"/>
                  <w:tcBorders>
                    <w:tl2br w:val="nil"/>
                    <w:tr2bl w:val="nil"/>
                  </w:tcBorders>
                  <w:noWrap w:val="0"/>
                  <w:vAlign w:val="center"/>
                </w:tcPr>
                <w:p w14:paraId="4786E36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c>
                <w:tcPr>
                  <w:tcW w:w="0" w:type="auto"/>
                  <w:tcBorders>
                    <w:tl2br w:val="nil"/>
                    <w:tr2bl w:val="nil"/>
                  </w:tcBorders>
                  <w:noWrap w:val="0"/>
                  <w:vAlign w:val="center"/>
                </w:tcPr>
                <w:p w14:paraId="6A61E09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HW49</w:t>
                  </w:r>
                  <w:r>
                    <w:rPr>
                      <w:rFonts w:hint="default" w:ascii="Times New Roman" w:hAnsi="Times New Roman" w:eastAsia="宋体" w:cs="Times New Roman"/>
                      <w:color w:val="auto"/>
                      <w:kern w:val="0"/>
                      <w:sz w:val="21"/>
                      <w:szCs w:val="21"/>
                      <w:lang w:val="en-US" w:eastAsia="zh-CN" w:bidi="ar"/>
                    </w:rPr>
                    <w:t>其他废物</w:t>
                  </w:r>
                </w:p>
              </w:tc>
              <w:tc>
                <w:tcPr>
                  <w:tcW w:w="0" w:type="auto"/>
                  <w:tcBorders>
                    <w:tl2br w:val="nil"/>
                    <w:tr2bl w:val="nil"/>
                  </w:tcBorders>
                  <w:noWrap w:val="0"/>
                  <w:vAlign w:val="center"/>
                </w:tcPr>
                <w:p w14:paraId="546FCD2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900-039-49</w:t>
                  </w:r>
                </w:p>
              </w:tc>
              <w:tc>
                <w:tcPr>
                  <w:tcW w:w="0" w:type="auto"/>
                  <w:tcBorders>
                    <w:tl2br w:val="nil"/>
                    <w:tr2bl w:val="nil"/>
                  </w:tcBorders>
                  <w:noWrap w:val="0"/>
                  <w:vAlign w:val="center"/>
                </w:tcPr>
                <w:p w14:paraId="5A365E8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0.2962</w:t>
                  </w:r>
                </w:p>
              </w:tc>
              <w:tc>
                <w:tcPr>
                  <w:tcW w:w="0" w:type="auto"/>
                  <w:tcBorders>
                    <w:tl2br w:val="nil"/>
                    <w:tr2bl w:val="nil"/>
                  </w:tcBorders>
                  <w:noWrap w:val="0"/>
                  <w:vAlign w:val="center"/>
                </w:tcPr>
                <w:p w14:paraId="321B9EB4">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废气处理</w:t>
                  </w:r>
                </w:p>
              </w:tc>
              <w:tc>
                <w:tcPr>
                  <w:tcW w:w="0" w:type="auto"/>
                  <w:tcBorders>
                    <w:tl2br w:val="nil"/>
                    <w:tr2bl w:val="nil"/>
                  </w:tcBorders>
                  <w:noWrap w:val="0"/>
                  <w:vAlign w:val="center"/>
                </w:tcPr>
                <w:p w14:paraId="719A441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0" w:type="auto"/>
                  <w:tcBorders>
                    <w:tl2br w:val="nil"/>
                    <w:tr2bl w:val="nil"/>
                  </w:tcBorders>
                  <w:noWrap w:val="0"/>
                  <w:vAlign w:val="center"/>
                </w:tcPr>
                <w:p w14:paraId="3AE4E82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活性炭、有机物</w:t>
                  </w:r>
                </w:p>
              </w:tc>
              <w:tc>
                <w:tcPr>
                  <w:tcW w:w="0" w:type="auto"/>
                  <w:tcBorders>
                    <w:tl2br w:val="nil"/>
                    <w:tr2bl w:val="nil"/>
                  </w:tcBorders>
                  <w:noWrap w:val="0"/>
                  <w:vAlign w:val="center"/>
                </w:tcPr>
                <w:p w14:paraId="5E06528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有机物</w:t>
                  </w:r>
                </w:p>
              </w:tc>
              <w:tc>
                <w:tcPr>
                  <w:tcW w:w="0" w:type="auto"/>
                  <w:vMerge w:val="restart"/>
                  <w:tcBorders>
                    <w:tl2br w:val="nil"/>
                    <w:tr2bl w:val="nil"/>
                  </w:tcBorders>
                  <w:noWrap w:val="0"/>
                  <w:vAlign w:val="center"/>
                </w:tcPr>
                <w:p w14:paraId="102AFC4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暂存于危废贮存库，定期委托有资质的单位处置</w:t>
                  </w:r>
                </w:p>
              </w:tc>
            </w:tr>
            <w:tr w14:paraId="7AC26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1042B66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5A13BC0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171A83F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废机油</w:t>
                  </w:r>
                </w:p>
              </w:tc>
              <w:tc>
                <w:tcPr>
                  <w:tcW w:w="0" w:type="auto"/>
                  <w:tcBorders>
                    <w:tl2br w:val="nil"/>
                    <w:tr2bl w:val="nil"/>
                  </w:tcBorders>
                  <w:noWrap w:val="0"/>
                  <w:vAlign w:val="center"/>
                </w:tcPr>
                <w:p w14:paraId="49C6AA5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HW08</w:t>
                  </w:r>
                  <w:r>
                    <w:rPr>
                      <w:rFonts w:hint="default" w:ascii="Times New Roman" w:hAnsi="Times New Roman" w:eastAsia="宋体" w:cs="Times New Roman"/>
                      <w:color w:val="auto"/>
                      <w:kern w:val="0"/>
                      <w:sz w:val="21"/>
                      <w:szCs w:val="21"/>
                      <w:lang w:val="en-US" w:eastAsia="zh-CN" w:bidi="ar"/>
                    </w:rPr>
                    <w:t>废矿物油与含矿物油废物</w:t>
                  </w:r>
                </w:p>
              </w:tc>
              <w:tc>
                <w:tcPr>
                  <w:tcW w:w="0" w:type="auto"/>
                  <w:tcBorders>
                    <w:tl2br w:val="nil"/>
                    <w:tr2bl w:val="nil"/>
                  </w:tcBorders>
                  <w:noWrap w:val="0"/>
                  <w:vAlign w:val="center"/>
                </w:tcPr>
                <w:p w14:paraId="038DDD3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900-217-08</w:t>
                  </w:r>
                </w:p>
                <w:p w14:paraId="321A686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0" w:type="auto"/>
                  <w:tcBorders>
                    <w:tl2br w:val="nil"/>
                    <w:tr2bl w:val="nil"/>
                  </w:tcBorders>
                  <w:noWrap w:val="0"/>
                  <w:vAlign w:val="center"/>
                </w:tcPr>
                <w:p w14:paraId="3553B42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0.12</w:t>
                  </w:r>
                </w:p>
              </w:tc>
              <w:tc>
                <w:tcPr>
                  <w:tcW w:w="0" w:type="auto"/>
                  <w:tcBorders>
                    <w:tl2br w:val="nil"/>
                    <w:tr2bl w:val="nil"/>
                  </w:tcBorders>
                  <w:noWrap w:val="0"/>
                  <w:vAlign w:val="center"/>
                </w:tcPr>
                <w:p w14:paraId="3B563A8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设备维护</w:t>
                  </w:r>
                </w:p>
              </w:tc>
              <w:tc>
                <w:tcPr>
                  <w:tcW w:w="0" w:type="auto"/>
                  <w:tcBorders>
                    <w:tl2br w:val="nil"/>
                    <w:tr2bl w:val="nil"/>
                  </w:tcBorders>
                  <w:noWrap w:val="0"/>
                  <w:vAlign w:val="center"/>
                </w:tcPr>
                <w:p w14:paraId="264107E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液态</w:t>
                  </w:r>
                </w:p>
              </w:tc>
              <w:tc>
                <w:tcPr>
                  <w:tcW w:w="0" w:type="auto"/>
                  <w:tcBorders>
                    <w:tl2br w:val="nil"/>
                    <w:tr2bl w:val="nil"/>
                  </w:tcBorders>
                  <w:noWrap w:val="0"/>
                  <w:vAlign w:val="center"/>
                </w:tcPr>
                <w:p w14:paraId="0CC53DC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矿物油</w:t>
                  </w:r>
                </w:p>
              </w:tc>
              <w:tc>
                <w:tcPr>
                  <w:tcW w:w="0" w:type="auto"/>
                  <w:tcBorders>
                    <w:tl2br w:val="nil"/>
                    <w:tr2bl w:val="nil"/>
                  </w:tcBorders>
                  <w:noWrap w:val="0"/>
                  <w:vAlign w:val="center"/>
                </w:tcPr>
                <w:p w14:paraId="014BA73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矿物油</w:t>
                  </w:r>
                </w:p>
              </w:tc>
              <w:tc>
                <w:tcPr>
                  <w:tcW w:w="0" w:type="auto"/>
                  <w:vMerge w:val="continue"/>
                  <w:tcBorders>
                    <w:tl2br w:val="nil"/>
                    <w:tr2bl w:val="nil"/>
                  </w:tcBorders>
                  <w:noWrap w:val="0"/>
                  <w:vAlign w:val="center"/>
                </w:tcPr>
                <w:p w14:paraId="32D2513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2E9B6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3CD3247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0EB6A02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7E37DC2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除油废液</w:t>
                  </w:r>
                </w:p>
              </w:tc>
              <w:tc>
                <w:tcPr>
                  <w:tcW w:w="0" w:type="auto"/>
                  <w:tcBorders>
                    <w:tl2br w:val="nil"/>
                    <w:tr2bl w:val="nil"/>
                  </w:tcBorders>
                  <w:noWrap w:val="0"/>
                  <w:vAlign w:val="center"/>
                </w:tcPr>
                <w:p w14:paraId="53D1D2B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HW17 表面处理废物</w:t>
                  </w:r>
                </w:p>
              </w:tc>
              <w:tc>
                <w:tcPr>
                  <w:tcW w:w="0" w:type="auto"/>
                  <w:tcBorders>
                    <w:tl2br w:val="nil"/>
                    <w:tr2bl w:val="nil"/>
                  </w:tcBorders>
                  <w:noWrap w:val="0"/>
                  <w:vAlign w:val="center"/>
                </w:tcPr>
                <w:p w14:paraId="269F06A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336-063-17</w:t>
                  </w:r>
                </w:p>
              </w:tc>
              <w:tc>
                <w:tcPr>
                  <w:tcW w:w="0" w:type="auto"/>
                  <w:tcBorders>
                    <w:tl2br w:val="nil"/>
                    <w:tr2bl w:val="nil"/>
                  </w:tcBorders>
                  <w:noWrap w:val="0"/>
                  <w:vAlign w:val="center"/>
                </w:tcPr>
                <w:p w14:paraId="4544ECE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0.48</w:t>
                  </w:r>
                </w:p>
              </w:tc>
              <w:tc>
                <w:tcPr>
                  <w:tcW w:w="0" w:type="auto"/>
                  <w:tcBorders>
                    <w:tl2br w:val="nil"/>
                    <w:tr2bl w:val="nil"/>
                  </w:tcBorders>
                  <w:noWrap w:val="0"/>
                  <w:vAlign w:val="center"/>
                </w:tcPr>
                <w:p w14:paraId="5B39A9D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除油</w:t>
                  </w:r>
                </w:p>
              </w:tc>
              <w:tc>
                <w:tcPr>
                  <w:tcW w:w="0" w:type="auto"/>
                  <w:tcBorders>
                    <w:tl2br w:val="nil"/>
                    <w:tr2bl w:val="nil"/>
                  </w:tcBorders>
                  <w:noWrap w:val="0"/>
                  <w:vAlign w:val="center"/>
                </w:tcPr>
                <w:p w14:paraId="4F83565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液态</w:t>
                  </w:r>
                </w:p>
              </w:tc>
              <w:tc>
                <w:tcPr>
                  <w:tcW w:w="0" w:type="auto"/>
                  <w:tcBorders>
                    <w:tl2br w:val="nil"/>
                    <w:tr2bl w:val="nil"/>
                  </w:tcBorders>
                  <w:noWrap w:val="0"/>
                  <w:vAlign w:val="center"/>
                </w:tcPr>
                <w:p w14:paraId="6A47E494">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矿物油、有机物</w:t>
                  </w:r>
                </w:p>
              </w:tc>
              <w:tc>
                <w:tcPr>
                  <w:tcW w:w="0" w:type="auto"/>
                  <w:tcBorders>
                    <w:tl2br w:val="nil"/>
                    <w:tr2bl w:val="nil"/>
                  </w:tcBorders>
                  <w:noWrap w:val="0"/>
                  <w:vAlign w:val="center"/>
                </w:tcPr>
                <w:p w14:paraId="04A024B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矿物油、有机物</w:t>
                  </w:r>
                </w:p>
              </w:tc>
              <w:tc>
                <w:tcPr>
                  <w:tcW w:w="0" w:type="auto"/>
                  <w:vMerge w:val="continue"/>
                  <w:tcBorders>
                    <w:tl2br w:val="nil"/>
                    <w:tr2bl w:val="nil"/>
                  </w:tcBorders>
                  <w:noWrap w:val="0"/>
                  <w:vAlign w:val="center"/>
                </w:tcPr>
                <w:p w14:paraId="75E0E5E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5EC1D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4CF051E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0DAC7E2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1CF6ED2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钝化废液</w:t>
                  </w:r>
                </w:p>
              </w:tc>
              <w:tc>
                <w:tcPr>
                  <w:tcW w:w="0" w:type="auto"/>
                  <w:tcBorders>
                    <w:tl2br w:val="nil"/>
                    <w:tr2bl w:val="nil"/>
                  </w:tcBorders>
                  <w:noWrap w:val="0"/>
                  <w:vAlign w:val="center"/>
                </w:tcPr>
                <w:p w14:paraId="62C82F1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HW17 表面处理废物</w:t>
                  </w:r>
                </w:p>
              </w:tc>
              <w:tc>
                <w:tcPr>
                  <w:tcW w:w="0" w:type="auto"/>
                  <w:tcBorders>
                    <w:tl2br w:val="nil"/>
                    <w:tr2bl w:val="nil"/>
                  </w:tcBorders>
                  <w:noWrap w:val="0"/>
                  <w:vAlign w:val="center"/>
                </w:tcPr>
                <w:p w14:paraId="238AE34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336-064-17</w:t>
                  </w:r>
                </w:p>
              </w:tc>
              <w:tc>
                <w:tcPr>
                  <w:tcW w:w="0" w:type="auto"/>
                  <w:tcBorders>
                    <w:tl2br w:val="nil"/>
                    <w:tr2bl w:val="nil"/>
                  </w:tcBorders>
                  <w:noWrap w:val="0"/>
                  <w:vAlign w:val="center"/>
                </w:tcPr>
                <w:p w14:paraId="7BCC626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0.48</w:t>
                  </w:r>
                </w:p>
              </w:tc>
              <w:tc>
                <w:tcPr>
                  <w:tcW w:w="0" w:type="auto"/>
                  <w:tcBorders>
                    <w:tl2br w:val="nil"/>
                    <w:tr2bl w:val="nil"/>
                  </w:tcBorders>
                  <w:noWrap w:val="0"/>
                  <w:vAlign w:val="center"/>
                </w:tcPr>
                <w:p w14:paraId="47F21DC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钝化</w:t>
                  </w:r>
                </w:p>
              </w:tc>
              <w:tc>
                <w:tcPr>
                  <w:tcW w:w="0" w:type="auto"/>
                  <w:tcBorders>
                    <w:tl2br w:val="nil"/>
                    <w:tr2bl w:val="nil"/>
                  </w:tcBorders>
                  <w:noWrap w:val="0"/>
                  <w:vAlign w:val="center"/>
                </w:tcPr>
                <w:p w14:paraId="07C1417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液态</w:t>
                  </w:r>
                </w:p>
              </w:tc>
              <w:tc>
                <w:tcPr>
                  <w:tcW w:w="0" w:type="auto"/>
                  <w:tcBorders>
                    <w:tl2br w:val="nil"/>
                    <w:tr2bl w:val="nil"/>
                  </w:tcBorders>
                  <w:noWrap w:val="0"/>
                  <w:vAlign w:val="center"/>
                </w:tcPr>
                <w:p w14:paraId="7F12A35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w:t>
                  </w:r>
                </w:p>
              </w:tc>
              <w:tc>
                <w:tcPr>
                  <w:tcW w:w="0" w:type="auto"/>
                  <w:tcBorders>
                    <w:tl2br w:val="nil"/>
                    <w:tr2bl w:val="nil"/>
                  </w:tcBorders>
                  <w:noWrap w:val="0"/>
                  <w:vAlign w:val="center"/>
                </w:tcPr>
                <w:p w14:paraId="0D7439C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w:t>
                  </w:r>
                </w:p>
              </w:tc>
              <w:tc>
                <w:tcPr>
                  <w:tcW w:w="0" w:type="auto"/>
                  <w:vMerge w:val="continue"/>
                  <w:tcBorders>
                    <w:tl2br w:val="nil"/>
                    <w:tr2bl w:val="nil"/>
                  </w:tcBorders>
                  <w:noWrap w:val="0"/>
                  <w:vAlign w:val="center"/>
                </w:tcPr>
                <w:p w14:paraId="6881B94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63E93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674D4E1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50203B9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5D9D452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废水处理污泥</w:t>
                  </w:r>
                </w:p>
              </w:tc>
              <w:tc>
                <w:tcPr>
                  <w:tcW w:w="0" w:type="auto"/>
                  <w:tcBorders>
                    <w:tl2br w:val="nil"/>
                    <w:tr2bl w:val="nil"/>
                  </w:tcBorders>
                  <w:noWrap w:val="0"/>
                  <w:vAlign w:val="center"/>
                </w:tcPr>
                <w:p w14:paraId="02B58FC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HW17</w:t>
                  </w:r>
                </w:p>
                <w:p w14:paraId="6A25609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表面处理废物</w:t>
                  </w:r>
                </w:p>
              </w:tc>
              <w:tc>
                <w:tcPr>
                  <w:tcW w:w="0" w:type="auto"/>
                  <w:tcBorders>
                    <w:tl2br w:val="nil"/>
                    <w:tr2bl w:val="nil"/>
                  </w:tcBorders>
                  <w:noWrap w:val="0"/>
                  <w:vAlign w:val="center"/>
                </w:tcPr>
                <w:p w14:paraId="31ADA563">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336-064-17</w:t>
                  </w:r>
                </w:p>
              </w:tc>
              <w:tc>
                <w:tcPr>
                  <w:tcW w:w="0" w:type="auto"/>
                  <w:tcBorders>
                    <w:tl2br w:val="nil"/>
                    <w:tr2bl w:val="nil"/>
                  </w:tcBorders>
                  <w:noWrap w:val="0"/>
                  <w:vAlign w:val="center"/>
                </w:tcPr>
                <w:p w14:paraId="2EB3E0E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0.236</w:t>
                  </w:r>
                </w:p>
              </w:tc>
              <w:tc>
                <w:tcPr>
                  <w:tcW w:w="0" w:type="auto"/>
                  <w:tcBorders>
                    <w:tl2br w:val="nil"/>
                    <w:tr2bl w:val="nil"/>
                  </w:tcBorders>
                  <w:noWrap w:val="0"/>
                  <w:vAlign w:val="center"/>
                </w:tcPr>
                <w:p w14:paraId="336FBF7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废水处理</w:t>
                  </w:r>
                </w:p>
              </w:tc>
              <w:tc>
                <w:tcPr>
                  <w:tcW w:w="0" w:type="auto"/>
                  <w:tcBorders>
                    <w:tl2br w:val="nil"/>
                    <w:tr2bl w:val="nil"/>
                  </w:tcBorders>
                  <w:noWrap w:val="0"/>
                  <w:vAlign w:val="center"/>
                </w:tcPr>
                <w:p w14:paraId="61C155D3">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半固态</w:t>
                  </w:r>
                </w:p>
              </w:tc>
              <w:tc>
                <w:tcPr>
                  <w:tcW w:w="0" w:type="auto"/>
                  <w:tcBorders>
                    <w:tl2br w:val="nil"/>
                    <w:tr2bl w:val="nil"/>
                  </w:tcBorders>
                  <w:noWrap w:val="0"/>
                  <w:vAlign w:val="center"/>
                </w:tcPr>
                <w:p w14:paraId="03E70FC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w:t>
                  </w:r>
                  <w:r>
                    <w:rPr>
                      <w:color w:val="auto"/>
                      <w:kern w:val="0"/>
                      <w:sz w:val="21"/>
                      <w:szCs w:val="21"/>
                    </w:rPr>
                    <w:t>等</w:t>
                  </w:r>
                </w:p>
              </w:tc>
              <w:tc>
                <w:tcPr>
                  <w:tcW w:w="0" w:type="auto"/>
                  <w:tcBorders>
                    <w:tl2br w:val="nil"/>
                    <w:tr2bl w:val="nil"/>
                  </w:tcBorders>
                  <w:noWrap w:val="0"/>
                  <w:vAlign w:val="center"/>
                </w:tcPr>
                <w:p w14:paraId="3DD177E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有机物等</w:t>
                  </w:r>
                </w:p>
              </w:tc>
              <w:tc>
                <w:tcPr>
                  <w:tcW w:w="0" w:type="auto"/>
                  <w:vMerge w:val="continue"/>
                  <w:tcBorders>
                    <w:tl2br w:val="nil"/>
                    <w:tr2bl w:val="nil"/>
                  </w:tcBorders>
                  <w:noWrap w:val="0"/>
                  <w:vAlign w:val="center"/>
                </w:tcPr>
                <w:p w14:paraId="14B8FB9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3896E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189AE47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168FBC8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6D16C92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槽渣</w:t>
                  </w:r>
                </w:p>
              </w:tc>
              <w:tc>
                <w:tcPr>
                  <w:tcW w:w="0" w:type="auto"/>
                  <w:tcBorders>
                    <w:tl2br w:val="nil"/>
                    <w:tr2bl w:val="nil"/>
                  </w:tcBorders>
                  <w:noWrap w:val="0"/>
                  <w:vAlign w:val="center"/>
                </w:tcPr>
                <w:p w14:paraId="1FA9E32B">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HW17表面处理废物</w:t>
                  </w:r>
                </w:p>
              </w:tc>
              <w:tc>
                <w:tcPr>
                  <w:tcW w:w="0" w:type="auto"/>
                  <w:tcBorders>
                    <w:tl2br w:val="nil"/>
                    <w:tr2bl w:val="nil"/>
                  </w:tcBorders>
                  <w:noWrap w:val="0"/>
                  <w:vAlign w:val="center"/>
                </w:tcPr>
                <w:p w14:paraId="367B3A1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336-062-17</w:t>
                  </w:r>
                </w:p>
              </w:tc>
              <w:tc>
                <w:tcPr>
                  <w:tcW w:w="0" w:type="auto"/>
                  <w:tcBorders>
                    <w:tl2br w:val="nil"/>
                    <w:tr2bl w:val="nil"/>
                  </w:tcBorders>
                  <w:noWrap w:val="0"/>
                  <w:vAlign w:val="center"/>
                </w:tcPr>
                <w:p w14:paraId="6A1DEB0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1.6</w:t>
                  </w:r>
                </w:p>
              </w:tc>
              <w:tc>
                <w:tcPr>
                  <w:tcW w:w="0" w:type="auto"/>
                  <w:tcBorders>
                    <w:tl2br w:val="nil"/>
                    <w:tr2bl w:val="nil"/>
                  </w:tcBorders>
                  <w:noWrap w:val="0"/>
                  <w:vAlign w:val="center"/>
                </w:tcPr>
                <w:p w14:paraId="65704607">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清洗槽</w:t>
                  </w:r>
                </w:p>
              </w:tc>
              <w:tc>
                <w:tcPr>
                  <w:tcW w:w="0" w:type="auto"/>
                  <w:tcBorders>
                    <w:tl2br w:val="nil"/>
                    <w:tr2bl w:val="nil"/>
                  </w:tcBorders>
                  <w:noWrap w:val="0"/>
                  <w:vAlign w:val="center"/>
                </w:tcPr>
                <w:p w14:paraId="062A2F34">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半固态</w:t>
                  </w:r>
                </w:p>
              </w:tc>
              <w:tc>
                <w:tcPr>
                  <w:tcW w:w="0" w:type="auto"/>
                  <w:tcBorders>
                    <w:tl2br w:val="nil"/>
                    <w:tr2bl w:val="nil"/>
                  </w:tcBorders>
                  <w:noWrap w:val="0"/>
                  <w:vAlign w:val="center"/>
                </w:tcPr>
                <w:p w14:paraId="5DF205AA">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w:t>
                  </w:r>
                </w:p>
              </w:tc>
              <w:tc>
                <w:tcPr>
                  <w:tcW w:w="0" w:type="auto"/>
                  <w:tcBorders>
                    <w:tl2br w:val="nil"/>
                    <w:tr2bl w:val="nil"/>
                  </w:tcBorders>
                  <w:noWrap w:val="0"/>
                  <w:vAlign w:val="center"/>
                </w:tcPr>
                <w:p w14:paraId="467C6AC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有机物</w:t>
                  </w:r>
                </w:p>
              </w:tc>
              <w:tc>
                <w:tcPr>
                  <w:tcW w:w="0" w:type="auto"/>
                  <w:vMerge w:val="continue"/>
                  <w:tcBorders>
                    <w:tl2br w:val="nil"/>
                    <w:tr2bl w:val="nil"/>
                  </w:tcBorders>
                  <w:noWrap w:val="0"/>
                  <w:vAlign w:val="center"/>
                </w:tcPr>
                <w:p w14:paraId="60F0E98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49D73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2" w:hRule="atLeast"/>
              </w:trPr>
              <w:tc>
                <w:tcPr>
                  <w:tcW w:w="0" w:type="auto"/>
                  <w:vMerge w:val="continue"/>
                  <w:tcBorders>
                    <w:tl2br w:val="nil"/>
                    <w:tr2bl w:val="nil"/>
                  </w:tcBorders>
                  <w:noWrap w:val="0"/>
                  <w:vAlign w:val="center"/>
                </w:tcPr>
                <w:p w14:paraId="62F231A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773EB39D">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21079B3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滤筒滤芯</w:t>
                  </w:r>
                </w:p>
              </w:tc>
              <w:tc>
                <w:tcPr>
                  <w:tcW w:w="0" w:type="auto"/>
                  <w:tcBorders>
                    <w:tl2br w:val="nil"/>
                    <w:tr2bl w:val="nil"/>
                  </w:tcBorders>
                  <w:noWrap w:val="0"/>
                  <w:vAlign w:val="center"/>
                </w:tcPr>
                <w:p w14:paraId="16C0F8B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HW49其他废物</w:t>
                  </w:r>
                </w:p>
              </w:tc>
              <w:tc>
                <w:tcPr>
                  <w:tcW w:w="0" w:type="auto"/>
                  <w:tcBorders>
                    <w:tl2br w:val="nil"/>
                    <w:tr2bl w:val="nil"/>
                  </w:tcBorders>
                  <w:noWrap w:val="0"/>
                  <w:vAlign w:val="center"/>
                </w:tcPr>
                <w:p w14:paraId="637B4B8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pacing w:val="0"/>
                      <w:position w:val="0"/>
                      <w:sz w:val="21"/>
                      <w:szCs w:val="24"/>
                      <w:highlight w:val="none"/>
                      <w:u w:val="none"/>
                      <w:lang w:val="en-US" w:eastAsia="zh-CN"/>
                    </w:rPr>
                    <w:t>900-041-49</w:t>
                  </w:r>
                </w:p>
              </w:tc>
              <w:tc>
                <w:tcPr>
                  <w:tcW w:w="0" w:type="auto"/>
                  <w:tcBorders>
                    <w:tl2br w:val="nil"/>
                    <w:tr2bl w:val="nil"/>
                  </w:tcBorders>
                  <w:noWrap w:val="0"/>
                  <w:vAlign w:val="center"/>
                </w:tcPr>
                <w:p w14:paraId="449C5C9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2.01</w:t>
                  </w:r>
                </w:p>
              </w:tc>
              <w:tc>
                <w:tcPr>
                  <w:tcW w:w="0" w:type="auto"/>
                  <w:tcBorders>
                    <w:tl2br w:val="nil"/>
                    <w:tr2bl w:val="nil"/>
                  </w:tcBorders>
                  <w:noWrap w:val="0"/>
                  <w:vAlign w:val="center"/>
                </w:tcPr>
                <w:p w14:paraId="2D3AEDB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废气处理</w:t>
                  </w:r>
                </w:p>
              </w:tc>
              <w:tc>
                <w:tcPr>
                  <w:tcW w:w="0" w:type="auto"/>
                  <w:tcBorders>
                    <w:tl2br w:val="nil"/>
                    <w:tr2bl w:val="nil"/>
                  </w:tcBorders>
                  <w:noWrap w:val="0"/>
                  <w:vAlign w:val="center"/>
                </w:tcPr>
                <w:p w14:paraId="4FFA51FF">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olor w:val="auto"/>
                      <w:kern w:val="0"/>
                      <w:sz w:val="21"/>
                      <w:szCs w:val="18"/>
                    </w:rPr>
                    <w:t>固态</w:t>
                  </w:r>
                </w:p>
              </w:tc>
              <w:tc>
                <w:tcPr>
                  <w:tcW w:w="0" w:type="auto"/>
                  <w:tcBorders>
                    <w:tl2br w:val="nil"/>
                    <w:tr2bl w:val="nil"/>
                  </w:tcBorders>
                  <w:noWrap w:val="0"/>
                  <w:vAlign w:val="center"/>
                </w:tcPr>
                <w:p w14:paraId="66AD0D40">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olor w:val="auto"/>
                      <w:kern w:val="0"/>
                      <w:sz w:val="21"/>
                      <w:szCs w:val="18"/>
                    </w:rPr>
                    <w:t>有机物等</w:t>
                  </w:r>
                </w:p>
              </w:tc>
              <w:tc>
                <w:tcPr>
                  <w:tcW w:w="0" w:type="auto"/>
                  <w:tcBorders>
                    <w:tl2br w:val="nil"/>
                    <w:tr2bl w:val="nil"/>
                  </w:tcBorders>
                  <w:noWrap w:val="0"/>
                  <w:vAlign w:val="center"/>
                </w:tcPr>
                <w:p w14:paraId="5F2E03C0">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olor w:val="auto"/>
                      <w:kern w:val="0"/>
                      <w:sz w:val="21"/>
                      <w:szCs w:val="18"/>
                    </w:rPr>
                    <w:t>有机物等</w:t>
                  </w:r>
                </w:p>
              </w:tc>
              <w:tc>
                <w:tcPr>
                  <w:tcW w:w="0" w:type="auto"/>
                  <w:vMerge w:val="continue"/>
                  <w:tcBorders>
                    <w:tl2br w:val="nil"/>
                    <w:tr2bl w:val="nil"/>
                  </w:tcBorders>
                  <w:noWrap w:val="0"/>
                  <w:vAlign w:val="center"/>
                </w:tcPr>
                <w:p w14:paraId="66E1C451">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bl>
          <w:p w14:paraId="0C0D4420">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zh-CN" w:eastAsia="zh-CN"/>
              </w:rPr>
            </w:pPr>
            <w:bookmarkStart w:id="107" w:name="_Toc26172"/>
            <w:r>
              <w:rPr>
                <w:rFonts w:hint="eastAsia"/>
                <w:b/>
                <w:color w:val="262626"/>
                <w:kern w:val="0"/>
                <w:sz w:val="24"/>
                <w:lang w:val="zh-CN" w:eastAsia="zh-CN"/>
              </w:rPr>
              <w:t>4.4.2固废管理要求</w:t>
            </w:r>
            <w:bookmarkEnd w:id="107"/>
          </w:p>
          <w:p w14:paraId="0D55AEB2">
            <w:pPr>
              <w:spacing w:line="360" w:lineRule="auto"/>
              <w:ind w:firstLine="480" w:firstLineChars="200"/>
              <w:rPr>
                <w:color w:val="262626"/>
                <w:sz w:val="24"/>
              </w:rPr>
            </w:pPr>
            <w:r>
              <w:rPr>
                <w:rFonts w:hint="eastAsia"/>
                <w:color w:val="262626"/>
                <w:sz w:val="24"/>
              </w:rPr>
              <w:t>本项目在生产过程中产生的</w:t>
            </w:r>
            <w:r>
              <w:rPr>
                <w:rFonts w:hint="eastAsia"/>
                <w:color w:val="262626"/>
                <w:sz w:val="24"/>
                <w:lang w:val="en-US" w:eastAsia="zh-CN"/>
              </w:rPr>
              <w:t>塑料</w:t>
            </w:r>
            <w:r>
              <w:rPr>
                <w:rFonts w:hint="eastAsia"/>
                <w:color w:val="262626"/>
                <w:sz w:val="24"/>
              </w:rPr>
              <w:t>边角料</w:t>
            </w:r>
            <w:r>
              <w:rPr>
                <w:rFonts w:hint="eastAsia"/>
                <w:color w:val="262626"/>
                <w:sz w:val="24"/>
                <w:lang w:val="en-US" w:eastAsia="zh-CN"/>
              </w:rPr>
              <w:t>及次品</w:t>
            </w:r>
            <w:r>
              <w:rPr>
                <w:rFonts w:hint="eastAsia"/>
                <w:color w:val="262626"/>
                <w:sz w:val="24"/>
              </w:rPr>
              <w:t>、废包装材料</w:t>
            </w:r>
            <w:r>
              <w:rPr>
                <w:color w:val="262626"/>
                <w:sz w:val="24"/>
              </w:rPr>
              <w:t>等一般工业固废，经</w:t>
            </w:r>
            <w:r>
              <w:rPr>
                <w:rFonts w:hint="eastAsia"/>
                <w:color w:val="262626"/>
                <w:sz w:val="24"/>
              </w:rPr>
              <w:t>分类</w:t>
            </w:r>
            <w:r>
              <w:rPr>
                <w:color w:val="262626"/>
                <w:sz w:val="24"/>
              </w:rPr>
              <w:t>收集后出售给回收企业回收利用</w:t>
            </w:r>
            <w:r>
              <w:rPr>
                <w:rFonts w:hint="eastAsia"/>
                <w:color w:val="262626"/>
                <w:sz w:val="24"/>
              </w:rPr>
              <w:t>或自行综合利用</w:t>
            </w:r>
            <w:r>
              <w:rPr>
                <w:color w:val="262626"/>
                <w:sz w:val="24"/>
              </w:rPr>
              <w:t>，本评价要求项目产生的一般工业固废应按《一般工业固体废物贮存和填埋污染控制标准》</w:t>
            </w:r>
            <w:r>
              <w:rPr>
                <w:rFonts w:hint="eastAsia"/>
                <w:color w:val="262626"/>
                <w:sz w:val="24"/>
                <w:lang w:eastAsia="zh-CN"/>
              </w:rPr>
              <w:t>（</w:t>
            </w:r>
            <w:r>
              <w:rPr>
                <w:color w:val="262626"/>
                <w:sz w:val="24"/>
              </w:rPr>
              <w:t>GB 18599-2020</w:t>
            </w:r>
            <w:r>
              <w:rPr>
                <w:rFonts w:hint="eastAsia"/>
                <w:color w:val="262626"/>
                <w:sz w:val="24"/>
                <w:lang w:eastAsia="zh-CN"/>
              </w:rPr>
              <w:t>）</w:t>
            </w:r>
            <w:r>
              <w:rPr>
                <w:color w:val="262626"/>
                <w:sz w:val="24"/>
              </w:rPr>
              <w:t>要求进行规范化的</w:t>
            </w:r>
            <w:r>
              <w:rPr>
                <w:rFonts w:hint="eastAsia"/>
                <w:color w:val="262626"/>
                <w:sz w:val="24"/>
              </w:rPr>
              <w:t>暂存管理</w:t>
            </w:r>
            <w:r>
              <w:rPr>
                <w:color w:val="262626"/>
                <w:sz w:val="24"/>
              </w:rPr>
              <w:t>，并做好</w:t>
            </w:r>
            <w:r>
              <w:rPr>
                <w:rFonts w:hint="eastAsia"/>
                <w:color w:val="262626"/>
                <w:sz w:val="24"/>
              </w:rPr>
              <w:t>防雨、防漏、防渗</w:t>
            </w:r>
            <w:r>
              <w:rPr>
                <w:color w:val="262626"/>
                <w:sz w:val="24"/>
              </w:rPr>
              <w:t>等措施。</w:t>
            </w:r>
          </w:p>
          <w:p w14:paraId="027F5824">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zh-CN" w:eastAsia="zh-CN"/>
              </w:rPr>
            </w:pPr>
            <w:bookmarkStart w:id="108" w:name="_Toc16081"/>
            <w:r>
              <w:rPr>
                <w:rFonts w:hint="eastAsia"/>
                <w:b/>
                <w:color w:val="262626"/>
                <w:kern w:val="0"/>
                <w:sz w:val="24"/>
                <w:lang w:val="zh-CN" w:eastAsia="zh-CN"/>
              </w:rPr>
              <w:t>4.4.3危险废物管理要求</w:t>
            </w:r>
            <w:bookmarkEnd w:id="108"/>
          </w:p>
          <w:p w14:paraId="1309B6B8">
            <w:pPr>
              <w:pStyle w:val="36"/>
              <w:spacing w:line="360" w:lineRule="auto"/>
              <w:ind w:firstLine="480"/>
              <w:rPr>
                <w:rFonts w:ascii="Times New Roman" w:hAnsi="Times New Roman" w:eastAsia="宋体" w:cs="Times New Roman"/>
                <w:color w:val="262626"/>
                <w:kern w:val="2"/>
                <w:sz w:val="24"/>
                <w:szCs w:val="24"/>
                <w:lang w:val="en-US" w:eastAsia="zh-CN" w:bidi="ar-SA"/>
              </w:rPr>
            </w:pPr>
            <w:r>
              <w:rPr>
                <w:rFonts w:hint="eastAsia" w:ascii="Times New Roman" w:hAnsi="Times New Roman" w:eastAsia="宋体" w:cs="Times New Roman"/>
                <w:color w:val="262626"/>
                <w:kern w:val="2"/>
                <w:sz w:val="24"/>
                <w:szCs w:val="24"/>
                <w:lang w:val="en-US" w:eastAsia="zh-CN" w:bidi="ar-SA"/>
              </w:rPr>
              <w:t>本评价要求企业在建设过程中对危废贮存库须进行防渗防漏处理，危废贮存库的建设与管理符合《危险废物贮存污染控制标准》（GB18597-2023）要求，日常按规范要求进行管理，避免发生危废泄漏事故。</w:t>
            </w:r>
          </w:p>
          <w:p w14:paraId="5F5E1580">
            <w:pPr>
              <w:spacing w:line="360" w:lineRule="auto"/>
              <w:ind w:firstLine="480" w:firstLineChars="200"/>
              <w:rPr>
                <w:rFonts w:hint="eastAsia"/>
                <w:color w:val="262626"/>
                <w:sz w:val="24"/>
              </w:rPr>
            </w:pPr>
            <w:r>
              <w:rPr>
                <w:rFonts w:hint="eastAsia"/>
                <w:color w:val="262626"/>
                <w:sz w:val="24"/>
                <w:lang w:eastAsia="zh-CN"/>
              </w:rPr>
              <w:t>（</w:t>
            </w:r>
            <w:r>
              <w:rPr>
                <w:rFonts w:hint="eastAsia"/>
                <w:color w:val="262626"/>
                <w:sz w:val="24"/>
                <w:lang w:val="en-US" w:eastAsia="zh-CN"/>
              </w:rPr>
              <w:t>1）</w:t>
            </w:r>
            <w:r>
              <w:rPr>
                <w:rFonts w:hint="eastAsia"/>
                <w:color w:val="262626"/>
                <w:sz w:val="24"/>
              </w:rPr>
              <w:t>危险废物的收集包装</w:t>
            </w:r>
          </w:p>
          <w:p w14:paraId="0A5D088B">
            <w:pPr>
              <w:spacing w:line="360" w:lineRule="auto"/>
              <w:ind w:firstLine="480" w:firstLineChars="200"/>
              <w:rPr>
                <w:rFonts w:hint="eastAsia"/>
                <w:color w:val="262626"/>
                <w:sz w:val="24"/>
              </w:rPr>
            </w:pPr>
            <w:r>
              <w:rPr>
                <w:rFonts w:hint="eastAsia"/>
                <w:color w:val="262626"/>
                <w:sz w:val="24"/>
                <w:lang w:val="en-US" w:eastAsia="zh-CN"/>
              </w:rPr>
              <w:t>①</w:t>
            </w:r>
            <w:r>
              <w:rPr>
                <w:rFonts w:hint="eastAsia"/>
                <w:color w:val="262626"/>
                <w:sz w:val="24"/>
              </w:rPr>
              <w:t>有符合要求的包装容器、收集人员的个人防护设备；</w:t>
            </w:r>
          </w:p>
          <w:p w14:paraId="0755364A">
            <w:pPr>
              <w:spacing w:line="360" w:lineRule="auto"/>
              <w:ind w:firstLine="480" w:firstLineChars="200"/>
              <w:rPr>
                <w:rFonts w:hint="eastAsia"/>
                <w:color w:val="262626"/>
                <w:sz w:val="24"/>
              </w:rPr>
            </w:pPr>
            <w:r>
              <w:rPr>
                <w:rFonts w:hint="eastAsia"/>
                <w:color w:val="262626"/>
                <w:sz w:val="24"/>
                <w:lang w:val="en-US" w:eastAsia="zh-CN"/>
              </w:rPr>
              <w:t>②</w:t>
            </w:r>
            <w:r>
              <w:rPr>
                <w:rFonts w:hint="eastAsia"/>
                <w:color w:val="262626"/>
                <w:sz w:val="24"/>
              </w:rPr>
              <w:t>危险废物的收集容器应在醒目位置贴有危险废物标签，在收集场所醒目的地方设置危险废物警告标识。</w:t>
            </w:r>
          </w:p>
          <w:p w14:paraId="26368B7D">
            <w:pPr>
              <w:spacing w:line="360" w:lineRule="auto"/>
              <w:ind w:firstLine="480" w:firstLineChars="200"/>
              <w:rPr>
                <w:rFonts w:hint="eastAsia"/>
                <w:color w:val="262626"/>
                <w:sz w:val="24"/>
              </w:rPr>
            </w:pPr>
            <w:r>
              <w:rPr>
                <w:rFonts w:hint="eastAsia"/>
                <w:color w:val="262626"/>
                <w:sz w:val="24"/>
                <w:lang w:val="en-US" w:eastAsia="zh-CN"/>
              </w:rPr>
              <w:t>③</w:t>
            </w:r>
            <w:r>
              <w:rPr>
                <w:rFonts w:hint="eastAsia"/>
                <w:color w:val="262626"/>
                <w:sz w:val="24"/>
              </w:rPr>
              <w:t xml:space="preserve">危险废物标签应标明以下信息：主要化学成分或危险废物名称、数量、物理形态、危险类别、安全措施以及危险废物产生单位名称、地址、联系人及电话。 </w:t>
            </w:r>
          </w:p>
          <w:p w14:paraId="240F6C67">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lang w:eastAsia="zh-CN"/>
              </w:rPr>
              <w:t>（</w:t>
            </w:r>
            <w:r>
              <w:rPr>
                <w:rFonts w:hint="eastAsia" w:ascii="Times New Roman" w:hAnsi="Times New Roman" w:eastAsia="宋体" w:cs="Times New Roman"/>
                <w:color w:val="262626"/>
                <w:sz w:val="24"/>
                <w:lang w:val="en-US" w:eastAsia="zh-CN"/>
              </w:rPr>
              <w:t>2）</w:t>
            </w:r>
            <w:r>
              <w:rPr>
                <w:rFonts w:hint="eastAsia" w:ascii="Times New Roman" w:hAnsi="Times New Roman" w:eastAsia="宋体" w:cs="Times New Roman"/>
                <w:color w:val="262626"/>
                <w:sz w:val="24"/>
              </w:rPr>
              <w:t>危险废物的暂存要求</w:t>
            </w:r>
          </w:p>
          <w:p w14:paraId="3C775006">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a.一般规定：</w:t>
            </w:r>
          </w:p>
          <w:p w14:paraId="62A579F3">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①应根据危险废物的形态、物理化学性质、包装形式和污染物迁移途径，采取必要的防风、防晒、防雨、防漏、防渗、防腐以及其他环境污染防治措施，不应露天堆放危险废物；</w:t>
            </w:r>
          </w:p>
          <w:p w14:paraId="48E007E2">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②应根据危险废物的类别、数量、形态、物理化学性质和污染防治等要求设置必要的贮存分区，避免不相容的危险废物接触、混合；</w:t>
            </w:r>
          </w:p>
          <w:p w14:paraId="42CB5B1E">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③地面、墙面</w:t>
            </w:r>
            <w:r>
              <w:rPr>
                <w:rFonts w:hint="eastAsia" w:cs="Times New Roman"/>
                <w:color w:val="262626"/>
                <w:sz w:val="24"/>
                <w:lang w:eastAsia="zh-CN"/>
              </w:rPr>
              <w:t>裙角</w:t>
            </w:r>
            <w:r>
              <w:rPr>
                <w:rFonts w:hint="eastAsia" w:ascii="Times New Roman" w:hAnsi="Times New Roman" w:eastAsia="宋体" w:cs="Times New Roman"/>
                <w:color w:val="262626"/>
                <w:sz w:val="24"/>
              </w:rPr>
              <w:t>、堵截泄漏的围堰、接触危险废物的隔板和墙体等应采用坚固的材料建造，表面无裂缝；</w:t>
            </w:r>
          </w:p>
          <w:p w14:paraId="145A4D1B">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④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eastAsia="宋体" w:cs="Times New Roman"/>
                <w:color w:val="262626"/>
                <w:sz w:val="24"/>
                <w:vertAlign w:val="superscript"/>
              </w:rPr>
              <w:t>-7</w:t>
            </w:r>
            <w:r>
              <w:rPr>
                <w:rFonts w:hint="eastAsia" w:ascii="Times New Roman" w:hAnsi="Times New Roman" w:eastAsia="宋体" w:cs="Times New Roman"/>
                <w:color w:val="262626"/>
                <w:sz w:val="24"/>
              </w:rPr>
              <w:t>cm/s），或至少2mm厚高密度聚乙烯膜等人工防渗材料（渗透系数不大于10</w:t>
            </w:r>
            <w:r>
              <w:rPr>
                <w:rFonts w:hint="eastAsia" w:ascii="Times New Roman" w:hAnsi="Times New Roman" w:eastAsia="宋体" w:cs="Times New Roman"/>
                <w:color w:val="262626"/>
                <w:sz w:val="24"/>
                <w:vertAlign w:val="superscript"/>
              </w:rPr>
              <w:t>-10</w:t>
            </w:r>
            <w:r>
              <w:rPr>
                <w:rFonts w:hint="eastAsia" w:ascii="Times New Roman" w:hAnsi="Times New Roman" w:eastAsia="宋体" w:cs="Times New Roman"/>
                <w:color w:val="262626"/>
                <w:sz w:val="24"/>
              </w:rPr>
              <w:t>cm/s），或其他防渗性能等效的材料；</w:t>
            </w:r>
          </w:p>
          <w:p w14:paraId="298F15A7">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⑤应采取技术和管理措施防止无关人员进入。</w:t>
            </w:r>
          </w:p>
          <w:p w14:paraId="61235497">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lang w:val="en-US" w:eastAsia="zh-CN"/>
              </w:rPr>
              <w:t>（3）</w:t>
            </w:r>
            <w:r>
              <w:rPr>
                <w:rFonts w:hint="eastAsia" w:ascii="Times New Roman" w:hAnsi="Times New Roman" w:eastAsia="宋体" w:cs="Times New Roman"/>
                <w:color w:val="262626"/>
                <w:sz w:val="24"/>
              </w:rPr>
              <w:t>危险废物转移要求</w:t>
            </w:r>
          </w:p>
          <w:p w14:paraId="1EFB77EF">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根据《危险废物转移管理办法》，危险废物转移过程应满足以下要求：</w:t>
            </w:r>
          </w:p>
          <w:p w14:paraId="02B3BF66">
            <w:pPr>
              <w:spacing w:line="360" w:lineRule="auto"/>
              <w:ind w:firstLine="480" w:firstLineChars="200"/>
              <w:rPr>
                <w:rFonts w:hint="eastAsia" w:ascii="Times New Roman" w:hAnsi="Times New Roman" w:eastAsia="宋体" w:cs="Times New Roman"/>
                <w:color w:val="262626"/>
                <w:sz w:val="24"/>
              </w:rPr>
            </w:pPr>
            <w:r>
              <w:rPr>
                <w:rFonts w:hint="eastAsia" w:ascii="Times New Roman" w:hAnsi="Times New Roman" w:eastAsia="宋体" w:cs="Times New Roman"/>
                <w:color w:val="262626"/>
                <w:sz w:val="24"/>
              </w:rPr>
              <w:t>①危险废物转移联单应当根据危险废物管理计划中填报的危险废物转移等备案信息填写、运行。</w:t>
            </w:r>
          </w:p>
          <w:p w14:paraId="0CA52CB0">
            <w:pPr>
              <w:pStyle w:val="65"/>
              <w:ind w:firstLine="480"/>
              <w:jc w:val="left"/>
              <w:rPr>
                <w:rFonts w:hint="eastAsia"/>
                <w:color w:val="auto"/>
              </w:rPr>
            </w:pPr>
            <w:r>
              <w:rPr>
                <w:color w:val="auto"/>
                <w:szCs w:val="24"/>
              </w:rPr>
              <w:t>②</w:t>
            </w:r>
            <w:r>
              <w:rPr>
                <w:rFonts w:hint="eastAsia"/>
                <w:color w:val="auto"/>
              </w:rPr>
              <w:t>危险废物转移联单实行全国统一编号，编号由十四位阿拉伯数字组成。</w:t>
            </w:r>
          </w:p>
          <w:p w14:paraId="03180508">
            <w:pPr>
              <w:pStyle w:val="65"/>
              <w:ind w:firstLine="480"/>
              <w:jc w:val="left"/>
              <w:rPr>
                <w:rFonts w:hint="eastAsia"/>
                <w:color w:val="auto"/>
              </w:rPr>
            </w:pPr>
            <w:r>
              <w:rPr>
                <w:color w:val="auto"/>
                <w:szCs w:val="24"/>
              </w:rPr>
              <w:t>③</w:t>
            </w:r>
            <w:r>
              <w:rPr>
                <w:rFonts w:hint="eastAsia"/>
                <w:color w:val="auto"/>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使用同一车（船或者其他运输工具）一次为多个移出人转移危险废物的，每个移出人应当分别填写、运行危险废物转移联单。</w:t>
            </w:r>
          </w:p>
          <w:p w14:paraId="2DE1F508">
            <w:pPr>
              <w:pStyle w:val="65"/>
              <w:ind w:firstLine="480"/>
              <w:jc w:val="left"/>
              <w:rPr>
                <w:rFonts w:hint="eastAsia"/>
                <w:color w:val="auto"/>
              </w:rPr>
            </w:pPr>
            <w:r>
              <w:rPr>
                <w:color w:val="auto"/>
                <w:szCs w:val="24"/>
              </w:rPr>
              <w:t>④</w:t>
            </w:r>
            <w:r>
              <w:rPr>
                <w:rFonts w:hint="eastAsia"/>
                <w:color w:val="auto"/>
              </w:rPr>
              <w:t>采用联运方式转移危险废物的，前一承运人和后一承运人应当明确运输交接的时间和地点。后一承运人应当核实危险废物转移联单确定的移出人信息、前一承运人信息及危险废物相关信息。</w:t>
            </w:r>
          </w:p>
          <w:p w14:paraId="75D7B869">
            <w:pPr>
              <w:pStyle w:val="65"/>
              <w:ind w:firstLine="480"/>
              <w:jc w:val="left"/>
              <w:rPr>
                <w:rFonts w:hint="eastAsia"/>
                <w:color w:val="auto"/>
              </w:rPr>
            </w:pPr>
            <w:r>
              <w:rPr>
                <w:rFonts w:hint="eastAsia"/>
                <w:color w:val="auto"/>
                <w:lang w:val="en-US" w:eastAsia="zh-CN"/>
              </w:rPr>
              <w:t>⑤接收</w:t>
            </w:r>
            <w:r>
              <w:rPr>
                <w:rFonts w:hint="eastAsia"/>
                <w:color w:val="auto"/>
              </w:rPr>
              <w:t>人应当对运抵的危险废物进行核实验收，并在</w:t>
            </w:r>
            <w:r>
              <w:rPr>
                <w:rFonts w:hint="eastAsia"/>
                <w:color w:val="auto"/>
                <w:lang w:eastAsia="zh-CN"/>
              </w:rPr>
              <w:t>接收</w:t>
            </w:r>
            <w:r>
              <w:rPr>
                <w:rFonts w:hint="eastAsia"/>
                <w:color w:val="auto"/>
              </w:rPr>
              <w:t>之日起五个工作日内通过信息系统确认</w:t>
            </w:r>
            <w:r>
              <w:rPr>
                <w:rFonts w:hint="eastAsia"/>
                <w:color w:val="auto"/>
                <w:lang w:eastAsia="zh-CN"/>
              </w:rPr>
              <w:t>接收</w:t>
            </w:r>
            <w:r>
              <w:rPr>
                <w:rFonts w:hint="eastAsia"/>
                <w:color w:val="auto"/>
              </w:rPr>
              <w:t>。运抵的危险废物的名称、数量、特性、形态、包装方式与危险废物转移联单填写内容不符的，接受人应当及时告知移出人，视情况决定是否接受，同时向接受地生态环境主管部门报告。</w:t>
            </w:r>
          </w:p>
          <w:p w14:paraId="19F1EB9B">
            <w:pPr>
              <w:pStyle w:val="65"/>
              <w:ind w:firstLine="480"/>
              <w:jc w:val="left"/>
              <w:rPr>
                <w:rFonts w:hint="eastAsia" w:ascii="Times New Roman" w:hAnsi="Times New Roman" w:eastAsia="宋体" w:cs="Times New Roman"/>
                <w:color w:val="auto"/>
              </w:rPr>
            </w:pPr>
            <w:r>
              <w:rPr>
                <w:rFonts w:hint="eastAsia"/>
                <w:color w:val="auto"/>
                <w:lang w:val="en-US" w:eastAsia="zh-CN"/>
              </w:rPr>
              <w:t>⑥</w:t>
            </w:r>
            <w:r>
              <w:rPr>
                <w:rFonts w:hint="eastAsia"/>
                <w:color w:val="auto"/>
              </w:rPr>
              <w:t>危险废物电子转移联单数据应当在信息系统中至少保存十年。因特殊原因无法运行危险废物电子转移联单的，可以先使用纸质转移联单，并于转移活动完成后</w:t>
            </w:r>
            <w:r>
              <w:rPr>
                <w:rFonts w:hint="eastAsia" w:ascii="Times New Roman" w:hAnsi="Times New Roman" w:eastAsia="宋体" w:cs="Times New Roman"/>
                <w:color w:val="auto"/>
              </w:rPr>
              <w:t>十个工作日内在信息系统中补录电子转移联单。</w:t>
            </w:r>
          </w:p>
          <w:p w14:paraId="1CC10A97">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rPr>
              <w:t>运输过程要求</w:t>
            </w:r>
          </w:p>
          <w:p w14:paraId="751D2C64">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rPr>
              <w:t>危险废物运输和转移过程需注意：</w:t>
            </w:r>
          </w:p>
          <w:p w14:paraId="4518086C">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rPr>
              <w:t>①危险废物运输单位必须具备相应的条件和能力；</w:t>
            </w:r>
          </w:p>
          <w:p w14:paraId="1D2B0BA4">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rPr>
              <w:t>②需和负责运输的单位签订安全环保责任状，保证分工明确，责任到位；</w:t>
            </w:r>
          </w:p>
          <w:p w14:paraId="316885BA">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rPr>
              <w:t>③危险废物的转移按国家关于危险废物管理办法运输，避免和减缓转移过程的环境风险。</w:t>
            </w:r>
          </w:p>
          <w:p w14:paraId="5967CC8E">
            <w:pPr>
              <w:pStyle w:val="65"/>
              <w:ind w:firstLine="480"/>
              <w:jc w:val="left"/>
              <w:rPr>
                <w:rFonts w:hint="eastAsia" w:ascii="Times New Roman" w:hAnsi="Times New Roman" w:eastAsia="宋体" w:cs="Times New Roman"/>
                <w:color w:val="auto"/>
              </w:rPr>
            </w:pPr>
            <w:r>
              <w:rPr>
                <w:rFonts w:hint="eastAsia" w:ascii="Times New Roman" w:hAnsi="Times New Roman" w:eastAsia="宋体" w:cs="Times New Roman"/>
                <w:color w:val="auto"/>
              </w:rPr>
              <w:t>另外，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14:paraId="35EEEE46">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sz w:val="28"/>
                <w:szCs w:val="28"/>
                <w:u w:val="none"/>
                <w:lang w:val="en-US" w:eastAsia="zh-CN"/>
              </w:rPr>
            </w:pPr>
            <w:bookmarkStart w:id="109" w:name="_Toc4946"/>
            <w:r>
              <w:rPr>
                <w:rFonts w:hint="eastAsia" w:ascii="Times New Roman" w:hAnsi="Times New Roman" w:eastAsia="宋体" w:cs="Times New Roman"/>
                <w:color w:val="auto"/>
                <w:sz w:val="28"/>
                <w:szCs w:val="28"/>
                <w:u w:val="none"/>
                <w:lang w:val="en-US" w:eastAsia="zh-CN"/>
              </w:rPr>
              <w:t>4.5地下水、土壤环境影响和保护措施</w:t>
            </w:r>
            <w:bookmarkEnd w:id="109"/>
          </w:p>
          <w:p w14:paraId="7BAEA647">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zh-CN" w:eastAsia="zh-CN"/>
              </w:rPr>
            </w:pPr>
            <w:bookmarkStart w:id="110" w:name="_Toc4094"/>
            <w:r>
              <w:rPr>
                <w:rFonts w:hint="eastAsia"/>
                <w:b/>
                <w:color w:val="262626"/>
                <w:kern w:val="0"/>
                <w:sz w:val="24"/>
                <w:lang w:val="zh-CN" w:eastAsia="zh-CN"/>
              </w:rPr>
              <w:t>4.5.1 地下水、土壤环境影响分析</w:t>
            </w:r>
            <w:bookmarkEnd w:id="110"/>
          </w:p>
          <w:p w14:paraId="50D9F3ED">
            <w:pPr>
              <w:pStyle w:val="59"/>
              <w:spacing w:line="360" w:lineRule="auto"/>
              <w:ind w:firstLine="480"/>
              <w:rPr>
                <w:rFonts w:hint="eastAsia" w:ascii="Times New Roman" w:hAnsi="Times New Roman"/>
                <w:bCs w:val="0"/>
                <w:color w:val="262626"/>
                <w:szCs w:val="24"/>
              </w:rPr>
            </w:pPr>
            <w:r>
              <w:rPr>
                <w:rFonts w:hint="eastAsia" w:ascii="Times New Roman" w:hAnsi="Times New Roman"/>
                <w:bCs w:val="0"/>
                <w:color w:val="262626"/>
                <w:szCs w:val="24"/>
              </w:rPr>
              <w:t>地下水环境：</w:t>
            </w:r>
            <w:r>
              <w:rPr>
                <w:rFonts w:ascii="Times New Roman" w:hAnsi="Times New Roman"/>
                <w:bCs w:val="0"/>
                <w:color w:val="262626"/>
                <w:szCs w:val="24"/>
              </w:rPr>
              <w:t>本项目生活用水全部采用自来水，不取用地下水，项目对区域地下水环境可能造成影响的污染源主要是化粪池、危废暂存间。</w:t>
            </w:r>
            <w:r>
              <w:rPr>
                <w:rFonts w:hint="eastAsia" w:ascii="Times New Roman" w:hAnsi="Times New Roman"/>
                <w:bCs w:val="0"/>
                <w:color w:val="262626"/>
                <w:szCs w:val="24"/>
              </w:rPr>
              <w:t>主要影响途径为</w:t>
            </w:r>
            <w:r>
              <w:rPr>
                <w:rFonts w:ascii="Times New Roman" w:hAnsi="Times New Roman"/>
                <w:bCs w:val="0"/>
                <w:color w:val="262626"/>
                <w:szCs w:val="24"/>
              </w:rPr>
              <w:t>化粪池</w:t>
            </w:r>
            <w:r>
              <w:rPr>
                <w:rFonts w:hint="eastAsia" w:ascii="Times New Roman" w:hAnsi="Times New Roman"/>
                <w:bCs w:val="0"/>
                <w:color w:val="262626"/>
                <w:szCs w:val="24"/>
              </w:rPr>
              <w:t>、</w:t>
            </w:r>
            <w:r>
              <w:rPr>
                <w:rFonts w:ascii="Times New Roman" w:hAnsi="Times New Roman"/>
                <w:bCs w:val="0"/>
                <w:color w:val="262626"/>
                <w:szCs w:val="24"/>
              </w:rPr>
              <w:t>危废暂存间场地、污水管网系统堵塞、管道破裂破损情况下等污水下渗对地下水造成的污染</w:t>
            </w:r>
            <w:r>
              <w:rPr>
                <w:rFonts w:hint="eastAsia" w:ascii="Times New Roman" w:hAnsi="Times New Roman"/>
                <w:bCs w:val="0"/>
                <w:color w:val="262626"/>
                <w:szCs w:val="24"/>
              </w:rPr>
              <w:t>。</w:t>
            </w:r>
          </w:p>
          <w:p w14:paraId="009F5677">
            <w:pPr>
              <w:pStyle w:val="59"/>
              <w:spacing w:line="360" w:lineRule="auto"/>
              <w:ind w:firstLine="480"/>
              <w:rPr>
                <w:rFonts w:ascii="Times New Roman" w:hAnsi="Times New Roman"/>
                <w:bCs w:val="0"/>
                <w:color w:val="262626"/>
                <w:szCs w:val="24"/>
              </w:rPr>
            </w:pPr>
            <w:r>
              <w:rPr>
                <w:rFonts w:hint="eastAsia" w:ascii="Times New Roman" w:hAnsi="Times New Roman"/>
                <w:bCs w:val="0"/>
                <w:color w:val="262626"/>
                <w:szCs w:val="24"/>
              </w:rPr>
              <w:t>土壤环境：</w:t>
            </w:r>
            <w:r>
              <w:rPr>
                <w:rFonts w:ascii="Times New Roman" w:hAnsi="Times New Roman"/>
                <w:bCs w:val="0"/>
                <w:color w:val="262626"/>
                <w:szCs w:val="24"/>
              </w:rPr>
              <w:t>项目对区域</w:t>
            </w:r>
            <w:r>
              <w:rPr>
                <w:rFonts w:hint="eastAsia" w:ascii="Times New Roman" w:hAnsi="Times New Roman"/>
                <w:bCs w:val="0"/>
                <w:color w:val="262626"/>
                <w:szCs w:val="24"/>
              </w:rPr>
              <w:t>土壤</w:t>
            </w:r>
            <w:r>
              <w:rPr>
                <w:rFonts w:ascii="Times New Roman" w:hAnsi="Times New Roman"/>
                <w:bCs w:val="0"/>
                <w:color w:val="262626"/>
                <w:szCs w:val="24"/>
              </w:rPr>
              <w:t>环境可能造成影响的污染源主要是</w:t>
            </w:r>
            <w:r>
              <w:rPr>
                <w:rFonts w:hint="eastAsia" w:ascii="Times New Roman" w:hAnsi="Times New Roman"/>
                <w:bCs w:val="0"/>
                <w:color w:val="262626"/>
                <w:szCs w:val="24"/>
              </w:rPr>
              <w:t>生产产生的有机废气沉降、</w:t>
            </w:r>
            <w:r>
              <w:rPr>
                <w:rFonts w:ascii="Times New Roman" w:hAnsi="Times New Roman"/>
                <w:bCs w:val="0"/>
                <w:color w:val="262626"/>
                <w:szCs w:val="24"/>
              </w:rPr>
              <w:t>化粪池、危废暂存间。</w:t>
            </w:r>
            <w:r>
              <w:rPr>
                <w:rFonts w:hint="eastAsia" w:ascii="Times New Roman" w:hAnsi="Times New Roman"/>
                <w:bCs w:val="0"/>
                <w:color w:val="262626"/>
                <w:szCs w:val="24"/>
              </w:rPr>
              <w:t>主要影响途径为</w:t>
            </w:r>
            <w:r>
              <w:rPr>
                <w:rFonts w:ascii="Times New Roman" w:hAnsi="Times New Roman"/>
                <w:bCs w:val="0"/>
                <w:color w:val="262626"/>
                <w:szCs w:val="24"/>
              </w:rPr>
              <w:t>有机废气大气沉降影响，以及废水设施及排放管道发生泄漏和危险废物贮存、运输过程中发生泄漏或渗漏，污染因子受土壤的截留作用，因而改变土壤理化性质，影响植物的生长和发育</w:t>
            </w:r>
            <w:r>
              <w:rPr>
                <w:rFonts w:hint="eastAsia" w:ascii="Times New Roman" w:hAnsi="Times New Roman"/>
                <w:bCs w:val="0"/>
                <w:color w:val="262626"/>
                <w:szCs w:val="24"/>
              </w:rPr>
              <w:t>。</w:t>
            </w:r>
          </w:p>
          <w:p w14:paraId="49C919F8">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eastAsia"/>
                <w:b/>
                <w:color w:val="262626"/>
                <w:kern w:val="0"/>
                <w:sz w:val="24"/>
                <w:lang w:val="zh-CN" w:eastAsia="zh-CN"/>
              </w:rPr>
            </w:pPr>
            <w:bookmarkStart w:id="111" w:name="_Toc11422"/>
            <w:r>
              <w:rPr>
                <w:rFonts w:hint="eastAsia"/>
                <w:b/>
                <w:color w:val="262626"/>
                <w:kern w:val="0"/>
                <w:sz w:val="24"/>
                <w:lang w:val="zh-CN" w:eastAsia="zh-CN"/>
              </w:rPr>
              <w:t>4.5.2 地下水、土壤环境防控措施</w:t>
            </w:r>
            <w:bookmarkEnd w:id="111"/>
          </w:p>
          <w:p w14:paraId="451A2333">
            <w:pPr>
              <w:pStyle w:val="59"/>
              <w:spacing w:line="360" w:lineRule="auto"/>
              <w:ind w:firstLine="480"/>
              <w:rPr>
                <w:rFonts w:ascii="Times New Roman" w:hAnsi="Times New Roman"/>
                <w:szCs w:val="24"/>
              </w:rPr>
            </w:pPr>
            <w:r>
              <w:rPr>
                <w:rFonts w:hint="eastAsia" w:ascii="Times New Roman" w:hAnsi="Times New Roman"/>
                <w:szCs w:val="24"/>
              </w:rPr>
              <w:t>（</w:t>
            </w:r>
            <w:r>
              <w:rPr>
                <w:rFonts w:ascii="Times New Roman" w:hAnsi="Times New Roman"/>
                <w:szCs w:val="24"/>
              </w:rPr>
              <w:t>1）重点污染区防渗措施为：</w:t>
            </w:r>
            <w:r>
              <w:rPr>
                <w:rFonts w:ascii="Times New Roman" w:hAnsi="Times New Roman"/>
                <w:color w:val="262626"/>
                <w:kern w:val="0"/>
              </w:rPr>
              <w:t>根据《环境影响评价技术导则地下水环境》</w:t>
            </w:r>
            <w:r>
              <w:rPr>
                <w:rFonts w:hint="eastAsia"/>
                <w:color w:val="262626"/>
                <w:kern w:val="0"/>
                <w:lang w:eastAsia="zh-CN"/>
              </w:rPr>
              <w:t>（</w:t>
            </w:r>
            <w:r>
              <w:rPr>
                <w:rFonts w:ascii="Times New Roman" w:hAnsi="Times New Roman"/>
                <w:color w:val="262626"/>
                <w:kern w:val="0"/>
              </w:rPr>
              <w:t>HJ610-2016</w:t>
            </w:r>
            <w:r>
              <w:rPr>
                <w:rFonts w:hint="eastAsia"/>
                <w:color w:val="262626"/>
                <w:kern w:val="0"/>
                <w:lang w:eastAsia="zh-CN"/>
              </w:rPr>
              <w:t>）</w:t>
            </w:r>
            <w:r>
              <w:rPr>
                <w:rFonts w:ascii="Times New Roman" w:hAnsi="Times New Roman"/>
                <w:color w:val="262626"/>
                <w:kern w:val="0"/>
              </w:rPr>
              <w:t>的要求，重点防治区的防渗性能应等效黏土防渗层≥6.0m，渗透系数≤1.0×10</w:t>
            </w:r>
            <w:r>
              <w:rPr>
                <w:rFonts w:ascii="Times New Roman" w:hAnsi="Times New Roman"/>
                <w:color w:val="262626"/>
                <w:kern w:val="0"/>
                <w:vertAlign w:val="superscript"/>
              </w:rPr>
              <w:t>-7</w:t>
            </w:r>
            <w:r>
              <w:rPr>
                <w:rFonts w:ascii="Times New Roman" w:hAnsi="Times New Roman"/>
                <w:color w:val="262626"/>
                <w:kern w:val="0"/>
              </w:rPr>
              <w:t>cm/s。危险废物暂存场重点防渗区应按照《危险废物污染防治技术政策》及</w:t>
            </w:r>
            <w:r>
              <w:rPr>
                <w:rFonts w:ascii="Times New Roman" w:hAnsi="Times New Roman"/>
                <w:color w:val="262626"/>
              </w:rPr>
              <w:t>《危险废物贮存污染控制标准》</w:t>
            </w:r>
            <w:r>
              <w:rPr>
                <w:rFonts w:hint="eastAsia"/>
                <w:color w:val="262626"/>
                <w:lang w:eastAsia="zh-CN"/>
              </w:rPr>
              <w:t>（</w:t>
            </w:r>
            <w:r>
              <w:rPr>
                <w:rFonts w:ascii="Times New Roman" w:hAnsi="Times New Roman"/>
                <w:color w:val="262626"/>
              </w:rPr>
              <w:t>GB18597-2023</w:t>
            </w:r>
            <w:r>
              <w:rPr>
                <w:rFonts w:hint="eastAsia"/>
                <w:color w:val="262626"/>
                <w:lang w:eastAsia="zh-CN"/>
              </w:rPr>
              <w:t>）</w:t>
            </w:r>
            <w:r>
              <w:rPr>
                <w:rFonts w:ascii="Times New Roman" w:hAnsi="Times New Roman"/>
                <w:color w:val="262626"/>
                <w:kern w:val="0"/>
              </w:rPr>
              <w:t>等危险废物处理的相关标准、法律法规的要求</w:t>
            </w:r>
            <w:r>
              <w:rPr>
                <w:rFonts w:ascii="Times New Roman" w:hAnsi="Times New Roman"/>
                <w:szCs w:val="24"/>
              </w:rPr>
              <w:t>；</w:t>
            </w:r>
          </w:p>
          <w:p w14:paraId="74E6B574">
            <w:pPr>
              <w:pStyle w:val="59"/>
              <w:spacing w:line="360" w:lineRule="auto"/>
              <w:ind w:firstLine="480"/>
              <w:rPr>
                <w:color w:val="262626"/>
              </w:rPr>
            </w:pPr>
            <w:bookmarkStart w:id="112" w:name="_Toc12701"/>
            <w:bookmarkStart w:id="113" w:name="_Toc19130"/>
            <w:bookmarkStart w:id="114" w:name="_Toc3195"/>
            <w:bookmarkStart w:id="115" w:name="_Toc9711"/>
            <w:bookmarkStart w:id="116" w:name="_Toc15205"/>
            <w:r>
              <w:rPr>
                <w:rFonts w:ascii="Times New Roman" w:hAnsi="Times New Roman"/>
                <w:szCs w:val="24"/>
              </w:rPr>
              <w:t>（2）一般污染区防渗措施：</w:t>
            </w:r>
            <w:r>
              <w:rPr>
                <w:rFonts w:ascii="Times New Roman" w:hAnsi="Times New Roman"/>
                <w:color w:val="262626"/>
                <w:szCs w:val="24"/>
              </w:rPr>
              <w:t>一般工业固废间、项目生产车间、</w:t>
            </w:r>
            <w:r>
              <w:rPr>
                <w:rFonts w:ascii="Times New Roman" w:hAnsi="Times New Roman"/>
                <w:szCs w:val="24"/>
              </w:rPr>
              <w:t>化粪池地面采取防渗水泥固化。</w:t>
            </w:r>
            <w:r>
              <w:rPr>
                <w:rFonts w:ascii="Times New Roman" w:hAnsi="Times New Roman"/>
                <w:color w:val="262626"/>
                <w:kern w:val="0"/>
              </w:rPr>
              <w:t>根据《环境影响评价技术导则地下水环境》</w:t>
            </w:r>
            <w:r>
              <w:rPr>
                <w:rFonts w:hint="eastAsia"/>
                <w:color w:val="262626"/>
                <w:kern w:val="0"/>
                <w:lang w:eastAsia="zh-CN"/>
              </w:rPr>
              <w:t>（</w:t>
            </w:r>
            <w:r>
              <w:rPr>
                <w:rFonts w:ascii="Times New Roman" w:hAnsi="Times New Roman"/>
                <w:color w:val="262626"/>
                <w:kern w:val="0"/>
              </w:rPr>
              <w:t>HJ610-2016</w:t>
            </w:r>
            <w:r>
              <w:rPr>
                <w:rFonts w:hint="eastAsia"/>
                <w:color w:val="262626"/>
                <w:kern w:val="0"/>
                <w:lang w:eastAsia="zh-CN"/>
              </w:rPr>
              <w:t>）</w:t>
            </w:r>
            <w:r>
              <w:rPr>
                <w:rFonts w:ascii="Times New Roman" w:hAnsi="Times New Roman"/>
                <w:color w:val="262626"/>
                <w:kern w:val="0"/>
              </w:rPr>
              <w:t>，一般防渗区的防渗性能等效黏土防渗层≥1.5m，渗透系数≤1.0×10</w:t>
            </w:r>
            <w:r>
              <w:rPr>
                <w:rFonts w:ascii="Times New Roman" w:hAnsi="Times New Roman"/>
                <w:color w:val="262626"/>
                <w:kern w:val="0"/>
                <w:vertAlign w:val="superscript"/>
              </w:rPr>
              <w:t>-7</w:t>
            </w:r>
            <w:r>
              <w:rPr>
                <w:rFonts w:ascii="Times New Roman" w:hAnsi="Times New Roman"/>
                <w:color w:val="262626"/>
                <w:kern w:val="0"/>
              </w:rPr>
              <w:t>cm/s。一般工业固体废物暂存场一般防渗区应按照</w:t>
            </w:r>
            <w:r>
              <w:rPr>
                <w:rFonts w:ascii="Times New Roman" w:hAnsi="Times New Roman"/>
                <w:color w:val="262626"/>
              </w:rPr>
              <w:t>《一般工业固体废物贮存和填埋污染控制标准》</w:t>
            </w:r>
            <w:r>
              <w:rPr>
                <w:rFonts w:hint="eastAsia"/>
                <w:color w:val="262626"/>
                <w:lang w:eastAsia="zh-CN"/>
              </w:rPr>
              <w:t>（</w:t>
            </w:r>
            <w:r>
              <w:rPr>
                <w:rFonts w:ascii="Times New Roman" w:hAnsi="Times New Roman"/>
                <w:color w:val="262626"/>
              </w:rPr>
              <w:t>GB 18599-2020</w:t>
            </w:r>
            <w:r>
              <w:rPr>
                <w:rFonts w:hint="eastAsia"/>
                <w:color w:val="262626"/>
                <w:lang w:eastAsia="zh-CN"/>
              </w:rPr>
              <w:t>）</w:t>
            </w:r>
            <w:r>
              <w:rPr>
                <w:rFonts w:ascii="Times New Roman" w:hAnsi="Times New Roman"/>
                <w:color w:val="262626"/>
              </w:rPr>
              <w:t>中要求</w:t>
            </w:r>
            <w:r>
              <w:rPr>
                <w:rFonts w:ascii="Times New Roman" w:hAnsi="Times New Roman"/>
                <w:color w:val="262626"/>
                <w:kern w:val="0"/>
              </w:rPr>
              <w:t>进行设计</w:t>
            </w:r>
            <w:r>
              <w:rPr>
                <w:rFonts w:hint="eastAsia"/>
                <w:color w:val="262626"/>
                <w:kern w:val="0"/>
                <w:lang w:eastAsia="zh-CN"/>
              </w:rPr>
              <w:t>且</w:t>
            </w:r>
            <w:r>
              <w:rPr>
                <w:rFonts w:ascii="Times New Roman" w:hAnsi="Times New Roman"/>
                <w:color w:val="262626"/>
              </w:rPr>
              <w:t>具有防雨、防渗、防</w:t>
            </w:r>
            <w:r>
              <w:rPr>
                <w:color w:val="262626"/>
              </w:rPr>
              <w:t>风、防日晒的功能。</w:t>
            </w:r>
          </w:p>
          <w:bookmarkEnd w:id="112"/>
          <w:bookmarkEnd w:id="113"/>
          <w:bookmarkEnd w:id="114"/>
          <w:bookmarkEnd w:id="115"/>
          <w:bookmarkEnd w:id="116"/>
          <w:p w14:paraId="4AA20194">
            <w:pPr>
              <w:pStyle w:val="59"/>
              <w:spacing w:line="360" w:lineRule="auto"/>
              <w:ind w:firstLine="480"/>
              <w:rPr>
                <w:rFonts w:hint="eastAsia" w:ascii="Times New Roman" w:hAnsi="Times New Roman"/>
                <w:szCs w:val="24"/>
              </w:rPr>
            </w:pPr>
            <w:r>
              <w:rPr>
                <w:rFonts w:ascii="Times New Roman" w:hAnsi="Times New Roman"/>
                <w:szCs w:val="24"/>
              </w:rPr>
              <w:t>（3）污水管网系统堵塞、管道破裂、破损情况</w:t>
            </w:r>
            <w:r>
              <w:rPr>
                <w:rFonts w:hint="eastAsia"/>
                <w:szCs w:val="24"/>
                <w:lang w:eastAsia="zh-CN"/>
              </w:rPr>
              <w:t>下</w:t>
            </w:r>
            <w:r>
              <w:rPr>
                <w:rFonts w:ascii="Times New Roman" w:hAnsi="Times New Roman"/>
                <w:szCs w:val="24"/>
              </w:rPr>
              <w:t>污水下渗可能会对地下水造成污染，但这种情况发生的</w:t>
            </w:r>
            <w:r>
              <w:rPr>
                <w:rFonts w:hint="eastAsia"/>
                <w:szCs w:val="24"/>
                <w:lang w:eastAsia="zh-CN"/>
              </w:rPr>
              <w:t>概率</w:t>
            </w:r>
            <w:r>
              <w:rPr>
                <w:rFonts w:ascii="Times New Roman" w:hAnsi="Times New Roman"/>
                <w:szCs w:val="24"/>
              </w:rPr>
              <w:t>很小，其避免措施是：在污水管道设计中，要选择适当的设计流速和充满度，防止污泥沉积；选择合适的防腐管材，注意其封闭性，防止污水</w:t>
            </w:r>
            <w:r>
              <w:rPr>
                <w:rFonts w:hint="eastAsia"/>
                <w:szCs w:val="24"/>
                <w:lang w:eastAsia="zh-CN"/>
              </w:rPr>
              <w:t>“</w:t>
            </w:r>
            <w:r>
              <w:rPr>
                <w:rFonts w:ascii="Times New Roman" w:hAnsi="Times New Roman"/>
                <w:szCs w:val="24"/>
              </w:rPr>
              <w:t>跑、冒、滴、漏</w:t>
            </w:r>
            <w:r>
              <w:rPr>
                <w:rFonts w:hint="eastAsia"/>
                <w:szCs w:val="24"/>
                <w:lang w:eastAsia="zh-CN"/>
              </w:rPr>
              <w:t>”</w:t>
            </w:r>
            <w:r>
              <w:rPr>
                <w:rFonts w:ascii="Times New Roman" w:hAnsi="Times New Roman"/>
                <w:szCs w:val="24"/>
              </w:rPr>
              <w:t>；制定严格的污水管网维修制度；建设单位应严禁固体废物排入下水管道，</w:t>
            </w:r>
            <w:r>
              <w:rPr>
                <w:rFonts w:hint="eastAsia"/>
                <w:szCs w:val="24"/>
                <w:lang w:eastAsia="zh-CN"/>
              </w:rPr>
              <w:t>生态环境部</w:t>
            </w:r>
            <w:r>
              <w:rPr>
                <w:rFonts w:ascii="Times New Roman" w:hAnsi="Times New Roman"/>
                <w:szCs w:val="24"/>
              </w:rPr>
              <w:t>门应与市政部门密切配合，强化监测与管理工作</w:t>
            </w:r>
            <w:r>
              <w:rPr>
                <w:rFonts w:hint="eastAsia" w:ascii="Times New Roman" w:hAnsi="Times New Roman"/>
                <w:szCs w:val="24"/>
              </w:rPr>
              <w:t>；</w:t>
            </w:r>
          </w:p>
          <w:p w14:paraId="07D3AB6C">
            <w:pPr>
              <w:pStyle w:val="59"/>
              <w:spacing w:line="360" w:lineRule="auto"/>
              <w:ind w:firstLine="480"/>
              <w:rPr>
                <w:rFonts w:hint="eastAsia" w:ascii="Times New Roman" w:hAnsi="Times New Roman"/>
                <w:szCs w:val="24"/>
              </w:rPr>
            </w:pPr>
            <w:r>
              <w:rPr>
                <w:rFonts w:hint="eastAsia" w:ascii="Times New Roman" w:hAnsi="Times New Roman"/>
                <w:szCs w:val="24"/>
              </w:rPr>
              <w:t>（4）</w:t>
            </w:r>
            <w:r>
              <w:rPr>
                <w:rFonts w:ascii="Times New Roman" w:hAnsi="Times New Roman"/>
                <w:szCs w:val="24"/>
              </w:rPr>
              <w:t>加强废气环保设施管理，保证废气达标排放</w:t>
            </w:r>
            <w:r>
              <w:rPr>
                <w:rFonts w:hint="eastAsia" w:ascii="Times New Roman" w:hAnsi="Times New Roman"/>
                <w:szCs w:val="24"/>
              </w:rPr>
              <w:t>，减少大气沉降对地面土壤的影响；</w:t>
            </w:r>
          </w:p>
          <w:p w14:paraId="3E055170">
            <w:pPr>
              <w:pStyle w:val="11"/>
              <w:spacing w:before="0" w:after="0" w:line="360" w:lineRule="auto"/>
              <w:ind w:firstLine="480" w:firstLineChars="200"/>
              <w:rPr>
                <w:rFonts w:hint="eastAsia"/>
                <w:sz w:val="24"/>
                <w:szCs w:val="24"/>
              </w:rPr>
            </w:pPr>
            <w:r>
              <w:rPr>
                <w:rFonts w:hint="eastAsia"/>
                <w:b w:val="0"/>
                <w:bCs/>
                <w:sz w:val="24"/>
                <w:szCs w:val="24"/>
              </w:rPr>
              <w:t>跟踪监测要求：项</w:t>
            </w:r>
            <w:r>
              <w:rPr>
                <w:rFonts w:hint="eastAsia"/>
                <w:sz w:val="24"/>
                <w:szCs w:val="24"/>
              </w:rPr>
              <w:t>目已按分区防控要求提出相应的防控措施，同时项目车间地面</w:t>
            </w:r>
            <w:r>
              <w:rPr>
                <w:rFonts w:hint="eastAsia"/>
                <w:sz w:val="24"/>
                <w:szCs w:val="24"/>
                <w:lang w:val="en-US" w:eastAsia="zh-CN"/>
              </w:rPr>
              <w:t>已全部</w:t>
            </w:r>
            <w:r>
              <w:rPr>
                <w:rFonts w:hint="eastAsia"/>
                <w:sz w:val="24"/>
                <w:szCs w:val="24"/>
              </w:rPr>
              <w:t>硬化，一般情况下不会对周边地下水、土壤环境造成影响，故可不需要进行跟踪监测。</w:t>
            </w:r>
          </w:p>
          <w:p w14:paraId="5EF3561E">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Style w:val="66"/>
                <w:rFonts w:ascii="Times New Roman" w:hAnsi="Times New Roman"/>
                <w:b/>
                <w:bCs/>
                <w:color w:val="262626"/>
                <w:kern w:val="0"/>
                <w:sz w:val="28"/>
                <w:szCs w:val="28"/>
              </w:rPr>
            </w:pPr>
            <w:bookmarkStart w:id="117" w:name="_Toc23362"/>
            <w:r>
              <w:rPr>
                <w:rStyle w:val="66"/>
                <w:rFonts w:ascii="Times New Roman" w:hAnsi="Times New Roman"/>
                <w:b/>
                <w:bCs/>
                <w:color w:val="262626"/>
                <w:kern w:val="0"/>
                <w:sz w:val="28"/>
                <w:szCs w:val="28"/>
              </w:rPr>
              <w:t>4.</w:t>
            </w:r>
            <w:r>
              <w:rPr>
                <w:rStyle w:val="66"/>
                <w:rFonts w:hint="eastAsia" w:ascii="Times New Roman" w:hAnsi="Times New Roman"/>
                <w:b/>
                <w:bCs/>
                <w:color w:val="262626"/>
                <w:kern w:val="0"/>
                <w:sz w:val="28"/>
                <w:szCs w:val="28"/>
              </w:rPr>
              <w:t>6</w:t>
            </w:r>
            <w:r>
              <w:rPr>
                <w:rStyle w:val="66"/>
                <w:rFonts w:ascii="Times New Roman" w:hAnsi="Times New Roman"/>
                <w:b/>
                <w:bCs/>
                <w:color w:val="262626"/>
                <w:kern w:val="0"/>
                <w:sz w:val="28"/>
                <w:szCs w:val="28"/>
              </w:rPr>
              <w:t>环境风险分析</w:t>
            </w:r>
            <w:bookmarkEnd w:id="117"/>
          </w:p>
          <w:p w14:paraId="7555F826">
            <w:pPr>
              <w:keepNext/>
              <w:keepLines w:val="0"/>
              <w:pageBreakBefore w:val="0"/>
              <w:widowControl w:val="0"/>
              <w:kinsoku/>
              <w:wordWrap/>
              <w:overflowPunct w:val="0"/>
              <w:topLinePunct w:val="0"/>
              <w:autoSpaceDE/>
              <w:autoSpaceDN/>
              <w:bidi w:val="0"/>
              <w:adjustRightInd w:val="0"/>
              <w:snapToGrid w:val="0"/>
              <w:spacing w:line="360" w:lineRule="auto"/>
              <w:ind w:left="431" w:hanging="431"/>
              <w:textAlignment w:val="auto"/>
              <w:outlineLvl w:val="2"/>
              <w:rPr>
                <w:rFonts w:hint="default"/>
                <w:b/>
                <w:color w:val="262626"/>
                <w:kern w:val="0"/>
                <w:sz w:val="24"/>
                <w:lang w:val="en-US" w:eastAsia="zh-CN"/>
              </w:rPr>
            </w:pPr>
            <w:bookmarkStart w:id="118" w:name="_Toc19581"/>
            <w:r>
              <w:rPr>
                <w:rFonts w:hint="eastAsia"/>
                <w:b/>
                <w:color w:val="262626"/>
                <w:kern w:val="0"/>
                <w:sz w:val="24"/>
                <w:lang w:val="en-US" w:eastAsia="zh-CN"/>
              </w:rPr>
              <w:t>4.6.1</w:t>
            </w:r>
            <w:r>
              <w:rPr>
                <w:rFonts w:hint="default"/>
                <w:b/>
                <w:color w:val="262626"/>
                <w:kern w:val="0"/>
                <w:sz w:val="24"/>
                <w:lang w:val="en-US" w:eastAsia="zh-CN"/>
              </w:rPr>
              <w:t>项目危险物质调查</w:t>
            </w:r>
            <w:bookmarkEnd w:id="118"/>
          </w:p>
          <w:p w14:paraId="1B718076">
            <w:pPr>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危险物质</w:t>
            </w:r>
          </w:p>
          <w:p w14:paraId="1DE3829A">
            <w:pPr>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color w:val="auto"/>
                <w:sz w:val="24"/>
              </w:rPr>
              <w:t>根据对各原料成分性质分析，对照《建设项目环境风险评价技术导则》</w:t>
            </w:r>
            <w:r>
              <w:rPr>
                <w:rFonts w:hint="eastAsia"/>
                <w:color w:val="auto"/>
                <w:sz w:val="24"/>
                <w:lang w:eastAsia="zh-CN"/>
              </w:rPr>
              <w:t>（</w:t>
            </w:r>
            <w:r>
              <w:rPr>
                <w:color w:val="auto"/>
                <w:sz w:val="24"/>
              </w:rPr>
              <w:t>HJ 169-2018</w:t>
            </w:r>
            <w:r>
              <w:rPr>
                <w:rFonts w:hint="eastAsia"/>
                <w:color w:val="auto"/>
                <w:sz w:val="24"/>
                <w:lang w:eastAsia="zh-CN"/>
              </w:rPr>
              <w:t>）</w:t>
            </w:r>
            <w:r>
              <w:rPr>
                <w:color w:val="auto"/>
                <w:sz w:val="24"/>
              </w:rPr>
              <w:t>附录B</w:t>
            </w:r>
            <w:r>
              <w:rPr>
                <w:rFonts w:hint="eastAsia"/>
                <w:color w:val="auto"/>
                <w:sz w:val="24"/>
              </w:rPr>
              <w:t>及《企业突发环境事件风险分级方法》</w:t>
            </w:r>
            <w:r>
              <w:rPr>
                <w:rFonts w:hint="eastAsia"/>
                <w:color w:val="auto"/>
                <w:sz w:val="24"/>
                <w:lang w:eastAsia="zh-CN"/>
              </w:rPr>
              <w:t>（</w:t>
            </w:r>
            <w:r>
              <w:rPr>
                <w:rFonts w:hint="eastAsia"/>
                <w:color w:val="auto"/>
                <w:sz w:val="24"/>
              </w:rPr>
              <w:t>HJ941-2018</w:t>
            </w:r>
            <w:r>
              <w:rPr>
                <w:rFonts w:hint="eastAsia"/>
                <w:color w:val="auto"/>
                <w:sz w:val="24"/>
                <w:lang w:eastAsia="zh-CN"/>
              </w:rPr>
              <w:t>）</w:t>
            </w:r>
            <w:r>
              <w:rPr>
                <w:rFonts w:hint="eastAsia"/>
                <w:color w:val="auto"/>
                <w:sz w:val="24"/>
              </w:rPr>
              <w:t>附录A可知</w:t>
            </w:r>
            <w:r>
              <w:rPr>
                <w:color w:val="auto"/>
                <w:sz w:val="24"/>
              </w:rPr>
              <w:t>，</w:t>
            </w:r>
            <w:r>
              <w:rPr>
                <w:rFonts w:hint="eastAsia"/>
                <w:color w:val="auto"/>
                <w:sz w:val="24"/>
              </w:rPr>
              <w:t>项目使用的原辅材料均不属于危险物质；但项目产生的</w:t>
            </w:r>
            <w:r>
              <w:rPr>
                <w:rFonts w:hint="eastAsia"/>
                <w:color w:val="auto"/>
                <w:sz w:val="24"/>
                <w:lang w:val="en-US" w:eastAsia="zh-CN"/>
              </w:rPr>
              <w:t>危险废物</w:t>
            </w:r>
            <w:r>
              <w:rPr>
                <w:rFonts w:hint="eastAsia"/>
                <w:color w:val="auto"/>
                <w:sz w:val="24"/>
              </w:rPr>
              <w:t>属于环境风险物质</w:t>
            </w:r>
            <w:r>
              <w:rPr>
                <w:rFonts w:hint="eastAsia"/>
                <w:color w:val="auto"/>
                <w:sz w:val="24"/>
                <w:lang w:eastAsia="zh-CN"/>
              </w:rPr>
              <w:t>，</w:t>
            </w:r>
            <w:r>
              <w:rPr>
                <w:rFonts w:hint="eastAsia"/>
                <w:color w:val="auto"/>
                <w:sz w:val="24"/>
                <w:lang w:val="en-US" w:eastAsia="zh-CN"/>
              </w:rPr>
              <w:t>详见表4.6-1。</w:t>
            </w:r>
          </w:p>
          <w:p w14:paraId="045FAC62">
            <w:pPr>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eastAsia" w:ascii="Times New Roman" w:hAnsi="Times New Roman" w:eastAsia="宋体" w:cs="Times New Roman"/>
                <w:b/>
                <w:bCs/>
                <w:color w:val="auto"/>
                <w:sz w:val="24"/>
                <w:lang w:val="en-US" w:eastAsia="zh-CN"/>
              </w:rPr>
              <w:t>4.6</w:t>
            </w:r>
            <w:r>
              <w:rPr>
                <w:rFonts w:hint="default" w:ascii="Times New Roman" w:hAnsi="Times New Roman" w:eastAsia="宋体" w:cs="Times New Roman"/>
                <w:b/>
                <w:bCs/>
                <w:color w:val="auto"/>
                <w:sz w:val="24"/>
                <w:lang w:val="en-US" w:eastAsia="zh-CN"/>
              </w:rPr>
              <w:t xml:space="preserve">-1  </w:t>
            </w:r>
            <w:r>
              <w:rPr>
                <w:rFonts w:hint="default" w:ascii="Times New Roman" w:hAnsi="Times New Roman" w:eastAsia="宋体" w:cs="Times New Roman"/>
                <w:b/>
                <w:bCs/>
                <w:color w:val="auto"/>
                <w:sz w:val="24"/>
              </w:rPr>
              <w:t>主要</w:t>
            </w:r>
            <w:r>
              <w:rPr>
                <w:rFonts w:hint="default" w:ascii="Times New Roman" w:hAnsi="Times New Roman" w:eastAsia="宋体" w:cs="Times New Roman"/>
                <w:b/>
                <w:bCs/>
                <w:color w:val="auto"/>
                <w:sz w:val="24"/>
                <w:lang w:eastAsia="zh-CN"/>
              </w:rPr>
              <w:t>危险废物数量</w:t>
            </w:r>
            <w:r>
              <w:rPr>
                <w:rFonts w:hint="default" w:ascii="Times New Roman" w:hAnsi="Times New Roman" w:eastAsia="宋体" w:cs="Times New Roman"/>
                <w:b/>
                <w:bCs/>
                <w:color w:val="auto"/>
                <w:sz w:val="24"/>
              </w:rPr>
              <w:t>、有害因素分布表</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8"/>
              <w:gridCol w:w="684"/>
              <w:gridCol w:w="1106"/>
              <w:gridCol w:w="1440"/>
              <w:gridCol w:w="1550"/>
              <w:gridCol w:w="1175"/>
              <w:gridCol w:w="752"/>
              <w:gridCol w:w="980"/>
            </w:tblGrid>
            <w:tr w14:paraId="0AD22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61C51640">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物质名称</w:t>
                  </w:r>
                </w:p>
              </w:tc>
              <w:tc>
                <w:tcPr>
                  <w:tcW w:w="387" w:type="pct"/>
                  <w:tcBorders>
                    <w:tl2br w:val="nil"/>
                    <w:tr2bl w:val="nil"/>
                  </w:tcBorders>
                  <w:noWrap w:val="0"/>
                  <w:vAlign w:val="center"/>
                </w:tcPr>
                <w:p w14:paraId="096A8D01">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形态</w:t>
                  </w:r>
                </w:p>
              </w:tc>
              <w:tc>
                <w:tcPr>
                  <w:tcW w:w="625" w:type="pct"/>
                  <w:tcBorders>
                    <w:tl2br w:val="nil"/>
                    <w:tr2bl w:val="nil"/>
                  </w:tcBorders>
                  <w:noWrap w:val="0"/>
                  <w:vAlign w:val="center"/>
                </w:tcPr>
                <w:p w14:paraId="4DECB76B">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年储存量（t）</w:t>
                  </w:r>
                </w:p>
              </w:tc>
              <w:tc>
                <w:tcPr>
                  <w:tcW w:w="814" w:type="pct"/>
                  <w:tcBorders>
                    <w:tl2br w:val="nil"/>
                    <w:tr2bl w:val="nil"/>
                  </w:tcBorders>
                  <w:noWrap w:val="0"/>
                  <w:vAlign w:val="center"/>
                </w:tcPr>
                <w:p w14:paraId="7DECF557">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最大储存量（t）</w:t>
                  </w:r>
                </w:p>
              </w:tc>
              <w:tc>
                <w:tcPr>
                  <w:tcW w:w="876" w:type="pct"/>
                  <w:tcBorders>
                    <w:tl2br w:val="nil"/>
                    <w:tr2bl w:val="nil"/>
                  </w:tcBorders>
                  <w:noWrap w:val="0"/>
                  <w:vAlign w:val="center"/>
                </w:tcPr>
                <w:p w14:paraId="7AA4BA7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危险物质成分</w:t>
                  </w:r>
                </w:p>
              </w:tc>
              <w:tc>
                <w:tcPr>
                  <w:tcW w:w="664" w:type="pct"/>
                  <w:tcBorders>
                    <w:tl2br w:val="nil"/>
                    <w:tr2bl w:val="nil"/>
                  </w:tcBorders>
                  <w:noWrap w:val="0"/>
                  <w:vAlign w:val="center"/>
                </w:tcPr>
                <w:p w14:paraId="5489A44D">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危险特性</w:t>
                  </w:r>
                </w:p>
              </w:tc>
              <w:tc>
                <w:tcPr>
                  <w:tcW w:w="425" w:type="pct"/>
                  <w:tcBorders>
                    <w:tl2br w:val="nil"/>
                    <w:tr2bl w:val="nil"/>
                  </w:tcBorders>
                  <w:noWrap w:val="0"/>
                  <w:vAlign w:val="center"/>
                </w:tcPr>
                <w:p w14:paraId="063FAFA4">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临界量（t）</w:t>
                  </w:r>
                </w:p>
              </w:tc>
              <w:tc>
                <w:tcPr>
                  <w:tcW w:w="552" w:type="pct"/>
                  <w:tcBorders>
                    <w:tl2br w:val="nil"/>
                    <w:tr2bl w:val="nil"/>
                  </w:tcBorders>
                  <w:noWrap w:val="0"/>
                  <w:vAlign w:val="center"/>
                </w:tcPr>
                <w:p w14:paraId="30F8CD49">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位置</w:t>
                  </w:r>
                </w:p>
              </w:tc>
            </w:tr>
            <w:tr w14:paraId="39F6E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118D6A3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废活性炭</w:t>
                  </w:r>
                </w:p>
              </w:tc>
              <w:tc>
                <w:tcPr>
                  <w:tcW w:w="387" w:type="pct"/>
                  <w:tcBorders>
                    <w:tl2br w:val="nil"/>
                    <w:tr2bl w:val="nil"/>
                  </w:tcBorders>
                  <w:noWrap w:val="0"/>
                  <w:vAlign w:val="center"/>
                </w:tcPr>
                <w:p w14:paraId="2A9791AC">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固态</w:t>
                  </w:r>
                </w:p>
              </w:tc>
              <w:tc>
                <w:tcPr>
                  <w:tcW w:w="625" w:type="pct"/>
                  <w:tcBorders>
                    <w:tl2br w:val="nil"/>
                    <w:tr2bl w:val="nil"/>
                  </w:tcBorders>
                  <w:shd w:val="clear" w:color="auto" w:fill="auto"/>
                  <w:noWrap w:val="0"/>
                  <w:vAlign w:val="center"/>
                </w:tcPr>
                <w:p w14:paraId="6653E22C">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0.2962</w:t>
                  </w:r>
                </w:p>
              </w:tc>
              <w:tc>
                <w:tcPr>
                  <w:tcW w:w="814" w:type="pct"/>
                  <w:tcBorders>
                    <w:tl2br w:val="nil"/>
                    <w:tr2bl w:val="nil"/>
                  </w:tcBorders>
                  <w:noWrap w:val="0"/>
                  <w:vAlign w:val="center"/>
                </w:tcPr>
                <w:p w14:paraId="769254B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0.2</w:t>
                  </w:r>
                </w:p>
              </w:tc>
              <w:tc>
                <w:tcPr>
                  <w:tcW w:w="876" w:type="pct"/>
                  <w:tcBorders>
                    <w:tl2br w:val="nil"/>
                    <w:tr2bl w:val="nil"/>
                  </w:tcBorders>
                  <w:noWrap w:val="0"/>
                  <w:vAlign w:val="center"/>
                </w:tcPr>
                <w:p w14:paraId="19FCB66F">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挥发性有机物、</w:t>
                  </w:r>
                  <w:r>
                    <w:rPr>
                      <w:rFonts w:hint="default" w:ascii="Times New Roman" w:hAnsi="Times New Roman" w:eastAsia="宋体" w:cs="Times New Roman"/>
                      <w:b w:val="0"/>
                      <w:bCs/>
                      <w:color w:val="auto"/>
                      <w:sz w:val="21"/>
                      <w:szCs w:val="21"/>
                      <w:highlight w:val="none"/>
                      <w:vertAlign w:val="baseline"/>
                      <w:lang w:val="en-US" w:eastAsia="zh-CN"/>
                    </w:rPr>
                    <w:t>废活性炭</w:t>
                  </w:r>
                </w:p>
              </w:tc>
              <w:tc>
                <w:tcPr>
                  <w:tcW w:w="664" w:type="pct"/>
                  <w:tcBorders>
                    <w:tl2br w:val="nil"/>
                    <w:tr2bl w:val="nil"/>
                  </w:tcBorders>
                  <w:noWrap w:val="0"/>
                  <w:vAlign w:val="center"/>
                </w:tcPr>
                <w:p w14:paraId="0085D2A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511F50AA">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restart"/>
                  <w:tcBorders>
                    <w:tl2br w:val="nil"/>
                    <w:tr2bl w:val="nil"/>
                  </w:tcBorders>
                  <w:noWrap w:val="0"/>
                  <w:vAlign w:val="center"/>
                </w:tcPr>
                <w:p w14:paraId="6B341217">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eastAsia="宋体"/>
                      <w:color w:val="auto"/>
                      <w:sz w:val="21"/>
                      <w:szCs w:val="21"/>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危废暂存间</w:t>
                  </w:r>
                </w:p>
              </w:tc>
            </w:tr>
            <w:tr w14:paraId="6507A1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250B51F8">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废机油</w:t>
                  </w:r>
                </w:p>
              </w:tc>
              <w:tc>
                <w:tcPr>
                  <w:tcW w:w="387" w:type="pct"/>
                  <w:tcBorders>
                    <w:tl2br w:val="nil"/>
                    <w:tr2bl w:val="nil"/>
                  </w:tcBorders>
                  <w:noWrap w:val="0"/>
                  <w:vAlign w:val="center"/>
                </w:tcPr>
                <w:p w14:paraId="095D9C06">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液态</w:t>
                  </w:r>
                </w:p>
              </w:tc>
              <w:tc>
                <w:tcPr>
                  <w:tcW w:w="625" w:type="pct"/>
                  <w:tcBorders>
                    <w:tl2br w:val="nil"/>
                    <w:tr2bl w:val="nil"/>
                  </w:tcBorders>
                  <w:shd w:val="clear" w:color="auto" w:fill="auto"/>
                  <w:noWrap w:val="0"/>
                  <w:vAlign w:val="center"/>
                </w:tcPr>
                <w:p w14:paraId="5995E6F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0.12</w:t>
                  </w:r>
                </w:p>
              </w:tc>
              <w:tc>
                <w:tcPr>
                  <w:tcW w:w="814" w:type="pct"/>
                  <w:tcBorders>
                    <w:tl2br w:val="nil"/>
                    <w:tr2bl w:val="nil"/>
                  </w:tcBorders>
                  <w:noWrap w:val="0"/>
                  <w:vAlign w:val="center"/>
                </w:tcPr>
                <w:p w14:paraId="297CF1F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0.05</w:t>
                  </w:r>
                </w:p>
              </w:tc>
              <w:tc>
                <w:tcPr>
                  <w:tcW w:w="876" w:type="pct"/>
                  <w:tcBorders>
                    <w:tl2br w:val="nil"/>
                    <w:tr2bl w:val="nil"/>
                  </w:tcBorders>
                  <w:noWrap w:val="0"/>
                  <w:vAlign w:val="center"/>
                </w:tcPr>
                <w:p w14:paraId="3B94403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矿物油</w:t>
                  </w:r>
                </w:p>
              </w:tc>
              <w:tc>
                <w:tcPr>
                  <w:tcW w:w="664" w:type="pct"/>
                  <w:tcBorders>
                    <w:tl2br w:val="nil"/>
                    <w:tr2bl w:val="nil"/>
                  </w:tcBorders>
                  <w:noWrap w:val="0"/>
                  <w:vAlign w:val="center"/>
                </w:tcPr>
                <w:p w14:paraId="7073A7D0">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易燃物质</w:t>
                  </w:r>
                </w:p>
              </w:tc>
              <w:tc>
                <w:tcPr>
                  <w:tcW w:w="425" w:type="pct"/>
                  <w:tcBorders>
                    <w:tl2br w:val="nil"/>
                    <w:tr2bl w:val="nil"/>
                  </w:tcBorders>
                  <w:noWrap w:val="0"/>
                  <w:vAlign w:val="center"/>
                </w:tcPr>
                <w:p w14:paraId="2C09EC8B">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2500</w:t>
                  </w:r>
                </w:p>
              </w:tc>
              <w:tc>
                <w:tcPr>
                  <w:tcW w:w="552" w:type="pct"/>
                  <w:vMerge w:val="continue"/>
                  <w:tcBorders>
                    <w:tl2br w:val="nil"/>
                    <w:tr2bl w:val="nil"/>
                  </w:tcBorders>
                  <w:noWrap w:val="0"/>
                  <w:vAlign w:val="center"/>
                </w:tcPr>
                <w:p w14:paraId="6EC60396">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2308C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1D742289">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除油废液</w:t>
                  </w:r>
                </w:p>
              </w:tc>
              <w:tc>
                <w:tcPr>
                  <w:tcW w:w="387" w:type="pct"/>
                  <w:tcBorders>
                    <w:tl2br w:val="nil"/>
                    <w:tr2bl w:val="nil"/>
                  </w:tcBorders>
                  <w:noWrap w:val="0"/>
                  <w:vAlign w:val="center"/>
                </w:tcPr>
                <w:p w14:paraId="4E051470">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液态</w:t>
                  </w:r>
                </w:p>
              </w:tc>
              <w:tc>
                <w:tcPr>
                  <w:tcW w:w="625" w:type="pct"/>
                  <w:tcBorders>
                    <w:tl2br w:val="nil"/>
                    <w:tr2bl w:val="nil"/>
                  </w:tcBorders>
                  <w:shd w:val="clear" w:color="auto" w:fill="auto"/>
                  <w:noWrap w:val="0"/>
                  <w:vAlign w:val="center"/>
                </w:tcPr>
                <w:p w14:paraId="067F4B12">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0.48</w:t>
                  </w:r>
                </w:p>
              </w:tc>
              <w:tc>
                <w:tcPr>
                  <w:tcW w:w="814" w:type="pct"/>
                  <w:tcBorders>
                    <w:tl2br w:val="nil"/>
                    <w:tr2bl w:val="nil"/>
                  </w:tcBorders>
                  <w:noWrap w:val="0"/>
                  <w:vAlign w:val="center"/>
                </w:tcPr>
                <w:p w14:paraId="18380A1A">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0.2</w:t>
                  </w:r>
                </w:p>
              </w:tc>
              <w:tc>
                <w:tcPr>
                  <w:tcW w:w="876" w:type="pct"/>
                  <w:tcBorders>
                    <w:tl2br w:val="nil"/>
                    <w:tr2bl w:val="nil"/>
                  </w:tcBorders>
                  <w:noWrap w:val="0"/>
                  <w:vAlign w:val="center"/>
                </w:tcPr>
                <w:p w14:paraId="0266520B">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矿物油、挥发性有机物</w:t>
                  </w:r>
                </w:p>
              </w:tc>
              <w:tc>
                <w:tcPr>
                  <w:tcW w:w="664" w:type="pct"/>
                  <w:tcBorders>
                    <w:tl2br w:val="nil"/>
                    <w:tr2bl w:val="nil"/>
                  </w:tcBorders>
                  <w:noWrap w:val="0"/>
                  <w:vAlign w:val="center"/>
                </w:tcPr>
                <w:p w14:paraId="15118DFA">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625B9560">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continue"/>
                  <w:tcBorders>
                    <w:tl2br w:val="nil"/>
                    <w:tr2bl w:val="nil"/>
                  </w:tcBorders>
                  <w:noWrap w:val="0"/>
                  <w:vAlign w:val="center"/>
                </w:tcPr>
                <w:p w14:paraId="4E319839">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3F0FB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30509EF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钝化废液</w:t>
                  </w:r>
                </w:p>
              </w:tc>
              <w:tc>
                <w:tcPr>
                  <w:tcW w:w="387" w:type="pct"/>
                  <w:tcBorders>
                    <w:tl2br w:val="nil"/>
                    <w:tr2bl w:val="nil"/>
                  </w:tcBorders>
                  <w:noWrap w:val="0"/>
                  <w:vAlign w:val="center"/>
                </w:tcPr>
                <w:p w14:paraId="3D5D231E">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液态</w:t>
                  </w:r>
                </w:p>
              </w:tc>
              <w:tc>
                <w:tcPr>
                  <w:tcW w:w="625" w:type="pct"/>
                  <w:tcBorders>
                    <w:tl2br w:val="nil"/>
                    <w:tr2bl w:val="nil"/>
                  </w:tcBorders>
                  <w:shd w:val="clear" w:color="auto" w:fill="auto"/>
                  <w:noWrap w:val="0"/>
                  <w:vAlign w:val="center"/>
                </w:tcPr>
                <w:p w14:paraId="5208E60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0.48</w:t>
                  </w:r>
                </w:p>
              </w:tc>
              <w:tc>
                <w:tcPr>
                  <w:tcW w:w="814" w:type="pct"/>
                  <w:tcBorders>
                    <w:tl2br w:val="nil"/>
                    <w:tr2bl w:val="nil"/>
                  </w:tcBorders>
                  <w:noWrap w:val="0"/>
                  <w:vAlign w:val="center"/>
                </w:tcPr>
                <w:p w14:paraId="2B170198">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0.2</w:t>
                  </w:r>
                </w:p>
              </w:tc>
              <w:tc>
                <w:tcPr>
                  <w:tcW w:w="876" w:type="pct"/>
                  <w:tcBorders>
                    <w:tl2br w:val="nil"/>
                    <w:tr2bl w:val="nil"/>
                  </w:tcBorders>
                  <w:noWrap w:val="0"/>
                  <w:vAlign w:val="center"/>
                </w:tcPr>
                <w:p w14:paraId="73A46B2C">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挥发性有机物</w:t>
                  </w:r>
                </w:p>
              </w:tc>
              <w:tc>
                <w:tcPr>
                  <w:tcW w:w="664" w:type="pct"/>
                  <w:tcBorders>
                    <w:tl2br w:val="nil"/>
                    <w:tr2bl w:val="nil"/>
                  </w:tcBorders>
                  <w:noWrap w:val="0"/>
                  <w:vAlign w:val="center"/>
                </w:tcPr>
                <w:p w14:paraId="67D0A4DB">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5128D64F">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continue"/>
                  <w:tcBorders>
                    <w:tl2br w:val="nil"/>
                    <w:tr2bl w:val="nil"/>
                  </w:tcBorders>
                  <w:noWrap w:val="0"/>
                  <w:vAlign w:val="center"/>
                </w:tcPr>
                <w:p w14:paraId="5446CF7C">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18026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273A55A0">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废水处理污泥</w:t>
                  </w:r>
                </w:p>
              </w:tc>
              <w:tc>
                <w:tcPr>
                  <w:tcW w:w="387" w:type="pct"/>
                  <w:tcBorders>
                    <w:tl2br w:val="nil"/>
                    <w:tr2bl w:val="nil"/>
                  </w:tcBorders>
                  <w:noWrap w:val="0"/>
                  <w:vAlign w:val="center"/>
                </w:tcPr>
                <w:p w14:paraId="46108157">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半</w:t>
                  </w:r>
                  <w:r>
                    <w:rPr>
                      <w:rFonts w:hint="eastAsia" w:ascii="Times New Roman" w:hAnsi="Times New Roman" w:eastAsia="宋体" w:cs="Times New Roman"/>
                      <w:b w:val="0"/>
                      <w:bCs/>
                      <w:color w:val="auto"/>
                      <w:sz w:val="21"/>
                      <w:szCs w:val="21"/>
                      <w:highlight w:val="none"/>
                      <w:vertAlign w:val="baseline"/>
                      <w:lang w:val="en-US" w:eastAsia="zh-CN"/>
                    </w:rPr>
                    <w:t>固态</w:t>
                  </w:r>
                </w:p>
              </w:tc>
              <w:tc>
                <w:tcPr>
                  <w:tcW w:w="625" w:type="pct"/>
                  <w:tcBorders>
                    <w:tl2br w:val="nil"/>
                    <w:tr2bl w:val="nil"/>
                  </w:tcBorders>
                  <w:shd w:val="clear" w:color="auto" w:fill="auto"/>
                  <w:noWrap w:val="0"/>
                  <w:vAlign w:val="center"/>
                </w:tcPr>
                <w:p w14:paraId="4BD8C33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0.236</w:t>
                  </w:r>
                </w:p>
              </w:tc>
              <w:tc>
                <w:tcPr>
                  <w:tcW w:w="814" w:type="pct"/>
                  <w:tcBorders>
                    <w:tl2br w:val="nil"/>
                    <w:tr2bl w:val="nil"/>
                  </w:tcBorders>
                  <w:noWrap w:val="0"/>
                  <w:vAlign w:val="center"/>
                </w:tcPr>
                <w:p w14:paraId="3887CC8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0.1</w:t>
                  </w:r>
                </w:p>
              </w:tc>
              <w:tc>
                <w:tcPr>
                  <w:tcW w:w="876" w:type="pct"/>
                  <w:tcBorders>
                    <w:tl2br w:val="nil"/>
                    <w:tr2bl w:val="nil"/>
                  </w:tcBorders>
                  <w:noWrap w:val="0"/>
                  <w:vAlign w:val="center"/>
                </w:tcPr>
                <w:p w14:paraId="2ACB870C">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挥发性有机物</w:t>
                  </w:r>
                </w:p>
              </w:tc>
              <w:tc>
                <w:tcPr>
                  <w:tcW w:w="664" w:type="pct"/>
                  <w:tcBorders>
                    <w:tl2br w:val="nil"/>
                    <w:tr2bl w:val="nil"/>
                  </w:tcBorders>
                  <w:noWrap w:val="0"/>
                  <w:vAlign w:val="center"/>
                </w:tcPr>
                <w:p w14:paraId="2AC3CF4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7AB1977D">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continue"/>
                  <w:tcBorders>
                    <w:tl2br w:val="nil"/>
                    <w:tr2bl w:val="nil"/>
                  </w:tcBorders>
                  <w:noWrap w:val="0"/>
                  <w:vAlign w:val="center"/>
                </w:tcPr>
                <w:p w14:paraId="757A303A">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28487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nil"/>
                    <w:tr2bl w:val="nil"/>
                  </w:tcBorders>
                  <w:noWrap w:val="0"/>
                  <w:vAlign w:val="center"/>
                </w:tcPr>
                <w:p w14:paraId="1D41840F">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槽渣</w:t>
                  </w:r>
                </w:p>
              </w:tc>
              <w:tc>
                <w:tcPr>
                  <w:tcW w:w="387" w:type="pct"/>
                  <w:tcBorders>
                    <w:tl2br w:val="nil"/>
                    <w:tr2bl w:val="nil"/>
                  </w:tcBorders>
                  <w:noWrap w:val="0"/>
                  <w:vAlign w:val="center"/>
                </w:tcPr>
                <w:p w14:paraId="07C62AA8">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半</w:t>
                  </w:r>
                  <w:r>
                    <w:rPr>
                      <w:rFonts w:hint="eastAsia" w:ascii="Times New Roman" w:hAnsi="Times New Roman" w:eastAsia="宋体" w:cs="Times New Roman"/>
                      <w:b w:val="0"/>
                      <w:bCs/>
                      <w:color w:val="auto"/>
                      <w:sz w:val="21"/>
                      <w:szCs w:val="21"/>
                      <w:highlight w:val="none"/>
                      <w:vertAlign w:val="baseline"/>
                      <w:lang w:val="en-US" w:eastAsia="zh-CN"/>
                    </w:rPr>
                    <w:t>固态</w:t>
                  </w:r>
                </w:p>
              </w:tc>
              <w:tc>
                <w:tcPr>
                  <w:tcW w:w="625" w:type="pct"/>
                  <w:tcBorders>
                    <w:tl2br w:val="nil"/>
                    <w:tr2bl w:val="nil"/>
                  </w:tcBorders>
                  <w:shd w:val="clear" w:color="auto" w:fill="auto"/>
                  <w:noWrap w:val="0"/>
                  <w:vAlign w:val="center"/>
                </w:tcPr>
                <w:p w14:paraId="2B307083">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1.6</w:t>
                  </w:r>
                </w:p>
              </w:tc>
              <w:tc>
                <w:tcPr>
                  <w:tcW w:w="814" w:type="pct"/>
                  <w:tcBorders>
                    <w:tl2br w:val="nil"/>
                    <w:tr2bl w:val="nil"/>
                  </w:tcBorders>
                  <w:noWrap w:val="0"/>
                  <w:vAlign w:val="center"/>
                </w:tcPr>
                <w:p w14:paraId="4C52009F">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0.5</w:t>
                  </w:r>
                </w:p>
              </w:tc>
              <w:tc>
                <w:tcPr>
                  <w:tcW w:w="876" w:type="pct"/>
                  <w:tcBorders>
                    <w:tl2br w:val="nil"/>
                    <w:tr2bl w:val="nil"/>
                  </w:tcBorders>
                  <w:noWrap w:val="0"/>
                  <w:vAlign w:val="center"/>
                </w:tcPr>
                <w:p w14:paraId="4D0E940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挥发性有机物</w:t>
                  </w:r>
                </w:p>
              </w:tc>
              <w:tc>
                <w:tcPr>
                  <w:tcW w:w="664" w:type="pct"/>
                  <w:tcBorders>
                    <w:tl2br w:val="nil"/>
                    <w:tr2bl w:val="nil"/>
                  </w:tcBorders>
                  <w:noWrap w:val="0"/>
                  <w:vAlign w:val="center"/>
                </w:tcPr>
                <w:p w14:paraId="5EBBA8B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24F63B91">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continue"/>
                  <w:tcBorders>
                    <w:tl2br w:val="nil"/>
                    <w:tr2bl w:val="nil"/>
                  </w:tcBorders>
                  <w:noWrap w:val="0"/>
                  <w:vAlign w:val="center"/>
                </w:tcPr>
                <w:p w14:paraId="1A2898F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7EFF9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tcBorders>
                    <w:tl2br w:val="nil"/>
                    <w:tr2bl w:val="nil"/>
                  </w:tcBorders>
                  <w:noWrap w:val="0"/>
                  <w:vAlign w:val="center"/>
                </w:tcPr>
                <w:p w14:paraId="3EC96915">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滤筒滤芯</w:t>
                  </w:r>
                </w:p>
              </w:tc>
              <w:tc>
                <w:tcPr>
                  <w:tcW w:w="387" w:type="pct"/>
                  <w:tcBorders>
                    <w:tl2br w:val="nil"/>
                    <w:tr2bl w:val="nil"/>
                  </w:tcBorders>
                  <w:noWrap w:val="0"/>
                  <w:vAlign w:val="center"/>
                </w:tcPr>
                <w:p w14:paraId="5733302C">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半</w:t>
                  </w:r>
                  <w:r>
                    <w:rPr>
                      <w:rFonts w:hint="eastAsia" w:ascii="Times New Roman" w:hAnsi="Times New Roman" w:eastAsia="宋体" w:cs="Times New Roman"/>
                      <w:b w:val="0"/>
                      <w:bCs/>
                      <w:color w:val="auto"/>
                      <w:sz w:val="21"/>
                      <w:szCs w:val="21"/>
                      <w:highlight w:val="none"/>
                      <w:vertAlign w:val="baseline"/>
                      <w:lang w:val="en-US" w:eastAsia="zh-CN"/>
                    </w:rPr>
                    <w:t>固态</w:t>
                  </w:r>
                </w:p>
              </w:tc>
              <w:tc>
                <w:tcPr>
                  <w:tcW w:w="625" w:type="pct"/>
                  <w:tcBorders>
                    <w:tl2br w:val="nil"/>
                    <w:tr2bl w:val="nil"/>
                  </w:tcBorders>
                  <w:shd w:val="clear" w:color="auto" w:fill="auto"/>
                  <w:noWrap w:val="0"/>
                  <w:vAlign w:val="center"/>
                </w:tcPr>
                <w:p w14:paraId="567E2908">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2.01</w:t>
                  </w:r>
                </w:p>
              </w:tc>
              <w:tc>
                <w:tcPr>
                  <w:tcW w:w="814" w:type="pct"/>
                  <w:tcBorders>
                    <w:tl2br w:val="nil"/>
                    <w:tr2bl w:val="nil"/>
                  </w:tcBorders>
                  <w:noWrap w:val="0"/>
                  <w:vAlign w:val="center"/>
                </w:tcPr>
                <w:p w14:paraId="6BA39B4F">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eastAsia="宋体" w:cs="Times New Roman"/>
                      <w:b w:val="0"/>
                      <w:bCs/>
                      <w:color w:val="auto"/>
                      <w:sz w:val="21"/>
                      <w:szCs w:val="21"/>
                      <w:highlight w:val="none"/>
                      <w:vertAlign w:val="baseline"/>
                      <w:lang w:val="en-US" w:eastAsia="zh-CN"/>
                    </w:rPr>
                    <w:t>0.5</w:t>
                  </w:r>
                </w:p>
              </w:tc>
              <w:tc>
                <w:tcPr>
                  <w:tcW w:w="876" w:type="pct"/>
                  <w:tcBorders>
                    <w:tl2br w:val="nil"/>
                    <w:tr2bl w:val="nil"/>
                  </w:tcBorders>
                  <w:noWrap w:val="0"/>
                  <w:vAlign w:val="center"/>
                </w:tcPr>
                <w:p w14:paraId="60625C30">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挥发性有机物</w:t>
                  </w:r>
                </w:p>
              </w:tc>
              <w:tc>
                <w:tcPr>
                  <w:tcW w:w="664" w:type="pct"/>
                  <w:tcBorders>
                    <w:tl2br w:val="nil"/>
                    <w:tr2bl w:val="nil"/>
                  </w:tcBorders>
                  <w:noWrap w:val="0"/>
                  <w:vAlign w:val="center"/>
                </w:tcPr>
                <w:p w14:paraId="3AA760F4">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有毒、有害</w:t>
                  </w:r>
                </w:p>
              </w:tc>
              <w:tc>
                <w:tcPr>
                  <w:tcW w:w="425" w:type="pct"/>
                  <w:tcBorders>
                    <w:tl2br w:val="nil"/>
                    <w:tr2bl w:val="nil"/>
                  </w:tcBorders>
                  <w:noWrap w:val="0"/>
                  <w:vAlign w:val="center"/>
                </w:tcPr>
                <w:p w14:paraId="2F1B9839">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w:t>
                  </w:r>
                </w:p>
              </w:tc>
              <w:tc>
                <w:tcPr>
                  <w:tcW w:w="552" w:type="pct"/>
                  <w:vMerge w:val="continue"/>
                  <w:tcBorders>
                    <w:tl2br w:val="nil"/>
                    <w:tr2bl w:val="nil"/>
                  </w:tcBorders>
                  <w:noWrap w:val="0"/>
                  <w:vAlign w:val="center"/>
                </w:tcPr>
                <w:p w14:paraId="0C88DE65">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p>
              </w:tc>
            </w:tr>
            <w:tr w14:paraId="5AFDF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5000" w:type="pct"/>
                  <w:gridSpan w:val="8"/>
                  <w:tcBorders>
                    <w:tl2br w:val="nil"/>
                    <w:tr2bl w:val="nil"/>
                  </w:tcBorders>
                  <w:noWrap w:val="0"/>
                  <w:vAlign w:val="center"/>
                </w:tcPr>
                <w:p w14:paraId="2138D6D8">
                  <w:pPr>
                    <w:pStyle w:val="43"/>
                    <w:keepNext w:val="0"/>
                    <w:keepLines w:val="0"/>
                    <w:pageBreakBefore w:val="0"/>
                    <w:widowControl w:val="0"/>
                    <w:kinsoku/>
                    <w:wordWrap/>
                    <w:overflowPunct/>
                    <w:topLinePunct w:val="0"/>
                    <w:autoSpaceDE w:val="0"/>
                    <w:autoSpaceDN w:val="0"/>
                    <w:bidi w:val="0"/>
                    <w:adjustRightInd w:val="0"/>
                    <w:snapToGrid w:val="0"/>
                    <w:spacing w:before="0" w:after="0" w:line="320" w:lineRule="exact"/>
                    <w:ind w:left="0" w:leftChars="0" w:firstLine="0"/>
                    <w:jc w:val="both"/>
                    <w:textAlignment w:val="baseline"/>
                    <w:outlineLvl w:val="9"/>
                    <w:rPr>
                      <w:rFonts w:hint="eastAsia" w:eastAsia="宋体"/>
                      <w:color w:val="auto"/>
                      <w:sz w:val="21"/>
                      <w:szCs w:val="21"/>
                      <w:lang w:val="en-US" w:eastAsia="zh-CN"/>
                    </w:rPr>
                  </w:pPr>
                  <w:r>
                    <w:rPr>
                      <w:rFonts w:hint="default" w:ascii="Times New Roman" w:hAnsi="Times New Roman" w:eastAsia="宋体" w:cs="Times New Roman"/>
                      <w:color w:val="auto"/>
                      <w:kern w:val="0"/>
                      <w:sz w:val="18"/>
                      <w:szCs w:val="18"/>
                    </w:rPr>
                    <w:t>备注：</w:t>
                  </w:r>
                  <w:r>
                    <w:rPr>
                      <w:rFonts w:hint="eastAsia" w:ascii="Times New Roman" w:hAnsi="Times New Roman" w:eastAsia="宋体" w:cs="Times New Roman"/>
                      <w:color w:val="auto"/>
                      <w:kern w:val="0"/>
                      <w:sz w:val="18"/>
                      <w:szCs w:val="18"/>
                      <w:lang w:val="en-US" w:eastAsia="zh-CN" w:bidi="ar-SA"/>
                    </w:rPr>
                    <w:t>（1）</w:t>
                  </w:r>
                  <w:r>
                    <w:rPr>
                      <w:rFonts w:hint="default" w:ascii="Times New Roman" w:hAnsi="Times New Roman" w:eastAsia="宋体" w:cs="Times New Roman"/>
                      <w:color w:val="auto"/>
                      <w:kern w:val="2"/>
                      <w:sz w:val="18"/>
                      <w:szCs w:val="18"/>
                      <w:highlight w:val="none"/>
                      <w:lang w:val="en-US" w:eastAsia="zh-CN" w:bidi="ar-SA"/>
                    </w:rPr>
                    <w:t>因项目物质未直接列入《建设项目环境风险评价技术导则》</w:t>
                  </w:r>
                  <w:r>
                    <w:rPr>
                      <w:rFonts w:hint="eastAsia"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HJ 169-2018</w:t>
                  </w:r>
                  <w:r>
                    <w:rPr>
                      <w:rFonts w:hint="eastAsia"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附录B表B.1突发环境事件风险物质及临界量内，但</w:t>
                  </w:r>
                  <w:r>
                    <w:rPr>
                      <w:rFonts w:hint="eastAsia" w:ascii="Times New Roman" w:hAnsi="Times New Roman" w:eastAsia="宋体" w:cs="Times New Roman"/>
                      <w:color w:val="auto"/>
                      <w:kern w:val="2"/>
                      <w:sz w:val="18"/>
                      <w:szCs w:val="18"/>
                      <w:highlight w:val="none"/>
                      <w:lang w:val="en-US" w:eastAsia="zh-CN" w:bidi="ar-SA"/>
                    </w:rPr>
                    <w:t>其属于环境风险物质，</w:t>
                  </w:r>
                  <w:r>
                    <w:rPr>
                      <w:rFonts w:hint="eastAsia" w:ascii="宋体" w:hAnsi="宋体" w:eastAsia="宋体" w:cs="宋体"/>
                      <w:color w:val="auto"/>
                      <w:kern w:val="0"/>
                      <w:sz w:val="18"/>
                      <w:szCs w:val="18"/>
                      <w:lang w:val="en-US" w:eastAsia="zh-CN" w:bidi="ar"/>
                    </w:rPr>
                    <w:t>危险废物临界量参考《建设项目环境风险评价技术导则》（</w:t>
                  </w:r>
                  <w:r>
                    <w:rPr>
                      <w:rFonts w:hint="default" w:ascii="Times New Roman" w:hAnsi="Times New Roman" w:eastAsia="宋体" w:cs="Times New Roman"/>
                      <w:color w:val="auto"/>
                      <w:kern w:val="0"/>
                      <w:sz w:val="18"/>
                      <w:szCs w:val="18"/>
                      <w:lang w:val="en-US" w:eastAsia="zh-CN" w:bidi="ar"/>
                    </w:rPr>
                    <w:t>HJ 169-2018</w:t>
                  </w:r>
                  <w:r>
                    <w:rPr>
                      <w:rFonts w:hint="eastAsia" w:ascii="宋体" w:hAnsi="宋体" w:eastAsia="宋体" w:cs="宋体"/>
                      <w:color w:val="auto"/>
                      <w:kern w:val="0"/>
                      <w:sz w:val="18"/>
                      <w:szCs w:val="18"/>
                      <w:lang w:val="en-US" w:eastAsia="zh-CN" w:bidi="ar"/>
                    </w:rPr>
                    <w:t>）附录</w:t>
                  </w:r>
                  <w:r>
                    <w:rPr>
                      <w:rFonts w:hint="default" w:ascii="Times New Roman" w:hAnsi="Times New Roman" w:eastAsia="宋体" w:cs="Times New Roman"/>
                      <w:color w:val="auto"/>
                      <w:kern w:val="0"/>
                      <w:sz w:val="18"/>
                      <w:szCs w:val="18"/>
                      <w:lang w:val="en-US" w:eastAsia="zh-CN" w:bidi="ar"/>
                    </w:rPr>
                    <w:t>B</w:t>
                  </w:r>
                  <w:r>
                    <w:rPr>
                      <w:rFonts w:hint="eastAsia" w:ascii="宋体" w:hAnsi="宋体" w:eastAsia="宋体" w:cs="宋体"/>
                      <w:color w:val="auto"/>
                      <w:kern w:val="0"/>
                      <w:sz w:val="18"/>
                      <w:szCs w:val="18"/>
                      <w:lang w:val="en-US" w:eastAsia="zh-CN" w:bidi="ar"/>
                    </w:rPr>
                    <w:t>的表</w:t>
                  </w:r>
                  <w:r>
                    <w:rPr>
                      <w:rFonts w:hint="default" w:ascii="Times New Roman" w:hAnsi="Times New Roman" w:eastAsia="宋体" w:cs="Times New Roman"/>
                      <w:color w:val="auto"/>
                      <w:kern w:val="0"/>
                      <w:sz w:val="18"/>
                      <w:szCs w:val="18"/>
                      <w:lang w:val="en-US" w:eastAsia="zh-CN" w:bidi="ar"/>
                    </w:rPr>
                    <w:t>B.2</w:t>
                  </w:r>
                  <w:r>
                    <w:rPr>
                      <w:rFonts w:hint="eastAsia" w:ascii="宋体" w:hAnsi="宋体" w:eastAsia="宋体" w:cs="宋体"/>
                      <w:color w:val="auto"/>
                      <w:kern w:val="0"/>
                      <w:sz w:val="18"/>
                      <w:szCs w:val="18"/>
                      <w:lang w:val="en-US" w:eastAsia="zh-CN" w:bidi="ar"/>
                    </w:rPr>
                    <w:t>中健康危险急性毒性物质（类别</w:t>
                  </w:r>
                  <w:r>
                    <w:rPr>
                      <w:rFonts w:hint="default" w:ascii="Times New Roman" w:hAnsi="Times New Roman" w:eastAsia="宋体" w:cs="Times New Roman"/>
                      <w:color w:val="auto"/>
                      <w:kern w:val="0"/>
                      <w:sz w:val="18"/>
                      <w:szCs w:val="18"/>
                      <w:lang w:val="en-US" w:eastAsia="zh-CN" w:bidi="ar"/>
                    </w:rPr>
                    <w:t>2</w:t>
                  </w:r>
                  <w:r>
                    <w:rPr>
                      <w:rFonts w:hint="eastAsia" w:ascii="宋体" w:hAnsi="宋体" w:eastAsia="宋体" w:cs="宋体"/>
                      <w:color w:val="auto"/>
                      <w:kern w:val="0"/>
                      <w:sz w:val="18"/>
                      <w:szCs w:val="18"/>
                      <w:lang w:val="en-US" w:eastAsia="zh-CN" w:bidi="ar"/>
                    </w:rPr>
                    <w:t>，类别</w:t>
                  </w:r>
                  <w:r>
                    <w:rPr>
                      <w:rFonts w:hint="default" w:ascii="Times New Roman" w:hAnsi="Times New Roman" w:eastAsia="宋体" w:cs="Times New Roman"/>
                      <w:color w:val="auto"/>
                      <w:kern w:val="0"/>
                      <w:sz w:val="18"/>
                      <w:szCs w:val="18"/>
                      <w:lang w:val="en-US" w:eastAsia="zh-CN" w:bidi="ar"/>
                    </w:rPr>
                    <w:t>3</w:t>
                  </w:r>
                  <w:r>
                    <w:rPr>
                      <w:rFonts w:hint="eastAsia" w:ascii="宋体" w:hAnsi="宋体" w:eastAsia="宋体" w:cs="宋体"/>
                      <w:color w:val="auto"/>
                      <w:kern w:val="0"/>
                      <w:sz w:val="18"/>
                      <w:szCs w:val="18"/>
                      <w:lang w:val="en-US" w:eastAsia="zh-CN" w:bidi="ar"/>
                    </w:rPr>
                    <w:t>）的推荐临界量</w:t>
                  </w:r>
                  <w:r>
                    <w:rPr>
                      <w:rFonts w:hint="default" w:ascii="Times New Roman" w:hAnsi="Times New Roman" w:eastAsia="宋体" w:cs="Times New Roman"/>
                      <w:color w:val="auto"/>
                      <w:kern w:val="0"/>
                      <w:sz w:val="18"/>
                      <w:szCs w:val="18"/>
                      <w:lang w:val="en-US" w:eastAsia="zh-CN" w:bidi="ar"/>
                    </w:rPr>
                    <w:t>50t</w:t>
                  </w:r>
                </w:p>
              </w:tc>
            </w:tr>
          </w:tbl>
          <w:p w14:paraId="4135CEEB">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根据表4.6-1计算可知，项目环境风险物质数量与临界量比值Q=</w:t>
            </w:r>
            <w:r>
              <w:rPr>
                <w:rFonts w:hint="eastAsia" w:cs="Times New Roman"/>
                <w:b w:val="0"/>
                <w:bCs w:val="0"/>
                <w:color w:val="auto"/>
                <w:sz w:val="24"/>
                <w:lang w:val="en-US" w:eastAsia="zh-CN"/>
              </w:rPr>
              <w:t>0.034</w:t>
            </w:r>
            <w:r>
              <w:rPr>
                <w:rFonts w:hint="default" w:ascii="Times New Roman" w:hAnsi="Times New Roman" w:eastAsia="宋体" w:cs="Times New Roman"/>
                <w:b w:val="0"/>
                <w:bCs w:val="0"/>
                <w:color w:val="auto"/>
                <w:sz w:val="24"/>
                <w:lang w:val="en-US" w:eastAsia="zh-CN"/>
              </w:rPr>
              <w:t>＜1，根据《建设项目环境风险评价技术导则》</w:t>
            </w:r>
            <w:r>
              <w:rPr>
                <w:rFonts w:hint="eastAsia" w:ascii="Times New Roman" w:hAnsi="Times New Roman" w:eastAsia="宋体"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HJ 169-2018</w:t>
            </w:r>
            <w:r>
              <w:rPr>
                <w:rFonts w:hint="eastAsia" w:ascii="Times New Roman" w:hAnsi="Times New Roman" w:eastAsia="宋体"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附录C可知，当Q＜1时，该项目环境风险潜势为Ⅰ，环境风险潜势为Ⅰ时，评价工作级别简单分析，因此，本评价主要在描述环境影响途径、环境危害后果、风险防范措施等方面给出定性说明。</w:t>
            </w:r>
          </w:p>
          <w:p w14:paraId="26C23999">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default" w:ascii="Times New Roman" w:hAnsi="Times New Roman" w:cs="Times New Roman"/>
                <w:b/>
                <w:bCs/>
                <w:color w:val="auto"/>
                <w:sz w:val="24"/>
                <w:highlight w:val="none"/>
                <w:lang w:val="en-US" w:eastAsia="zh-CN"/>
              </w:rPr>
            </w:pPr>
            <w:bookmarkStart w:id="119" w:name="_Toc8520"/>
            <w:r>
              <w:rPr>
                <w:rFonts w:hint="eastAsia" w:cs="Times New Roman"/>
                <w:b/>
                <w:bCs/>
                <w:color w:val="auto"/>
                <w:sz w:val="24"/>
                <w:highlight w:val="none"/>
                <w:lang w:val="en-US" w:eastAsia="zh-CN"/>
              </w:rPr>
              <w:t>4.6.2</w:t>
            </w:r>
            <w:r>
              <w:rPr>
                <w:rFonts w:hint="default" w:ascii="Times New Roman" w:hAnsi="Times New Roman" w:cs="Times New Roman"/>
                <w:b/>
                <w:bCs/>
                <w:color w:val="auto"/>
                <w:sz w:val="24"/>
                <w:highlight w:val="none"/>
                <w:lang w:val="en-US" w:eastAsia="zh-CN"/>
              </w:rPr>
              <w:t xml:space="preserve"> 环境风险识别</w:t>
            </w:r>
            <w:bookmarkEnd w:id="119"/>
          </w:p>
          <w:p w14:paraId="39FB972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黑体" w:cs="Times New Roman"/>
                <w:color w:val="auto"/>
                <w:kern w:val="0"/>
                <w:sz w:val="24"/>
                <w:highlight w:val="none"/>
              </w:rPr>
            </w:pPr>
            <w:r>
              <w:rPr>
                <w:rFonts w:hint="default" w:ascii="Times New Roman" w:hAnsi="Times New Roman" w:cs="Times New Roman"/>
                <w:color w:val="auto"/>
                <w:kern w:val="0"/>
                <w:sz w:val="24"/>
                <w:highlight w:val="none"/>
              </w:rPr>
              <w:t>通过对项目</w:t>
            </w:r>
            <w:r>
              <w:rPr>
                <w:rFonts w:hint="eastAsia" w:ascii="Times New Roman" w:hAnsi="Times New Roman" w:cs="Times New Roman"/>
                <w:color w:val="auto"/>
                <w:kern w:val="0"/>
                <w:sz w:val="24"/>
                <w:highlight w:val="none"/>
                <w:lang w:val="en-US" w:eastAsia="zh-CN"/>
              </w:rPr>
              <w:t>环境风险</w:t>
            </w:r>
            <w:r>
              <w:rPr>
                <w:rFonts w:hint="default" w:ascii="Times New Roman" w:hAnsi="Times New Roman" w:cs="Times New Roman"/>
                <w:color w:val="auto"/>
                <w:kern w:val="0"/>
                <w:sz w:val="24"/>
                <w:highlight w:val="none"/>
              </w:rPr>
              <w:t>识别，项目</w:t>
            </w:r>
            <w:r>
              <w:rPr>
                <w:rFonts w:hint="default" w:ascii="Times New Roman" w:hAnsi="Times New Roman" w:cs="Times New Roman"/>
                <w:color w:val="auto"/>
                <w:kern w:val="0"/>
                <w:sz w:val="24"/>
                <w:highlight w:val="none"/>
                <w:lang w:eastAsia="zh-CN"/>
              </w:rPr>
              <w:t>潜在环境风险事故</w:t>
            </w:r>
            <w:r>
              <w:rPr>
                <w:rFonts w:hint="default" w:ascii="Times New Roman" w:hAnsi="Times New Roman" w:cs="Times New Roman"/>
                <w:color w:val="auto"/>
                <w:kern w:val="0"/>
                <w:sz w:val="24"/>
                <w:highlight w:val="none"/>
              </w:rPr>
              <w:t>识别结果见</w:t>
            </w:r>
            <w:r>
              <w:rPr>
                <w:rFonts w:hint="default" w:ascii="Times New Roman" w:hAnsi="Times New Roman" w:cs="Times New Roman"/>
                <w:color w:val="auto"/>
                <w:kern w:val="0"/>
                <w:sz w:val="24"/>
                <w:highlight w:val="none"/>
                <w:lang w:eastAsia="zh-CN"/>
              </w:rPr>
              <w:t>下表</w:t>
            </w:r>
            <w:r>
              <w:rPr>
                <w:rFonts w:hint="eastAsia" w:cs="Times New Roman"/>
                <w:color w:val="auto"/>
                <w:kern w:val="0"/>
                <w:sz w:val="24"/>
                <w:highlight w:val="none"/>
                <w:lang w:val="en-US" w:eastAsia="zh-CN"/>
              </w:rPr>
              <w:t>4.6</w:t>
            </w:r>
            <w:r>
              <w:rPr>
                <w:rFonts w:hint="default" w:ascii="Times New Roman" w:hAnsi="Times New Roman" w:cs="Times New Roman"/>
                <w:color w:val="auto"/>
                <w:kern w:val="0"/>
                <w:sz w:val="24"/>
                <w:highlight w:val="none"/>
                <w:lang w:val="en-US" w:eastAsia="zh-CN"/>
              </w:rPr>
              <w:t>-</w:t>
            </w:r>
            <w:r>
              <w:rPr>
                <w:rFonts w:hint="eastAsia"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lang w:eastAsia="zh-CN"/>
              </w:rPr>
              <w:t>。</w:t>
            </w:r>
          </w:p>
          <w:p w14:paraId="39E8EC86">
            <w:pPr>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eastAsia" w:ascii="Times New Roman" w:hAnsi="Times New Roman" w:eastAsia="宋体" w:cs="Times New Roman"/>
                <w:b/>
                <w:bCs/>
                <w:color w:val="auto"/>
                <w:sz w:val="24"/>
                <w:lang w:val="en-US" w:eastAsia="zh-CN"/>
              </w:rPr>
              <w:t>4.6</w:t>
            </w:r>
            <w:r>
              <w:rPr>
                <w:rFonts w:hint="default" w:ascii="Times New Roman" w:hAnsi="Times New Roman" w:eastAsia="宋体" w:cs="Times New Roman"/>
                <w:b/>
                <w:bCs/>
                <w:color w:val="auto"/>
                <w:sz w:val="24"/>
                <w:lang w:val="en-US" w:eastAsia="zh-CN"/>
              </w:rPr>
              <w:t>-</w:t>
            </w:r>
            <w:r>
              <w:rPr>
                <w:rFonts w:hint="eastAsia"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项目</w:t>
            </w:r>
            <w:r>
              <w:rPr>
                <w:rFonts w:hint="default" w:ascii="Times New Roman" w:hAnsi="Times New Roman" w:eastAsia="宋体" w:cs="Times New Roman"/>
                <w:b/>
                <w:bCs/>
                <w:color w:val="auto"/>
                <w:sz w:val="24"/>
                <w:lang w:eastAsia="zh-CN"/>
              </w:rPr>
              <w:t>潜在环境风险事故</w:t>
            </w:r>
            <w:r>
              <w:rPr>
                <w:rFonts w:hint="default" w:ascii="Times New Roman" w:hAnsi="Times New Roman" w:eastAsia="宋体" w:cs="Times New Roman"/>
                <w:b/>
                <w:bCs/>
                <w:color w:val="auto"/>
                <w:sz w:val="24"/>
              </w:rPr>
              <w:t>一览表</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63"/>
              <w:gridCol w:w="1846"/>
              <w:gridCol w:w="3475"/>
              <w:gridCol w:w="2259"/>
            </w:tblGrid>
            <w:tr w14:paraId="2ACFAD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noWrap w:val="0"/>
                  <w:vAlign w:val="center"/>
                </w:tcPr>
                <w:p w14:paraId="230CADE7">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cs="Times New Roman"/>
                      <w:color w:val="auto"/>
                      <w:sz w:val="21"/>
                      <w:szCs w:val="21"/>
                      <w:highlight w:val="none"/>
                      <w:u w:val="none"/>
                    </w:rPr>
                  </w:pPr>
                  <w:bookmarkStart w:id="120" w:name="_Toc215736207"/>
                  <w:r>
                    <w:rPr>
                      <w:rFonts w:hint="default" w:ascii="Times New Roman" w:hAnsi="Times New Roman" w:cs="Times New Roman"/>
                      <w:color w:val="auto"/>
                      <w:sz w:val="21"/>
                      <w:szCs w:val="21"/>
                      <w:highlight w:val="none"/>
                      <w:u w:val="none"/>
                    </w:rPr>
                    <w:t>潜在事故</w:t>
                  </w:r>
                </w:p>
                <w:p w14:paraId="229BDF36">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类型</w:t>
                  </w:r>
                </w:p>
              </w:tc>
              <w:tc>
                <w:tcPr>
                  <w:tcW w:w="1043" w:type="pct"/>
                  <w:noWrap w:val="0"/>
                  <w:vAlign w:val="center"/>
                </w:tcPr>
                <w:p w14:paraId="797A5E00">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事故原因</w:t>
                  </w:r>
                </w:p>
              </w:tc>
              <w:tc>
                <w:tcPr>
                  <w:tcW w:w="1964" w:type="pct"/>
                  <w:noWrap w:val="0"/>
                  <w:vAlign w:val="center"/>
                </w:tcPr>
                <w:p w14:paraId="7EF3AF0F">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环境影响途径</w:t>
                  </w:r>
                </w:p>
              </w:tc>
              <w:tc>
                <w:tcPr>
                  <w:tcW w:w="1276" w:type="pct"/>
                  <w:noWrap w:val="0"/>
                  <w:vAlign w:val="center"/>
                </w:tcPr>
                <w:p w14:paraId="6981BF72">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环境危害后果</w:t>
                  </w:r>
                </w:p>
              </w:tc>
            </w:tr>
            <w:tr w14:paraId="291B53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0" w:hRule="atLeast"/>
                <w:jc w:val="center"/>
              </w:trPr>
              <w:tc>
                <w:tcPr>
                  <w:tcW w:w="714" w:type="pct"/>
                  <w:noWrap w:val="0"/>
                  <w:vAlign w:val="center"/>
                </w:tcPr>
                <w:p w14:paraId="45122645">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废气事故</w:t>
                  </w:r>
                </w:p>
                <w:p w14:paraId="4694F92F">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排放</w:t>
                  </w:r>
                </w:p>
              </w:tc>
              <w:tc>
                <w:tcPr>
                  <w:tcW w:w="1043" w:type="pct"/>
                  <w:noWrap w:val="0"/>
                  <w:vAlign w:val="center"/>
                </w:tcPr>
                <w:p w14:paraId="3B831FB6">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废气处理</w:t>
                  </w:r>
                </w:p>
                <w:p w14:paraId="56921724">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设施故障</w:t>
                  </w:r>
                </w:p>
              </w:tc>
              <w:tc>
                <w:tcPr>
                  <w:tcW w:w="1964" w:type="pct"/>
                  <w:noWrap w:val="0"/>
                  <w:vAlign w:val="center"/>
                </w:tcPr>
                <w:p w14:paraId="5F910E11">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废气</w:t>
                  </w:r>
                  <w:r>
                    <w:rPr>
                      <w:rFonts w:hint="eastAsia" w:ascii="Times New Roman" w:hAnsi="Times New Roman" w:eastAsia="宋体" w:cs="Times New Roman"/>
                      <w:b w:val="0"/>
                      <w:bCs/>
                      <w:color w:val="auto"/>
                      <w:sz w:val="21"/>
                      <w:szCs w:val="21"/>
                      <w:highlight w:val="none"/>
                      <w:vertAlign w:val="baseline"/>
                      <w:lang w:val="en-US" w:eastAsia="zh-CN"/>
                    </w:rPr>
                    <w:t>未经处理</w:t>
                  </w:r>
                  <w:r>
                    <w:rPr>
                      <w:rFonts w:hint="default" w:ascii="Times New Roman" w:hAnsi="Times New Roman" w:eastAsia="宋体" w:cs="Times New Roman"/>
                      <w:b w:val="0"/>
                      <w:bCs/>
                      <w:color w:val="auto"/>
                      <w:sz w:val="21"/>
                      <w:szCs w:val="21"/>
                      <w:highlight w:val="none"/>
                      <w:vertAlign w:val="baseline"/>
                      <w:lang w:val="en-US" w:eastAsia="zh-CN"/>
                    </w:rPr>
                    <w:t>全部</w:t>
                  </w:r>
                  <w:r>
                    <w:rPr>
                      <w:rFonts w:hint="eastAsia" w:ascii="Times New Roman" w:hAnsi="Times New Roman" w:eastAsia="宋体" w:cs="Times New Roman"/>
                      <w:b w:val="0"/>
                      <w:bCs/>
                      <w:color w:val="auto"/>
                      <w:sz w:val="21"/>
                      <w:szCs w:val="21"/>
                      <w:highlight w:val="none"/>
                      <w:vertAlign w:val="baseline"/>
                      <w:lang w:val="en-US" w:eastAsia="zh-CN"/>
                    </w:rPr>
                    <w:t>直接</w:t>
                  </w:r>
                  <w:r>
                    <w:rPr>
                      <w:rFonts w:hint="default" w:ascii="Times New Roman" w:hAnsi="Times New Roman" w:eastAsia="宋体" w:cs="Times New Roman"/>
                      <w:b w:val="0"/>
                      <w:bCs/>
                      <w:color w:val="auto"/>
                      <w:sz w:val="21"/>
                      <w:szCs w:val="21"/>
                      <w:highlight w:val="none"/>
                      <w:vertAlign w:val="baseline"/>
                      <w:lang w:val="en-US" w:eastAsia="zh-CN"/>
                    </w:rPr>
                    <w:t>排放扩散</w:t>
                  </w:r>
                </w:p>
              </w:tc>
              <w:tc>
                <w:tcPr>
                  <w:tcW w:w="1276" w:type="pct"/>
                  <w:noWrap w:val="0"/>
                  <w:vAlign w:val="center"/>
                </w:tcPr>
                <w:p w14:paraId="3123A20D">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对大气环境有</w:t>
                  </w:r>
                  <w:r>
                    <w:rPr>
                      <w:rFonts w:hint="eastAsia" w:ascii="Times New Roman" w:hAnsi="Times New Roman" w:eastAsia="宋体" w:cs="Times New Roman"/>
                      <w:b w:val="0"/>
                      <w:bCs/>
                      <w:color w:val="auto"/>
                      <w:sz w:val="21"/>
                      <w:szCs w:val="21"/>
                      <w:highlight w:val="none"/>
                      <w:vertAlign w:val="baseline"/>
                      <w:lang w:val="en-US" w:eastAsia="zh-CN"/>
                    </w:rPr>
                    <w:t>轻微的</w:t>
                  </w:r>
                  <w:r>
                    <w:rPr>
                      <w:rFonts w:hint="default" w:ascii="Times New Roman" w:hAnsi="Times New Roman" w:eastAsia="宋体" w:cs="Times New Roman"/>
                      <w:b w:val="0"/>
                      <w:bCs/>
                      <w:color w:val="auto"/>
                      <w:sz w:val="21"/>
                      <w:szCs w:val="21"/>
                      <w:highlight w:val="none"/>
                      <w:vertAlign w:val="baseline"/>
                      <w:lang w:val="en-US" w:eastAsia="zh-CN"/>
                    </w:rPr>
                    <w:t>影响</w:t>
                  </w:r>
                </w:p>
              </w:tc>
            </w:tr>
            <w:tr w14:paraId="5A96D6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65" w:hRule="atLeast"/>
                <w:jc w:val="center"/>
              </w:trPr>
              <w:tc>
                <w:tcPr>
                  <w:tcW w:w="714" w:type="pct"/>
                  <w:vMerge w:val="restart"/>
                  <w:noWrap w:val="0"/>
                  <w:vAlign w:val="center"/>
                </w:tcPr>
                <w:p w14:paraId="2200381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eastAsia"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危险废物</w:t>
                  </w:r>
                </w:p>
                <w:p w14:paraId="6E2CC811">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等</w:t>
                  </w:r>
                  <w:r>
                    <w:rPr>
                      <w:rFonts w:hint="default" w:ascii="Times New Roman" w:hAnsi="Times New Roman" w:eastAsia="宋体" w:cs="Times New Roman"/>
                      <w:b w:val="0"/>
                      <w:bCs/>
                      <w:color w:val="auto"/>
                      <w:sz w:val="21"/>
                      <w:szCs w:val="21"/>
                      <w:highlight w:val="none"/>
                      <w:vertAlign w:val="baseline"/>
                      <w:lang w:val="en-US" w:eastAsia="zh-CN"/>
                    </w:rPr>
                    <w:t>泄漏</w:t>
                  </w:r>
                </w:p>
              </w:tc>
              <w:tc>
                <w:tcPr>
                  <w:tcW w:w="1043" w:type="pct"/>
                  <w:noWrap w:val="0"/>
                  <w:vAlign w:val="center"/>
                </w:tcPr>
                <w:p w14:paraId="39958E92">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包装</w:t>
                  </w:r>
                  <w:r>
                    <w:rPr>
                      <w:rFonts w:hint="default" w:ascii="Times New Roman" w:hAnsi="Times New Roman" w:eastAsia="宋体" w:cs="Times New Roman"/>
                      <w:b w:val="0"/>
                      <w:bCs/>
                      <w:color w:val="auto"/>
                      <w:sz w:val="21"/>
                      <w:szCs w:val="21"/>
                      <w:highlight w:val="none"/>
                      <w:vertAlign w:val="baseline"/>
                      <w:lang w:val="en-US" w:eastAsia="zh-CN"/>
                    </w:rPr>
                    <w:t>桶泄漏</w:t>
                  </w:r>
                </w:p>
              </w:tc>
              <w:tc>
                <w:tcPr>
                  <w:tcW w:w="1964" w:type="pct"/>
                  <w:noWrap w:val="0"/>
                  <w:vAlign w:val="center"/>
                </w:tcPr>
                <w:p w14:paraId="79EF8EA3">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渗入土壤及排入周边水体、有机废气全部以无组织方式排放扩散</w:t>
                  </w:r>
                </w:p>
              </w:tc>
              <w:tc>
                <w:tcPr>
                  <w:tcW w:w="1276" w:type="pct"/>
                  <w:vMerge w:val="restart"/>
                  <w:noWrap w:val="0"/>
                  <w:vAlign w:val="center"/>
                </w:tcPr>
                <w:p w14:paraId="4C5BB368">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对周边</w:t>
                  </w:r>
                  <w:r>
                    <w:rPr>
                      <w:rFonts w:hint="eastAsia" w:ascii="Times New Roman" w:hAnsi="Times New Roman" w:eastAsia="宋体" w:cs="Times New Roman"/>
                      <w:b w:val="0"/>
                      <w:bCs/>
                      <w:color w:val="auto"/>
                      <w:sz w:val="21"/>
                      <w:szCs w:val="21"/>
                      <w:highlight w:val="none"/>
                      <w:vertAlign w:val="baseline"/>
                      <w:lang w:val="en-US" w:eastAsia="zh-CN"/>
                    </w:rPr>
                    <w:t>土壤、</w:t>
                  </w:r>
                  <w:r>
                    <w:rPr>
                      <w:rFonts w:hint="default" w:ascii="Times New Roman" w:hAnsi="Times New Roman" w:eastAsia="宋体" w:cs="Times New Roman"/>
                      <w:b w:val="0"/>
                      <w:bCs/>
                      <w:color w:val="auto"/>
                      <w:sz w:val="21"/>
                      <w:szCs w:val="21"/>
                      <w:highlight w:val="none"/>
                      <w:vertAlign w:val="baseline"/>
                      <w:lang w:val="en-US" w:eastAsia="zh-CN"/>
                    </w:rPr>
                    <w:t>地下水及周边</w:t>
                  </w:r>
                  <w:r>
                    <w:rPr>
                      <w:rFonts w:hint="eastAsia" w:ascii="Times New Roman" w:hAnsi="Times New Roman" w:eastAsia="宋体" w:cs="Times New Roman"/>
                      <w:b w:val="0"/>
                      <w:bCs/>
                      <w:color w:val="auto"/>
                      <w:sz w:val="21"/>
                      <w:szCs w:val="21"/>
                      <w:highlight w:val="none"/>
                      <w:vertAlign w:val="baseline"/>
                      <w:lang w:val="en-US" w:eastAsia="zh-CN"/>
                    </w:rPr>
                    <w:t>地表水</w:t>
                  </w:r>
                  <w:r>
                    <w:rPr>
                      <w:rFonts w:hint="default" w:ascii="Times New Roman" w:hAnsi="Times New Roman" w:eastAsia="宋体" w:cs="Times New Roman"/>
                      <w:b w:val="0"/>
                      <w:bCs/>
                      <w:color w:val="auto"/>
                      <w:sz w:val="21"/>
                      <w:szCs w:val="21"/>
                      <w:highlight w:val="none"/>
                      <w:vertAlign w:val="baseline"/>
                      <w:lang w:val="en-US" w:eastAsia="zh-CN"/>
                    </w:rPr>
                    <w:t>可能造成</w:t>
                  </w:r>
                  <w:r>
                    <w:rPr>
                      <w:rFonts w:hint="eastAsia" w:ascii="Times New Roman" w:hAnsi="Times New Roman" w:eastAsia="宋体" w:cs="Times New Roman"/>
                      <w:b w:val="0"/>
                      <w:bCs/>
                      <w:color w:val="auto"/>
                      <w:sz w:val="21"/>
                      <w:szCs w:val="21"/>
                      <w:highlight w:val="none"/>
                      <w:vertAlign w:val="baseline"/>
                      <w:lang w:val="en-US" w:eastAsia="zh-CN"/>
                    </w:rPr>
                    <w:t>较大</w:t>
                  </w:r>
                  <w:r>
                    <w:rPr>
                      <w:rFonts w:hint="default" w:ascii="Times New Roman" w:hAnsi="Times New Roman" w:eastAsia="宋体" w:cs="Times New Roman"/>
                      <w:b w:val="0"/>
                      <w:bCs/>
                      <w:color w:val="auto"/>
                      <w:sz w:val="21"/>
                      <w:szCs w:val="21"/>
                      <w:highlight w:val="none"/>
                      <w:vertAlign w:val="baseline"/>
                      <w:lang w:val="en-US" w:eastAsia="zh-CN"/>
                    </w:rPr>
                    <w:t>影响、对大气环境有</w:t>
                  </w:r>
                  <w:r>
                    <w:rPr>
                      <w:rFonts w:hint="eastAsia" w:ascii="Times New Roman" w:hAnsi="Times New Roman" w:eastAsia="宋体" w:cs="Times New Roman"/>
                      <w:b w:val="0"/>
                      <w:bCs/>
                      <w:color w:val="auto"/>
                      <w:sz w:val="21"/>
                      <w:szCs w:val="21"/>
                      <w:highlight w:val="none"/>
                      <w:vertAlign w:val="baseline"/>
                      <w:lang w:val="en-US" w:eastAsia="zh-CN"/>
                    </w:rPr>
                    <w:t>轻微</w:t>
                  </w:r>
                  <w:r>
                    <w:rPr>
                      <w:rFonts w:hint="default" w:ascii="Times New Roman" w:hAnsi="Times New Roman" w:eastAsia="宋体" w:cs="Times New Roman"/>
                      <w:b w:val="0"/>
                      <w:bCs/>
                      <w:color w:val="auto"/>
                      <w:sz w:val="21"/>
                      <w:szCs w:val="21"/>
                      <w:highlight w:val="none"/>
                      <w:vertAlign w:val="baseline"/>
                      <w:lang w:val="en-US" w:eastAsia="zh-CN"/>
                    </w:rPr>
                    <w:t>影响</w:t>
                  </w:r>
                </w:p>
              </w:tc>
            </w:tr>
            <w:tr w14:paraId="264DB1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Merge w:val="continue"/>
                  <w:noWrap w:val="0"/>
                  <w:vAlign w:val="center"/>
                </w:tcPr>
                <w:p w14:paraId="6F2FE0A8">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cs="Times New Roman"/>
                      <w:color w:val="auto"/>
                      <w:sz w:val="21"/>
                      <w:szCs w:val="21"/>
                      <w:highlight w:val="none"/>
                      <w:u w:val="none"/>
                    </w:rPr>
                  </w:pPr>
                </w:p>
              </w:tc>
              <w:tc>
                <w:tcPr>
                  <w:tcW w:w="1043" w:type="pct"/>
                  <w:noWrap w:val="0"/>
                  <w:vAlign w:val="center"/>
                </w:tcPr>
                <w:p w14:paraId="69AA0778">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运输车辆发生事故发生泄漏</w:t>
                  </w:r>
                </w:p>
              </w:tc>
              <w:tc>
                <w:tcPr>
                  <w:tcW w:w="1964" w:type="pct"/>
                  <w:noWrap w:val="0"/>
                  <w:vAlign w:val="center"/>
                </w:tcPr>
                <w:p w14:paraId="23C7F8D9">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渗入土壤及排入周边水体、有机废气全部以无组织方式排放扩散</w:t>
                  </w:r>
                </w:p>
              </w:tc>
              <w:tc>
                <w:tcPr>
                  <w:tcW w:w="1276" w:type="pct"/>
                  <w:vMerge w:val="continue"/>
                  <w:noWrap w:val="0"/>
                  <w:vAlign w:val="center"/>
                </w:tcPr>
                <w:p w14:paraId="49EB2C3E">
                  <w:pPr>
                    <w:pStyle w:val="64"/>
                    <w:keepNext w:val="0"/>
                    <w:keepLines w:val="0"/>
                    <w:pageBreakBefore w:val="0"/>
                    <w:widowControl w:val="0"/>
                    <w:kinsoku/>
                    <w:wordWrap/>
                    <w:overflowPunct/>
                    <w:topLinePunct w:val="0"/>
                    <w:autoSpaceDE w:val="0"/>
                    <w:autoSpaceDN w:val="0"/>
                    <w:bidi w:val="0"/>
                    <w:adjustRightInd w:val="0"/>
                    <w:snapToGrid w:val="0"/>
                    <w:spacing w:line="340" w:lineRule="exact"/>
                    <w:textAlignment w:val="auto"/>
                    <w:rPr>
                      <w:rFonts w:hint="default" w:ascii="Times New Roman" w:hAnsi="Times New Roman" w:cs="Times New Roman"/>
                      <w:color w:val="auto"/>
                      <w:sz w:val="21"/>
                      <w:szCs w:val="21"/>
                      <w:highlight w:val="none"/>
                      <w:u w:val="none"/>
                    </w:rPr>
                  </w:pPr>
                </w:p>
              </w:tc>
            </w:tr>
            <w:tr w14:paraId="17703C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noWrap w:val="0"/>
                  <w:vAlign w:val="center"/>
                </w:tcPr>
                <w:p w14:paraId="45E96E7D">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火灾事故</w:t>
                  </w:r>
                </w:p>
              </w:tc>
              <w:tc>
                <w:tcPr>
                  <w:tcW w:w="1043" w:type="pct"/>
                  <w:noWrap w:val="0"/>
                  <w:vAlign w:val="center"/>
                </w:tcPr>
                <w:p w14:paraId="69006D36">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电线短路</w:t>
                  </w:r>
                  <w:r>
                    <w:rPr>
                      <w:rFonts w:hint="eastAsia" w:ascii="Times New Roman" w:hAnsi="Times New Roman" w:eastAsia="宋体" w:cs="Times New Roman"/>
                      <w:b w:val="0"/>
                      <w:bCs/>
                      <w:color w:val="auto"/>
                      <w:sz w:val="21"/>
                      <w:szCs w:val="21"/>
                      <w:highlight w:val="none"/>
                      <w:vertAlign w:val="baseline"/>
                      <w:lang w:val="en-US" w:eastAsia="zh-CN"/>
                    </w:rPr>
                    <w:t>泄漏、</w:t>
                  </w:r>
                  <w:r>
                    <w:rPr>
                      <w:rFonts w:hint="default" w:ascii="Times New Roman" w:hAnsi="Times New Roman" w:eastAsia="宋体" w:cs="Times New Roman"/>
                      <w:b w:val="0"/>
                      <w:bCs/>
                      <w:color w:val="auto"/>
                      <w:sz w:val="21"/>
                      <w:szCs w:val="21"/>
                      <w:highlight w:val="none"/>
                      <w:vertAlign w:val="baseline"/>
                      <w:lang w:val="en-US" w:eastAsia="zh-CN"/>
                    </w:rPr>
                    <w:t>静电火花等，遇明火或高热发生火灾事故</w:t>
                  </w:r>
                </w:p>
              </w:tc>
              <w:tc>
                <w:tcPr>
                  <w:tcW w:w="1964" w:type="pct"/>
                  <w:noWrap w:val="0"/>
                  <w:vAlign w:val="center"/>
                </w:tcPr>
                <w:p w14:paraId="250A77B1">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火灾产生的热辐射、浓烟、有害气体等直接进入环境，火灾扑救过</w:t>
                  </w:r>
                  <w:r>
                    <w:rPr>
                      <w:rFonts w:hint="eastAsia" w:eastAsia="宋体" w:cs="Times New Roman"/>
                      <w:b w:val="0"/>
                      <w:bCs/>
                      <w:color w:val="auto"/>
                      <w:sz w:val="21"/>
                      <w:szCs w:val="21"/>
                      <w:highlight w:val="none"/>
                      <w:vertAlign w:val="baseline"/>
                      <w:lang w:val="en-US" w:eastAsia="zh-CN"/>
                    </w:rPr>
                    <w:t>程中</w:t>
                  </w:r>
                  <w:r>
                    <w:rPr>
                      <w:rFonts w:hint="default" w:ascii="Times New Roman" w:hAnsi="Times New Roman" w:eastAsia="宋体" w:cs="Times New Roman"/>
                      <w:b w:val="0"/>
                      <w:bCs/>
                      <w:color w:val="auto"/>
                      <w:sz w:val="21"/>
                      <w:szCs w:val="21"/>
                      <w:highlight w:val="none"/>
                      <w:vertAlign w:val="baseline"/>
                      <w:lang w:val="en-US" w:eastAsia="zh-CN"/>
                    </w:rPr>
                    <w:t>产生的消防废水全部</w:t>
                  </w:r>
                  <w:r>
                    <w:rPr>
                      <w:rFonts w:hint="eastAsia" w:ascii="Times New Roman" w:hAnsi="Times New Roman" w:eastAsia="宋体" w:cs="Times New Roman"/>
                      <w:b w:val="0"/>
                      <w:bCs/>
                      <w:color w:val="auto"/>
                      <w:sz w:val="21"/>
                      <w:szCs w:val="21"/>
                      <w:highlight w:val="none"/>
                      <w:vertAlign w:val="baseline"/>
                      <w:lang w:val="en-US" w:eastAsia="zh-CN"/>
                    </w:rPr>
                    <w:t>直接排入市政污水管网或者排入周边地表水体</w:t>
                  </w:r>
                </w:p>
              </w:tc>
              <w:tc>
                <w:tcPr>
                  <w:tcW w:w="1276" w:type="pct"/>
                  <w:noWrap w:val="0"/>
                  <w:vAlign w:val="center"/>
                </w:tcPr>
                <w:p w14:paraId="7BDA957A">
                  <w:pPr>
                    <w:pStyle w:val="43"/>
                    <w:keepNext w:val="0"/>
                    <w:keepLines w:val="0"/>
                    <w:pageBreakBefore w:val="0"/>
                    <w:widowControl w:val="0"/>
                    <w:kinsoku/>
                    <w:wordWrap/>
                    <w:overflowPunct/>
                    <w:topLinePunct w:val="0"/>
                    <w:autoSpaceDE w:val="0"/>
                    <w:autoSpaceDN w:val="0"/>
                    <w:bidi w:val="0"/>
                    <w:adjustRightInd w:val="0"/>
                    <w:snapToGrid w:val="0"/>
                    <w:spacing w:before="0" w:after="0" w:line="340" w:lineRule="exact"/>
                    <w:ind w:left="0" w:leftChars="0" w:firstLine="0"/>
                    <w:jc w:val="center"/>
                    <w:textAlignment w:val="baseline"/>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对</w:t>
                  </w:r>
                  <w:r>
                    <w:rPr>
                      <w:rFonts w:hint="eastAsia" w:ascii="Times New Roman" w:hAnsi="Times New Roman" w:eastAsia="宋体" w:cs="Times New Roman"/>
                      <w:b w:val="0"/>
                      <w:bCs/>
                      <w:color w:val="auto"/>
                      <w:sz w:val="21"/>
                      <w:szCs w:val="21"/>
                      <w:highlight w:val="none"/>
                      <w:vertAlign w:val="baseline"/>
                      <w:lang w:val="en-US" w:eastAsia="zh-CN"/>
                    </w:rPr>
                    <w:t>周边环境空气、对周边地表水体等均</w:t>
                  </w:r>
                  <w:r>
                    <w:rPr>
                      <w:rFonts w:hint="default" w:ascii="Times New Roman" w:hAnsi="Times New Roman" w:eastAsia="宋体" w:cs="Times New Roman"/>
                      <w:b w:val="0"/>
                      <w:bCs/>
                      <w:color w:val="auto"/>
                      <w:sz w:val="21"/>
                      <w:szCs w:val="21"/>
                      <w:highlight w:val="none"/>
                      <w:vertAlign w:val="baseline"/>
                      <w:lang w:val="en-US" w:eastAsia="zh-CN"/>
                    </w:rPr>
                    <w:t>有</w:t>
                  </w:r>
                  <w:r>
                    <w:rPr>
                      <w:rFonts w:hint="eastAsia" w:ascii="Times New Roman" w:hAnsi="Times New Roman" w:eastAsia="宋体" w:cs="Times New Roman"/>
                      <w:b w:val="0"/>
                      <w:bCs/>
                      <w:color w:val="auto"/>
                      <w:sz w:val="21"/>
                      <w:szCs w:val="21"/>
                      <w:highlight w:val="none"/>
                      <w:vertAlign w:val="baseline"/>
                      <w:lang w:val="en-US" w:eastAsia="zh-CN"/>
                    </w:rPr>
                    <w:t>较大影响</w:t>
                  </w:r>
                </w:p>
              </w:tc>
            </w:tr>
          </w:tbl>
          <w:p w14:paraId="62D3BA9D">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jc w:val="left"/>
              <w:textAlignment w:val="auto"/>
              <w:outlineLvl w:val="2"/>
              <w:rPr>
                <w:rFonts w:hint="default" w:ascii="Times New Roman" w:hAnsi="Times New Roman" w:eastAsia="宋体" w:cs="Times New Roman"/>
                <w:b/>
                <w:bCs/>
                <w:color w:val="auto"/>
                <w:sz w:val="24"/>
                <w:highlight w:val="none"/>
                <w:lang w:val="en-US" w:eastAsia="zh-CN"/>
              </w:rPr>
            </w:pPr>
            <w:bookmarkStart w:id="121" w:name="_Toc2471"/>
            <w:r>
              <w:rPr>
                <w:rFonts w:hint="eastAsia" w:cs="Times New Roman"/>
                <w:b/>
                <w:bCs/>
                <w:color w:val="auto"/>
                <w:sz w:val="24"/>
                <w:highlight w:val="none"/>
                <w:lang w:val="en-US" w:eastAsia="zh-CN"/>
              </w:rPr>
              <w:t xml:space="preserve">4.6.3 </w:t>
            </w:r>
            <w:r>
              <w:rPr>
                <w:rFonts w:hint="default" w:ascii="Times New Roman" w:hAnsi="Times New Roman" w:eastAsia="宋体" w:cs="Times New Roman"/>
                <w:b/>
                <w:bCs/>
                <w:color w:val="auto"/>
                <w:sz w:val="24"/>
                <w:highlight w:val="none"/>
                <w:lang w:val="en-US" w:eastAsia="zh-CN"/>
              </w:rPr>
              <w:t>环境风险防范措施</w:t>
            </w:r>
            <w:bookmarkEnd w:id="121"/>
          </w:p>
          <w:p w14:paraId="4EB484DB">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lang w:eastAsia="zh-CN"/>
              </w:rPr>
              <w:t>（1）</w:t>
            </w:r>
            <w:r>
              <w:rPr>
                <w:rFonts w:hint="eastAsia"/>
                <w:color w:val="auto"/>
                <w:kern w:val="0"/>
                <w:sz w:val="24"/>
              </w:rPr>
              <w:t>废气事故排放</w:t>
            </w:r>
            <w:r>
              <w:rPr>
                <w:color w:val="auto"/>
                <w:kern w:val="0"/>
                <w:sz w:val="24"/>
              </w:rPr>
              <w:t>风险防范措施</w:t>
            </w:r>
          </w:p>
          <w:p w14:paraId="30C761EC">
            <w:pPr>
              <w:autoSpaceDE w:val="0"/>
              <w:autoSpaceDN w:val="0"/>
              <w:adjustRightInd w:val="0"/>
              <w:snapToGrid w:val="0"/>
              <w:spacing w:line="360" w:lineRule="auto"/>
              <w:ind w:firstLine="480" w:firstLineChars="200"/>
              <w:jc w:val="left"/>
              <w:rPr>
                <w:rFonts w:hint="eastAsia"/>
                <w:color w:val="auto"/>
                <w:kern w:val="0"/>
                <w:sz w:val="24"/>
              </w:rPr>
            </w:pPr>
            <w:r>
              <w:rPr>
                <w:color w:val="auto"/>
                <w:kern w:val="0"/>
                <w:sz w:val="24"/>
              </w:rPr>
              <w:t>①</w:t>
            </w:r>
            <w:r>
              <w:rPr>
                <w:rFonts w:hint="eastAsia"/>
                <w:color w:val="auto"/>
                <w:kern w:val="0"/>
                <w:sz w:val="24"/>
              </w:rPr>
              <w:t>定期对废气处理设施从设备到运输管道进行检修，发现问题及时解决。</w:t>
            </w:r>
          </w:p>
          <w:p w14:paraId="11276C95">
            <w:pPr>
              <w:autoSpaceDE w:val="0"/>
              <w:autoSpaceDN w:val="0"/>
              <w:adjustRightInd w:val="0"/>
              <w:snapToGrid w:val="0"/>
              <w:spacing w:line="360" w:lineRule="auto"/>
              <w:ind w:firstLine="480" w:firstLineChars="200"/>
              <w:jc w:val="left"/>
              <w:rPr>
                <w:color w:val="auto"/>
                <w:kern w:val="0"/>
                <w:sz w:val="24"/>
              </w:rPr>
            </w:pPr>
            <w:r>
              <w:rPr>
                <w:color w:val="auto"/>
                <w:kern w:val="0"/>
                <w:sz w:val="24"/>
              </w:rPr>
              <w:t>②</w:t>
            </w:r>
            <w:r>
              <w:rPr>
                <w:rFonts w:hint="eastAsia"/>
                <w:color w:val="auto"/>
                <w:kern w:val="0"/>
                <w:sz w:val="24"/>
              </w:rPr>
              <w:t>各生产岗位制定严格的操作规程和注意事项，车间工人需熟悉工作流程，严格按操作规程进行运行控制，防止操作失误导致废气事故排放。</w:t>
            </w:r>
          </w:p>
          <w:p w14:paraId="644B4B8F">
            <w:pPr>
              <w:autoSpaceDE w:val="0"/>
              <w:autoSpaceDN w:val="0"/>
              <w:adjustRightInd w:val="0"/>
              <w:snapToGrid w:val="0"/>
              <w:spacing w:line="360" w:lineRule="auto"/>
              <w:ind w:firstLine="480" w:firstLineChars="200"/>
              <w:jc w:val="left"/>
              <w:rPr>
                <w:rFonts w:hint="eastAsia"/>
                <w:color w:val="auto"/>
                <w:sz w:val="24"/>
              </w:rPr>
            </w:pPr>
            <w:r>
              <w:rPr>
                <w:color w:val="auto"/>
                <w:kern w:val="0"/>
                <w:sz w:val="24"/>
              </w:rPr>
              <w:t>③</w:t>
            </w:r>
            <w:r>
              <w:rPr>
                <w:rFonts w:hint="eastAsia"/>
                <w:color w:val="auto"/>
                <w:kern w:val="0"/>
                <w:sz w:val="24"/>
              </w:rPr>
              <w:t>定期更换活性炭，</w:t>
            </w:r>
            <w:r>
              <w:rPr>
                <w:color w:val="auto"/>
                <w:sz w:val="24"/>
              </w:rPr>
              <w:t>同时确保项目</w:t>
            </w:r>
            <w:r>
              <w:rPr>
                <w:rFonts w:hint="eastAsia"/>
                <w:color w:val="auto"/>
                <w:sz w:val="24"/>
                <w:lang w:eastAsia="zh-CN"/>
              </w:rPr>
              <w:t>活性炭吸附装置</w:t>
            </w:r>
            <w:r>
              <w:rPr>
                <w:color w:val="auto"/>
                <w:sz w:val="24"/>
              </w:rPr>
              <w:t>一次性装置量</w:t>
            </w:r>
            <w:r>
              <w:rPr>
                <w:rFonts w:hint="eastAsia"/>
                <w:color w:val="auto"/>
                <w:sz w:val="24"/>
              </w:rPr>
              <w:t>。</w:t>
            </w:r>
          </w:p>
          <w:p w14:paraId="5DCD9A3F">
            <w:pPr>
              <w:autoSpaceDE w:val="0"/>
              <w:autoSpaceDN w:val="0"/>
              <w:adjustRightInd w:val="0"/>
              <w:spacing w:line="360" w:lineRule="auto"/>
              <w:ind w:firstLine="480" w:firstLineChars="200"/>
              <w:jc w:val="left"/>
              <w:rPr>
                <w:color w:val="auto"/>
                <w:kern w:val="0"/>
                <w:sz w:val="24"/>
              </w:rPr>
            </w:pPr>
            <w:r>
              <w:rPr>
                <w:rFonts w:hint="eastAsia"/>
                <w:color w:val="auto"/>
                <w:sz w:val="24"/>
                <w:lang w:eastAsia="zh-CN"/>
              </w:rPr>
              <w:t>（2）</w:t>
            </w:r>
            <w:r>
              <w:rPr>
                <w:rFonts w:hint="eastAsia"/>
                <w:color w:val="auto"/>
                <w:kern w:val="0"/>
                <w:sz w:val="24"/>
              </w:rPr>
              <w:t>危险废物等</w:t>
            </w:r>
            <w:r>
              <w:rPr>
                <w:color w:val="auto"/>
                <w:kern w:val="0"/>
                <w:sz w:val="24"/>
              </w:rPr>
              <w:t>泄漏事故风险防范措施</w:t>
            </w:r>
          </w:p>
          <w:p w14:paraId="6C41553B">
            <w:pPr>
              <w:autoSpaceDE w:val="0"/>
              <w:autoSpaceDN w:val="0"/>
              <w:adjustRightInd w:val="0"/>
              <w:snapToGrid w:val="0"/>
              <w:spacing w:line="360" w:lineRule="auto"/>
              <w:ind w:firstLine="480" w:firstLineChars="200"/>
              <w:jc w:val="left"/>
              <w:rPr>
                <w:color w:val="auto"/>
                <w:kern w:val="0"/>
                <w:sz w:val="24"/>
              </w:rPr>
            </w:pPr>
            <w:r>
              <w:rPr>
                <w:color w:val="auto"/>
                <w:kern w:val="0"/>
                <w:sz w:val="24"/>
              </w:rPr>
              <w:t>①</w:t>
            </w:r>
            <w:r>
              <w:rPr>
                <w:rFonts w:hint="eastAsia"/>
                <w:color w:val="auto"/>
                <w:kern w:val="0"/>
                <w:sz w:val="24"/>
              </w:rPr>
              <w:t>危险废物间</w:t>
            </w:r>
            <w:r>
              <w:rPr>
                <w:color w:val="auto"/>
                <w:kern w:val="0"/>
                <w:sz w:val="24"/>
              </w:rPr>
              <w:t>周围设置围堰</w:t>
            </w:r>
            <w:r>
              <w:rPr>
                <w:rFonts w:hint="eastAsia"/>
                <w:color w:val="auto"/>
                <w:kern w:val="0"/>
                <w:sz w:val="24"/>
              </w:rPr>
              <w:t>，</w:t>
            </w:r>
            <w:r>
              <w:rPr>
                <w:color w:val="auto"/>
                <w:kern w:val="0"/>
                <w:sz w:val="24"/>
              </w:rPr>
              <w:t>地面采取防渗，设置导流沟</w:t>
            </w:r>
            <w:r>
              <w:rPr>
                <w:rFonts w:hint="eastAsia"/>
                <w:color w:val="auto"/>
                <w:kern w:val="0"/>
                <w:sz w:val="24"/>
              </w:rPr>
              <w:t>，</w:t>
            </w:r>
            <w:r>
              <w:rPr>
                <w:color w:val="auto"/>
                <w:kern w:val="0"/>
                <w:sz w:val="24"/>
              </w:rPr>
              <w:t>设置警示标识等</w:t>
            </w:r>
            <w:r>
              <w:rPr>
                <w:rFonts w:hint="eastAsia"/>
                <w:color w:val="auto"/>
                <w:kern w:val="0"/>
                <w:sz w:val="24"/>
              </w:rPr>
              <w:t>。</w:t>
            </w:r>
          </w:p>
          <w:p w14:paraId="7066707D">
            <w:pPr>
              <w:autoSpaceDE w:val="0"/>
              <w:autoSpaceDN w:val="0"/>
              <w:adjustRightInd w:val="0"/>
              <w:snapToGrid w:val="0"/>
              <w:spacing w:line="360" w:lineRule="auto"/>
              <w:ind w:firstLine="480" w:firstLineChars="200"/>
              <w:jc w:val="left"/>
              <w:rPr>
                <w:color w:val="auto"/>
                <w:kern w:val="0"/>
                <w:sz w:val="24"/>
              </w:rPr>
            </w:pPr>
            <w:r>
              <w:rPr>
                <w:color w:val="auto"/>
                <w:kern w:val="0"/>
                <w:sz w:val="24"/>
              </w:rPr>
              <w:t>②</w:t>
            </w:r>
            <w:r>
              <w:rPr>
                <w:rFonts w:hint="eastAsia"/>
                <w:color w:val="auto"/>
                <w:kern w:val="0"/>
                <w:sz w:val="24"/>
              </w:rPr>
              <w:t>危险废物间</w:t>
            </w:r>
            <w:r>
              <w:rPr>
                <w:color w:val="auto"/>
                <w:kern w:val="0"/>
                <w:sz w:val="24"/>
              </w:rPr>
              <w:t>严禁明火，严格遵守操作规程，避免因操作失误发生事故。</w:t>
            </w:r>
          </w:p>
          <w:p w14:paraId="24687614">
            <w:pPr>
              <w:autoSpaceDE w:val="0"/>
              <w:autoSpaceDN w:val="0"/>
              <w:adjustRightInd w:val="0"/>
              <w:snapToGrid w:val="0"/>
              <w:spacing w:line="360" w:lineRule="auto"/>
              <w:ind w:firstLine="480" w:firstLineChars="200"/>
              <w:jc w:val="left"/>
              <w:rPr>
                <w:color w:val="auto"/>
                <w:sz w:val="24"/>
              </w:rPr>
            </w:pPr>
            <w:r>
              <w:rPr>
                <w:color w:val="auto"/>
                <w:sz w:val="24"/>
              </w:rPr>
              <w:t>③</w:t>
            </w:r>
            <w:r>
              <w:rPr>
                <w:color w:val="auto"/>
                <w:kern w:val="0"/>
                <w:sz w:val="24"/>
              </w:rPr>
              <w:t>配备</w:t>
            </w:r>
            <w:r>
              <w:rPr>
                <w:color w:val="auto"/>
                <w:sz w:val="24"/>
              </w:rPr>
              <w:t>相应的堵漏材料</w:t>
            </w:r>
            <w:r>
              <w:rPr>
                <w:rFonts w:hint="eastAsia"/>
                <w:color w:val="auto"/>
                <w:sz w:val="24"/>
                <w:lang w:eastAsia="zh-CN"/>
              </w:rPr>
              <w:t>（</w:t>
            </w:r>
            <w:r>
              <w:rPr>
                <w:rFonts w:hint="eastAsia"/>
                <w:color w:val="auto"/>
                <w:sz w:val="24"/>
              </w:rPr>
              <w:t>沙袋</w:t>
            </w:r>
            <w:r>
              <w:rPr>
                <w:color w:val="auto"/>
                <w:sz w:val="24"/>
              </w:rPr>
              <w:t>、吸油毡等</w:t>
            </w:r>
            <w:r>
              <w:rPr>
                <w:rFonts w:hint="eastAsia"/>
                <w:color w:val="auto"/>
                <w:sz w:val="24"/>
                <w:lang w:eastAsia="zh-CN"/>
              </w:rPr>
              <w:t>）</w:t>
            </w:r>
            <w:r>
              <w:rPr>
                <w:color w:val="auto"/>
                <w:sz w:val="24"/>
              </w:rPr>
              <w:t>。</w:t>
            </w:r>
          </w:p>
          <w:p w14:paraId="36556C1F">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u w:val="none"/>
                <w:lang w:val="en-US" w:eastAsia="zh-CN"/>
              </w:rPr>
            </w:pPr>
            <w:r>
              <w:rPr>
                <w:rFonts w:hint="default" w:ascii="Times New Roman" w:hAnsi="Times New Roman" w:eastAsia="宋体" w:cs="Times New Roman"/>
                <w:color w:val="auto"/>
                <w:kern w:val="0"/>
                <w:sz w:val="24"/>
                <w:highlight w:val="none"/>
                <w:u w:val="none"/>
                <w:lang w:val="en-US" w:eastAsia="zh-CN"/>
              </w:rPr>
              <w:t>④项目</w:t>
            </w:r>
            <w:r>
              <w:rPr>
                <w:rFonts w:hint="eastAsia" w:ascii="Times New Roman" w:hAnsi="Times New Roman" w:eastAsia="宋体" w:cs="Times New Roman"/>
                <w:color w:val="auto"/>
                <w:kern w:val="0"/>
                <w:sz w:val="24"/>
                <w:highlight w:val="none"/>
                <w:u w:val="none"/>
                <w:lang w:val="en-US" w:eastAsia="zh-CN"/>
              </w:rPr>
              <w:t>危险废物贮存库</w:t>
            </w:r>
            <w:r>
              <w:rPr>
                <w:rFonts w:hint="default" w:ascii="Times New Roman" w:hAnsi="Times New Roman" w:eastAsia="宋体" w:cs="Times New Roman"/>
                <w:color w:val="auto"/>
                <w:kern w:val="0"/>
                <w:sz w:val="24"/>
                <w:highlight w:val="none"/>
                <w:u w:val="none"/>
                <w:lang w:val="en-US" w:eastAsia="zh-CN"/>
              </w:rPr>
              <w:t>应按照《危险废物贮存污染控制标准》</w:t>
            </w:r>
            <w:r>
              <w:rPr>
                <w:rFonts w:hint="eastAsia" w:cs="Times New Roman"/>
                <w:color w:val="auto"/>
                <w:kern w:val="0"/>
                <w:sz w:val="24"/>
                <w:highlight w:val="none"/>
                <w:u w:val="none"/>
                <w:lang w:val="en-US" w:eastAsia="zh-CN"/>
              </w:rPr>
              <w:t>（</w:t>
            </w:r>
            <w:r>
              <w:rPr>
                <w:rFonts w:hint="default" w:ascii="Times New Roman" w:hAnsi="Times New Roman" w:eastAsia="宋体" w:cs="Times New Roman"/>
                <w:color w:val="auto"/>
                <w:kern w:val="0"/>
                <w:sz w:val="24"/>
                <w:highlight w:val="none"/>
                <w:u w:val="none"/>
                <w:lang w:val="en-US" w:eastAsia="zh-CN"/>
              </w:rPr>
              <w:t>GB18597-2023</w:t>
            </w:r>
            <w:r>
              <w:rPr>
                <w:rFonts w:hint="eastAsia" w:cs="Times New Roman"/>
                <w:color w:val="auto"/>
                <w:kern w:val="0"/>
                <w:sz w:val="24"/>
                <w:highlight w:val="none"/>
                <w:u w:val="none"/>
                <w:lang w:val="en-US" w:eastAsia="zh-CN"/>
              </w:rPr>
              <w:t>）</w:t>
            </w:r>
            <w:r>
              <w:rPr>
                <w:rFonts w:hint="default" w:ascii="Times New Roman" w:hAnsi="Times New Roman" w:eastAsia="宋体" w:cs="Times New Roman"/>
                <w:color w:val="auto"/>
                <w:kern w:val="0"/>
                <w:sz w:val="24"/>
                <w:highlight w:val="none"/>
                <w:u w:val="none"/>
                <w:lang w:val="en-US" w:eastAsia="zh-CN"/>
              </w:rPr>
              <w:t>要求进行建设，具备</w:t>
            </w:r>
            <w:r>
              <w:rPr>
                <w:rFonts w:hint="eastAsia" w:ascii="Times New Roman" w:hAnsi="Times New Roman" w:eastAsia="宋体" w:cs="Times New Roman"/>
                <w:color w:val="auto"/>
                <w:kern w:val="0"/>
                <w:sz w:val="24"/>
                <w:highlight w:val="none"/>
                <w:u w:val="none"/>
                <w:lang w:val="en-US" w:eastAsia="zh-CN"/>
              </w:rPr>
              <w:t>防风、防雨、防晒、防止流失及扬散、防渗、防漏等要求</w:t>
            </w:r>
            <w:r>
              <w:rPr>
                <w:rFonts w:hint="default" w:ascii="Times New Roman" w:hAnsi="Times New Roman" w:eastAsia="宋体" w:cs="Times New Roman"/>
                <w:color w:val="auto"/>
                <w:kern w:val="0"/>
                <w:sz w:val="24"/>
                <w:highlight w:val="none"/>
                <w:u w:val="none"/>
                <w:lang w:val="en-US" w:eastAsia="zh-CN"/>
              </w:rPr>
              <w:t>。</w:t>
            </w:r>
            <w:r>
              <w:rPr>
                <w:rFonts w:hint="eastAsia" w:ascii="Times New Roman" w:hAnsi="Times New Roman" w:eastAsia="宋体" w:cs="Times New Roman"/>
                <w:color w:val="auto"/>
                <w:kern w:val="0"/>
                <w:sz w:val="24"/>
                <w:highlight w:val="none"/>
                <w:u w:val="none"/>
                <w:lang w:val="en-US" w:eastAsia="zh-CN"/>
              </w:rPr>
              <w:t>危险废物等</w:t>
            </w:r>
            <w:r>
              <w:rPr>
                <w:rFonts w:hint="default" w:ascii="Times New Roman" w:hAnsi="Times New Roman" w:eastAsia="宋体" w:cs="Times New Roman"/>
                <w:color w:val="auto"/>
                <w:kern w:val="0"/>
                <w:sz w:val="24"/>
                <w:highlight w:val="none"/>
                <w:u w:val="none"/>
                <w:lang w:val="en-US" w:eastAsia="zh-CN"/>
              </w:rPr>
              <w:t>不得与禁忌化学品混合贮存。</w:t>
            </w:r>
          </w:p>
          <w:p w14:paraId="113D6662">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lang w:eastAsia="zh-CN"/>
              </w:rPr>
              <w:t>（3）</w:t>
            </w:r>
            <w:r>
              <w:rPr>
                <w:color w:val="auto"/>
                <w:kern w:val="0"/>
                <w:sz w:val="24"/>
              </w:rPr>
              <w:t>火灾事故风险防范措施</w:t>
            </w:r>
          </w:p>
          <w:p w14:paraId="2EFB3343">
            <w:pPr>
              <w:adjustRightInd w:val="0"/>
              <w:snapToGrid w:val="0"/>
              <w:spacing w:line="360" w:lineRule="auto"/>
              <w:ind w:firstLine="480" w:firstLineChars="200"/>
              <w:rPr>
                <w:bCs/>
                <w:color w:val="auto"/>
                <w:sz w:val="24"/>
              </w:rPr>
            </w:pPr>
            <w:r>
              <w:rPr>
                <w:bCs/>
                <w:color w:val="auto"/>
                <w:sz w:val="24"/>
              </w:rPr>
              <w:t>①加强消防设施和灭火器材的配备，严格落实有关消防技术规范的规定，加强人员疏散设施管理，保证疏散通道畅通。</w:t>
            </w:r>
          </w:p>
          <w:p w14:paraId="553EE387">
            <w:pPr>
              <w:adjustRightInd w:val="0"/>
              <w:snapToGrid w:val="0"/>
              <w:spacing w:line="360" w:lineRule="auto"/>
              <w:ind w:firstLine="480" w:firstLineChars="200"/>
              <w:rPr>
                <w:bCs/>
                <w:color w:val="auto"/>
                <w:sz w:val="24"/>
              </w:rPr>
            </w:pPr>
            <w:r>
              <w:rPr>
                <w:bCs/>
                <w:color w:val="auto"/>
                <w:sz w:val="24"/>
              </w:rPr>
              <w:t>②定期进行防火安全检查，确保消防设施完整好用。</w:t>
            </w:r>
          </w:p>
          <w:p w14:paraId="3DC572C4">
            <w:pPr>
              <w:adjustRightInd w:val="0"/>
              <w:snapToGrid w:val="0"/>
              <w:spacing w:line="360" w:lineRule="auto"/>
              <w:ind w:firstLine="480" w:firstLineChars="200"/>
              <w:rPr>
                <w:bCs/>
                <w:color w:val="auto"/>
                <w:sz w:val="24"/>
              </w:rPr>
            </w:pPr>
            <w:r>
              <w:rPr>
                <w:color w:val="auto"/>
                <w:sz w:val="24"/>
              </w:rPr>
              <w:t>③</w:t>
            </w:r>
            <w:r>
              <w:rPr>
                <w:bCs/>
                <w:color w:val="auto"/>
                <w:sz w:val="24"/>
              </w:rPr>
              <w:t>公司要求职工应遵守各项规章制度，杜绝</w:t>
            </w:r>
            <w:r>
              <w:rPr>
                <w:rFonts w:hint="eastAsia"/>
                <w:bCs/>
                <w:color w:val="auto"/>
                <w:sz w:val="24"/>
                <w:lang w:eastAsia="zh-CN"/>
              </w:rPr>
              <w:t>“</w:t>
            </w:r>
            <w:r>
              <w:rPr>
                <w:bCs/>
                <w:color w:val="auto"/>
                <w:sz w:val="24"/>
              </w:rPr>
              <w:t>三违</w:t>
            </w:r>
            <w:r>
              <w:rPr>
                <w:rFonts w:hint="eastAsia"/>
                <w:bCs/>
                <w:color w:val="auto"/>
                <w:sz w:val="24"/>
                <w:lang w:eastAsia="zh-CN"/>
              </w:rPr>
              <w:t>”（</w:t>
            </w:r>
            <w:r>
              <w:rPr>
                <w:bCs/>
                <w:color w:val="auto"/>
                <w:sz w:val="24"/>
              </w:rPr>
              <w:t>违章作业、违章指挥、违反劳动纪律</w:t>
            </w:r>
            <w:r>
              <w:rPr>
                <w:rFonts w:hint="eastAsia"/>
                <w:bCs/>
                <w:color w:val="auto"/>
                <w:sz w:val="24"/>
                <w:lang w:eastAsia="zh-CN"/>
              </w:rPr>
              <w:t>）</w:t>
            </w:r>
            <w:r>
              <w:rPr>
                <w:bCs/>
                <w:color w:val="auto"/>
                <w:sz w:val="24"/>
              </w:rPr>
              <w:t>，作业时要遵守各项规定</w:t>
            </w:r>
            <w:r>
              <w:rPr>
                <w:rFonts w:hint="eastAsia"/>
                <w:bCs/>
                <w:color w:val="auto"/>
                <w:sz w:val="24"/>
                <w:lang w:eastAsia="zh-CN"/>
              </w:rPr>
              <w:t>（</w:t>
            </w:r>
            <w:r>
              <w:rPr>
                <w:bCs/>
                <w:color w:val="auto"/>
                <w:sz w:val="24"/>
              </w:rPr>
              <w:t>如动火、高处作业、进入设备作业等规定</w:t>
            </w:r>
            <w:r>
              <w:rPr>
                <w:rFonts w:hint="eastAsia"/>
                <w:bCs/>
                <w:color w:val="auto"/>
                <w:sz w:val="24"/>
                <w:lang w:eastAsia="zh-CN"/>
              </w:rPr>
              <w:t>）</w:t>
            </w:r>
            <w:r>
              <w:rPr>
                <w:bCs/>
                <w:color w:val="auto"/>
                <w:sz w:val="24"/>
              </w:rPr>
              <w:t>要求，确保安全生产。</w:t>
            </w:r>
          </w:p>
          <w:p w14:paraId="0347A93D">
            <w:pPr>
              <w:adjustRightInd w:val="0"/>
              <w:snapToGrid w:val="0"/>
              <w:spacing w:line="360" w:lineRule="auto"/>
              <w:ind w:firstLine="480" w:firstLineChars="200"/>
              <w:rPr>
                <w:bCs/>
                <w:color w:val="auto"/>
                <w:sz w:val="24"/>
              </w:rPr>
            </w:pPr>
            <w:r>
              <w:rPr>
                <w:bCs/>
                <w:color w:val="auto"/>
                <w:sz w:val="24"/>
              </w:rPr>
              <w:t>④公司强化安全、消防和环保管理，完善环保安全管理机构，完善各项管理制度，加强日常监督检查；</w:t>
            </w:r>
            <w:r>
              <w:rPr>
                <w:rFonts w:hint="eastAsia"/>
                <w:bCs/>
                <w:color w:val="auto"/>
                <w:sz w:val="24"/>
              </w:rPr>
              <w:t>车间</w:t>
            </w:r>
            <w:r>
              <w:rPr>
                <w:bCs/>
                <w:color w:val="auto"/>
                <w:sz w:val="24"/>
              </w:rPr>
              <w:t>内严禁烟火，严格动火审批制度，进料车辆必须戴阻火器。</w:t>
            </w:r>
          </w:p>
          <w:p w14:paraId="21ED66C6">
            <w:pPr>
              <w:pStyle w:val="70"/>
              <w:ind w:left="0" w:leftChars="0" w:firstLine="0" w:firstLineChars="0"/>
              <w:rPr>
                <w:rFonts w:hint="default" w:ascii="Times New Roman" w:hAnsi="Times New Roman" w:cs="Times New Roman"/>
                <w:b/>
                <w:bCs/>
                <w:color w:val="auto"/>
                <w:highlight w:val="none"/>
              </w:rPr>
            </w:pPr>
            <w:r>
              <w:rPr>
                <w:rFonts w:hint="eastAsia" w:cs="Times New Roman"/>
                <w:b/>
                <w:bCs/>
                <w:color w:val="auto"/>
                <w:highlight w:val="none"/>
                <w:lang w:val="en-US" w:eastAsia="zh-CN"/>
              </w:rPr>
              <w:t xml:space="preserve">4.6.4 </w:t>
            </w:r>
            <w:r>
              <w:rPr>
                <w:rFonts w:hint="default" w:ascii="Times New Roman" w:hAnsi="Times New Roman" w:cs="Times New Roman"/>
                <w:b/>
                <w:bCs/>
                <w:color w:val="auto"/>
                <w:highlight w:val="none"/>
              </w:rPr>
              <w:t>风险分析结论</w:t>
            </w:r>
          </w:p>
          <w:p w14:paraId="5D021A15">
            <w:pPr>
              <w:pStyle w:val="70"/>
            </w:pPr>
            <w:r>
              <w:rPr>
                <w:rFonts w:hint="default" w:ascii="Times New Roman" w:hAnsi="Times New Roman" w:cs="Times New Roman"/>
                <w:color w:val="auto"/>
                <w:highlight w:val="none"/>
                <w:lang w:val="en-GB"/>
              </w:rPr>
              <w:t>本项目</w:t>
            </w:r>
            <w:r>
              <w:rPr>
                <w:rFonts w:hint="eastAsia" w:ascii="Times New Roman" w:hAnsi="Times New Roman" w:cs="Times New Roman"/>
                <w:color w:val="auto"/>
                <w:highlight w:val="none"/>
                <w:lang w:val="en-US" w:eastAsia="zh-CN"/>
              </w:rPr>
              <w:t>再配备</w:t>
            </w:r>
            <w:r>
              <w:rPr>
                <w:rFonts w:hint="default" w:ascii="Times New Roman" w:hAnsi="Times New Roman" w:cs="Times New Roman"/>
                <w:color w:val="auto"/>
                <w:highlight w:val="none"/>
                <w:lang w:val="en-GB" w:eastAsia="zh-CN"/>
              </w:rPr>
              <w:t>相应的</w:t>
            </w:r>
            <w:r>
              <w:rPr>
                <w:rFonts w:hint="eastAsia" w:ascii="Times New Roman" w:hAnsi="Times New Roman" w:cs="Times New Roman"/>
                <w:color w:val="auto"/>
                <w:highlight w:val="none"/>
                <w:lang w:val="en-GB" w:eastAsia="zh-CN"/>
              </w:rPr>
              <w:t>应急物资，</w:t>
            </w:r>
            <w:r>
              <w:rPr>
                <w:rFonts w:hint="default" w:ascii="Times New Roman" w:hAnsi="Times New Roman" w:cs="Times New Roman"/>
                <w:color w:val="auto"/>
                <w:highlight w:val="none"/>
                <w:lang w:val="en-GB"/>
              </w:rPr>
              <w:t>加强厂区防火管理</w:t>
            </w:r>
            <w:r>
              <w:rPr>
                <w:rFonts w:hint="eastAsia" w:ascii="Times New Roman" w:hAnsi="Times New Roman" w:cs="Times New Roman"/>
                <w:color w:val="auto"/>
                <w:highlight w:val="none"/>
                <w:lang w:val="en-GB" w:eastAsia="zh-CN"/>
              </w:rPr>
              <w:t>，</w:t>
            </w:r>
            <w:r>
              <w:rPr>
                <w:rFonts w:hint="eastAsia" w:ascii="Times New Roman" w:hAnsi="Times New Roman" w:cs="Times New Roman"/>
                <w:color w:val="auto"/>
                <w:highlight w:val="none"/>
                <w:lang w:val="en-US" w:eastAsia="zh-CN"/>
              </w:rPr>
              <w:t>加强环保设施运行维护</w:t>
            </w:r>
            <w:r>
              <w:rPr>
                <w:rFonts w:hint="eastAsia" w:cs="Times New Roman"/>
                <w:color w:val="auto"/>
                <w:highlight w:val="none"/>
                <w:lang w:val="en-US" w:eastAsia="zh-CN"/>
              </w:rPr>
              <w:t>，在</w:t>
            </w:r>
            <w:r>
              <w:rPr>
                <w:rFonts w:hint="default" w:ascii="Times New Roman" w:hAnsi="Times New Roman" w:cs="Times New Roman"/>
                <w:color w:val="auto"/>
                <w:highlight w:val="none"/>
                <w:lang w:val="en-GB"/>
              </w:rPr>
              <w:t>完善事故风险防范措施</w:t>
            </w:r>
            <w:r>
              <w:rPr>
                <w:rFonts w:hint="eastAsia" w:ascii="Times New Roman" w:hAnsi="Times New Roman" w:cs="Times New Roman"/>
                <w:color w:val="auto"/>
                <w:highlight w:val="none"/>
                <w:lang w:val="en-US" w:eastAsia="zh-CN"/>
              </w:rPr>
              <w:t>的前提下</w:t>
            </w:r>
            <w:r>
              <w:rPr>
                <w:rFonts w:hint="default" w:ascii="Times New Roman" w:hAnsi="Times New Roman" w:cs="Times New Roman"/>
                <w:color w:val="auto"/>
                <w:highlight w:val="none"/>
                <w:lang w:val="en-GB"/>
              </w:rPr>
              <w:t>，事故发生概率很低，本项目环境风险在可接受的范围内。</w:t>
            </w:r>
            <w:bookmarkEnd w:id="120"/>
          </w:p>
          <w:p w14:paraId="18A441FC">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8"/>
                <w:szCs w:val="28"/>
                <w:u w:val="none"/>
                <w:lang w:val="en-US" w:eastAsia="zh-CN"/>
              </w:rPr>
            </w:pPr>
            <w:bookmarkStart w:id="122" w:name="_Toc15285"/>
            <w:r>
              <w:rPr>
                <w:rFonts w:hint="eastAsia" w:ascii="Times New Roman" w:hAnsi="Times New Roman" w:eastAsia="宋体" w:cs="Times New Roman"/>
                <w:color w:val="auto"/>
                <w:sz w:val="28"/>
                <w:szCs w:val="28"/>
                <w:u w:val="none"/>
                <w:lang w:val="en-US" w:eastAsia="zh-CN"/>
              </w:rPr>
              <w:t>4.7自行监测计划</w:t>
            </w:r>
            <w:bookmarkEnd w:id="122"/>
          </w:p>
          <w:p w14:paraId="04D45B6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本评价根据《排污单位自行监测技术指南 总则》（HJ819-2017）、《排污许可证申请与核发技术规范 橡胶和塑料制品工业》（HJ1122</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2020）的要求，提出项目运营期自行监测计划，具体详见表4.</w:t>
            </w:r>
            <w:r>
              <w:rPr>
                <w:rFonts w:hint="eastAsia" w:ascii="Times New Roman" w:hAnsi="Times New Roman" w:eastAsia="宋体"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-1。</w:t>
            </w:r>
          </w:p>
          <w:p w14:paraId="46F6EE35">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表4.8-1 本项目自行监测计划</w:t>
            </w:r>
          </w:p>
          <w:tbl>
            <w:tblPr>
              <w:tblStyle w:val="24"/>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844"/>
              <w:gridCol w:w="3376"/>
              <w:gridCol w:w="1824"/>
              <w:gridCol w:w="1143"/>
              <w:gridCol w:w="1109"/>
            </w:tblGrid>
            <w:tr w14:paraId="09236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787" w:type="pct"/>
                  <w:gridSpan w:val="2"/>
                  <w:tcBorders>
                    <w:tl2br w:val="nil"/>
                    <w:tr2bl w:val="nil"/>
                  </w:tcBorders>
                  <w:noWrap w:val="0"/>
                  <w:vAlign w:val="center"/>
                </w:tcPr>
                <w:p w14:paraId="070B55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类别</w:t>
                  </w:r>
                </w:p>
              </w:tc>
              <w:tc>
                <w:tcPr>
                  <w:tcW w:w="1908" w:type="pct"/>
                  <w:tcBorders>
                    <w:tl2br w:val="nil"/>
                    <w:tr2bl w:val="nil"/>
                  </w:tcBorders>
                  <w:noWrap w:val="0"/>
                  <w:vAlign w:val="center"/>
                </w:tcPr>
                <w:p w14:paraId="50960C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监测位置</w:t>
                  </w:r>
                </w:p>
              </w:tc>
              <w:tc>
                <w:tcPr>
                  <w:tcW w:w="1031" w:type="pct"/>
                  <w:tcBorders>
                    <w:tl2br w:val="nil"/>
                    <w:tr2bl w:val="nil"/>
                  </w:tcBorders>
                  <w:noWrap w:val="0"/>
                  <w:vAlign w:val="center"/>
                </w:tcPr>
                <w:p w14:paraId="4DCBE3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监测项目</w:t>
                  </w:r>
                </w:p>
              </w:tc>
              <w:tc>
                <w:tcPr>
                  <w:tcW w:w="646" w:type="pct"/>
                  <w:tcBorders>
                    <w:tl2br w:val="nil"/>
                    <w:tr2bl w:val="nil"/>
                  </w:tcBorders>
                  <w:noWrap w:val="0"/>
                  <w:vAlign w:val="center"/>
                </w:tcPr>
                <w:p w14:paraId="72733D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监测频次</w:t>
                  </w:r>
                </w:p>
              </w:tc>
              <w:tc>
                <w:tcPr>
                  <w:tcW w:w="625" w:type="pct"/>
                  <w:tcBorders>
                    <w:tl2br w:val="nil"/>
                    <w:tr2bl w:val="nil"/>
                  </w:tcBorders>
                  <w:noWrap w:val="0"/>
                  <w:vAlign w:val="center"/>
                </w:tcPr>
                <w:p w14:paraId="2FACB8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监测负责单位</w:t>
                  </w:r>
                </w:p>
              </w:tc>
            </w:tr>
            <w:tr w14:paraId="6D57D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0" w:type="pct"/>
                  <w:vMerge w:val="restart"/>
                  <w:tcBorders>
                    <w:tl2br w:val="nil"/>
                    <w:tr2bl w:val="nil"/>
                  </w:tcBorders>
                  <w:noWrap w:val="0"/>
                  <w:vAlign w:val="center"/>
                </w:tcPr>
                <w:p w14:paraId="3C7D0B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废气</w:t>
                  </w:r>
                </w:p>
              </w:tc>
              <w:tc>
                <w:tcPr>
                  <w:tcW w:w="477" w:type="pct"/>
                  <w:vMerge w:val="restart"/>
                  <w:tcBorders>
                    <w:tl2br w:val="nil"/>
                    <w:tr2bl w:val="nil"/>
                  </w:tcBorders>
                  <w:noWrap w:val="0"/>
                  <w:vAlign w:val="center"/>
                </w:tcPr>
                <w:p w14:paraId="79CCBA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无组织废气</w:t>
                  </w:r>
                </w:p>
              </w:tc>
              <w:tc>
                <w:tcPr>
                  <w:tcW w:w="1908" w:type="pct"/>
                  <w:tcBorders>
                    <w:tl2br w:val="nil"/>
                    <w:tr2bl w:val="nil"/>
                  </w:tcBorders>
                  <w:noWrap w:val="0"/>
                  <w:vAlign w:val="center"/>
                </w:tcPr>
                <w:p w14:paraId="3F65368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厂区内</w:t>
                  </w:r>
                  <w:r>
                    <w:rPr>
                      <w:rFonts w:hint="eastAsia" w:cs="Times New Roman"/>
                      <w:color w:val="000000"/>
                      <w:kern w:val="0"/>
                      <w:sz w:val="21"/>
                      <w:szCs w:val="21"/>
                      <w:lang w:val="en-US" w:eastAsia="zh-CN" w:bidi="ar"/>
                    </w:rPr>
                    <w:t>主要设施旁1</w:t>
                  </w:r>
                  <w:r>
                    <w:rPr>
                      <w:rFonts w:hint="default" w:ascii="Times New Roman" w:hAnsi="Times New Roman" w:eastAsia="宋体" w:cs="Times New Roman"/>
                      <w:color w:val="000000"/>
                      <w:kern w:val="0"/>
                      <w:sz w:val="21"/>
                      <w:szCs w:val="21"/>
                      <w:lang w:val="en-US" w:eastAsia="zh-CN" w:bidi="ar"/>
                    </w:rPr>
                    <w:t>个监控点</w:t>
                  </w:r>
                </w:p>
              </w:tc>
              <w:tc>
                <w:tcPr>
                  <w:tcW w:w="1031" w:type="pct"/>
                  <w:tcBorders>
                    <w:tl2br w:val="nil"/>
                    <w:tr2bl w:val="nil"/>
                  </w:tcBorders>
                  <w:noWrap w:val="0"/>
                  <w:vAlign w:val="center"/>
                </w:tcPr>
                <w:p w14:paraId="5F84C28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非甲烷总烃</w:t>
                  </w:r>
                </w:p>
              </w:tc>
              <w:tc>
                <w:tcPr>
                  <w:tcW w:w="646" w:type="pct"/>
                  <w:tcBorders>
                    <w:tl2br w:val="nil"/>
                    <w:tr2bl w:val="nil"/>
                  </w:tcBorders>
                  <w:noWrap w:val="0"/>
                  <w:vAlign w:val="center"/>
                </w:tcPr>
                <w:p w14:paraId="3E7F0E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auto"/>
                      <w:sz w:val="21"/>
                      <w:szCs w:val="21"/>
                      <w:lang w:val="en-US" w:eastAsia="zh-CN"/>
                    </w:rPr>
                    <w:t>1次</w:t>
                  </w:r>
                  <w:r>
                    <w:rPr>
                      <w:rFonts w:hint="default" w:ascii="Times New Roman" w:hAnsi="Times New Roman" w:eastAsia="宋体" w:cs="Times New Roman"/>
                      <w:bCs/>
                      <w:color w:val="auto"/>
                      <w:sz w:val="21"/>
                      <w:szCs w:val="21"/>
                    </w:rPr>
                    <w:t>/年</w:t>
                  </w:r>
                </w:p>
              </w:tc>
              <w:tc>
                <w:tcPr>
                  <w:tcW w:w="625" w:type="pct"/>
                  <w:vMerge w:val="restart"/>
                  <w:tcBorders>
                    <w:tl2br w:val="nil"/>
                    <w:tr2bl w:val="nil"/>
                  </w:tcBorders>
                  <w:noWrap w:val="0"/>
                  <w:vAlign w:val="center"/>
                </w:tcPr>
                <w:p w14:paraId="36DB752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委托专业检测单位</w:t>
                  </w:r>
                </w:p>
                <w:p w14:paraId="597475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14:paraId="04A4D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0" w:type="pct"/>
                  <w:vMerge w:val="continue"/>
                  <w:tcBorders>
                    <w:tl2br w:val="nil"/>
                    <w:tr2bl w:val="nil"/>
                  </w:tcBorders>
                  <w:noWrap w:val="0"/>
                  <w:vAlign w:val="center"/>
                </w:tcPr>
                <w:p w14:paraId="1B64A7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77" w:type="pct"/>
                  <w:vMerge w:val="continue"/>
                  <w:tcBorders>
                    <w:tl2br w:val="nil"/>
                    <w:tr2bl w:val="nil"/>
                  </w:tcBorders>
                  <w:noWrap w:val="0"/>
                  <w:vAlign w:val="center"/>
                </w:tcPr>
                <w:p w14:paraId="437662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908" w:type="pct"/>
                  <w:tcBorders>
                    <w:tl2br w:val="nil"/>
                    <w:tr2bl w:val="nil"/>
                  </w:tcBorders>
                  <w:noWrap w:val="0"/>
                  <w:vAlign w:val="center"/>
                </w:tcPr>
                <w:p w14:paraId="35C9CFE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厂界上风向1个监控点；下风向</w:t>
                  </w:r>
                  <w:r>
                    <w:rPr>
                      <w:rFonts w:hint="eastAsia" w:cs="Times New Roman"/>
                      <w:color w:val="000000"/>
                      <w:kern w:val="0"/>
                      <w:sz w:val="21"/>
                      <w:szCs w:val="21"/>
                      <w:lang w:val="en-US" w:eastAsia="zh-CN" w:bidi="ar"/>
                    </w:rPr>
                    <w:t>2</w:t>
                  </w:r>
                  <w:r>
                    <w:rPr>
                      <w:rFonts w:hint="default" w:ascii="Times New Roman" w:hAnsi="Times New Roman" w:eastAsia="宋体" w:cs="Times New Roman"/>
                      <w:color w:val="000000"/>
                      <w:kern w:val="0"/>
                      <w:sz w:val="21"/>
                      <w:szCs w:val="21"/>
                      <w:lang w:val="en-US" w:eastAsia="zh-CN" w:bidi="ar"/>
                    </w:rPr>
                    <w:t>个监控点</w:t>
                  </w:r>
                </w:p>
              </w:tc>
              <w:tc>
                <w:tcPr>
                  <w:tcW w:w="1031" w:type="pct"/>
                  <w:tcBorders>
                    <w:tl2br w:val="nil"/>
                    <w:tr2bl w:val="nil"/>
                  </w:tcBorders>
                  <w:noWrap w:val="0"/>
                  <w:vAlign w:val="center"/>
                </w:tcPr>
                <w:p w14:paraId="168082C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非甲烷总烃</w:t>
                  </w:r>
                  <w:r>
                    <w:rPr>
                      <w:rFonts w:hint="eastAsia"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颗粒物、臭气浓度</w:t>
                  </w:r>
                </w:p>
              </w:tc>
              <w:tc>
                <w:tcPr>
                  <w:tcW w:w="646" w:type="pct"/>
                  <w:tcBorders>
                    <w:tl2br w:val="nil"/>
                    <w:tr2bl w:val="nil"/>
                  </w:tcBorders>
                  <w:noWrap w:val="0"/>
                  <w:vAlign w:val="center"/>
                </w:tcPr>
                <w:p w14:paraId="0EAA1F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auto"/>
                      <w:sz w:val="21"/>
                      <w:szCs w:val="21"/>
                      <w:lang w:val="en-US" w:eastAsia="zh-CN"/>
                    </w:rPr>
                    <w:t>1次</w:t>
                  </w:r>
                  <w:r>
                    <w:rPr>
                      <w:rFonts w:hint="default" w:ascii="Times New Roman" w:hAnsi="Times New Roman" w:eastAsia="宋体" w:cs="Times New Roman"/>
                      <w:bCs/>
                      <w:color w:val="auto"/>
                      <w:sz w:val="21"/>
                      <w:szCs w:val="21"/>
                    </w:rPr>
                    <w:t>/年</w:t>
                  </w:r>
                </w:p>
              </w:tc>
              <w:tc>
                <w:tcPr>
                  <w:tcW w:w="625" w:type="pct"/>
                  <w:vMerge w:val="continue"/>
                  <w:tcBorders>
                    <w:tl2br w:val="nil"/>
                    <w:tr2bl w:val="nil"/>
                  </w:tcBorders>
                  <w:noWrap w:val="0"/>
                  <w:vAlign w:val="center"/>
                </w:tcPr>
                <w:p w14:paraId="66A979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14:paraId="77DF4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0" w:type="pct"/>
                  <w:vMerge w:val="continue"/>
                  <w:tcBorders>
                    <w:tl2br w:val="nil"/>
                    <w:tr2bl w:val="nil"/>
                  </w:tcBorders>
                  <w:noWrap w:val="0"/>
                  <w:vAlign w:val="center"/>
                </w:tcPr>
                <w:p w14:paraId="6A8C57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77" w:type="pct"/>
                  <w:tcBorders>
                    <w:tl2br w:val="nil"/>
                    <w:tr2bl w:val="nil"/>
                  </w:tcBorders>
                  <w:noWrap w:val="0"/>
                  <w:vAlign w:val="center"/>
                </w:tcPr>
                <w:p w14:paraId="5116AB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有组织废气</w:t>
                  </w:r>
                </w:p>
              </w:tc>
              <w:tc>
                <w:tcPr>
                  <w:tcW w:w="1908" w:type="pct"/>
                  <w:tcBorders>
                    <w:tl2br w:val="nil"/>
                    <w:tr2bl w:val="nil"/>
                  </w:tcBorders>
                  <w:noWrap w:val="0"/>
                  <w:vAlign w:val="center"/>
                </w:tcPr>
                <w:p w14:paraId="440C2A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lang w:val="en-US" w:eastAsia="zh-CN"/>
                    </w:rPr>
                    <w:t>有机废气排气筒DA001</w:t>
                  </w:r>
                </w:p>
              </w:tc>
              <w:tc>
                <w:tcPr>
                  <w:tcW w:w="1031" w:type="pct"/>
                  <w:tcBorders>
                    <w:tl2br w:val="nil"/>
                    <w:tr2bl w:val="nil"/>
                  </w:tcBorders>
                  <w:noWrap w:val="0"/>
                  <w:vAlign w:val="center"/>
                </w:tcPr>
                <w:p w14:paraId="324C3A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非甲烷总烃、</w:t>
                  </w:r>
                  <w:r>
                    <w:rPr>
                      <w:rFonts w:hint="eastAsia" w:cs="Times New Roman"/>
                      <w:b w:val="0"/>
                      <w:bCs/>
                      <w:color w:val="auto"/>
                      <w:sz w:val="21"/>
                      <w:szCs w:val="21"/>
                      <w:vertAlign w:val="baseline"/>
                      <w:lang w:val="en-US" w:eastAsia="zh-CN"/>
                    </w:rPr>
                    <w:t>颗粒物、</w:t>
                  </w:r>
                  <w:r>
                    <w:rPr>
                      <w:rFonts w:hint="default" w:ascii="Times New Roman" w:hAnsi="Times New Roman" w:eastAsia="宋体" w:cs="Times New Roman"/>
                      <w:b w:val="0"/>
                      <w:bCs/>
                      <w:color w:val="auto"/>
                      <w:sz w:val="21"/>
                      <w:szCs w:val="21"/>
                      <w:vertAlign w:val="baseline"/>
                      <w:lang w:val="en-US" w:eastAsia="zh-CN"/>
                    </w:rPr>
                    <w:t>臭气浓度</w:t>
                  </w:r>
                </w:p>
              </w:tc>
              <w:tc>
                <w:tcPr>
                  <w:tcW w:w="646" w:type="pct"/>
                  <w:tcBorders>
                    <w:tl2br w:val="nil"/>
                    <w:tr2bl w:val="nil"/>
                  </w:tcBorders>
                  <w:noWrap w:val="0"/>
                  <w:vAlign w:val="center"/>
                </w:tcPr>
                <w:p w14:paraId="7BB8B7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1次/年</w:t>
                  </w:r>
                </w:p>
              </w:tc>
              <w:tc>
                <w:tcPr>
                  <w:tcW w:w="625" w:type="pct"/>
                  <w:vMerge w:val="continue"/>
                  <w:tcBorders>
                    <w:tl2br w:val="nil"/>
                    <w:tr2bl w:val="nil"/>
                  </w:tcBorders>
                  <w:noWrap w:val="0"/>
                  <w:vAlign w:val="center"/>
                </w:tcPr>
                <w:p w14:paraId="5DC43D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14:paraId="4A132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7" w:type="pct"/>
                  <w:gridSpan w:val="2"/>
                  <w:tcBorders>
                    <w:tl2br w:val="nil"/>
                    <w:tr2bl w:val="nil"/>
                  </w:tcBorders>
                  <w:noWrap w:val="0"/>
                  <w:vAlign w:val="center"/>
                </w:tcPr>
                <w:p w14:paraId="359A0F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w:t>
                  </w:r>
                </w:p>
              </w:tc>
              <w:tc>
                <w:tcPr>
                  <w:tcW w:w="4212" w:type="pct"/>
                  <w:gridSpan w:val="4"/>
                  <w:tcBorders>
                    <w:tl2br w:val="nil"/>
                    <w:tr2bl w:val="nil"/>
                  </w:tcBorders>
                  <w:noWrap w:val="0"/>
                  <w:vAlign w:val="center"/>
                </w:tcPr>
                <w:p w14:paraId="52EA58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根据《排污单位自行监测技术指南 总则》（HJ819-2017）、《排污许可证申请与核发技术规范 橡胶和塑料制品工业》（HJ1122—2020），间接排放的生活污水单独排放口无自行监测要求。因此，本评价不对生活污水提出自行监测要求。</w:t>
                  </w:r>
                </w:p>
              </w:tc>
            </w:tr>
            <w:tr w14:paraId="6BDDD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7" w:type="pct"/>
                  <w:gridSpan w:val="2"/>
                  <w:tcBorders>
                    <w:tl2br w:val="nil"/>
                    <w:tr2bl w:val="nil"/>
                  </w:tcBorders>
                  <w:noWrap w:val="0"/>
                  <w:vAlign w:val="center"/>
                </w:tcPr>
                <w:p w14:paraId="227547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噪声</w:t>
                  </w:r>
                </w:p>
              </w:tc>
              <w:tc>
                <w:tcPr>
                  <w:tcW w:w="1908" w:type="pct"/>
                  <w:tcBorders>
                    <w:tl2br w:val="nil"/>
                    <w:tr2bl w:val="nil"/>
                  </w:tcBorders>
                  <w:noWrap w:val="0"/>
                  <w:vAlign w:val="center"/>
                </w:tcPr>
                <w:p w14:paraId="3D3FCC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厂界四周外1m</w:t>
                  </w:r>
                </w:p>
              </w:tc>
              <w:tc>
                <w:tcPr>
                  <w:tcW w:w="1031" w:type="pct"/>
                  <w:tcBorders>
                    <w:tl2br w:val="nil"/>
                    <w:tr2bl w:val="nil"/>
                  </w:tcBorders>
                  <w:noWrap w:val="0"/>
                  <w:vAlign w:val="center"/>
                </w:tcPr>
                <w:p w14:paraId="21E09A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lang w:eastAsia="zh-CN"/>
                    </w:rPr>
                    <w:t>等效</w:t>
                  </w:r>
                  <w:r>
                    <w:rPr>
                      <w:rFonts w:hint="default" w:ascii="Times New Roman" w:hAnsi="Times New Roman" w:eastAsia="宋体" w:cs="Times New Roman"/>
                      <w:color w:val="auto"/>
                      <w:sz w:val="21"/>
                      <w:szCs w:val="21"/>
                      <w:lang w:val="en-US" w:eastAsia="zh-CN"/>
                    </w:rPr>
                    <w:t>A声级</w:t>
                  </w:r>
                </w:p>
              </w:tc>
              <w:tc>
                <w:tcPr>
                  <w:tcW w:w="646" w:type="pct"/>
                  <w:tcBorders>
                    <w:tl2br w:val="nil"/>
                    <w:tr2bl w:val="nil"/>
                  </w:tcBorders>
                  <w:noWrap w:val="0"/>
                  <w:vAlign w:val="center"/>
                </w:tcPr>
                <w:p w14:paraId="3B7DC3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SA"/>
                    </w:rPr>
                    <w:t>1次/季度</w:t>
                  </w:r>
                </w:p>
              </w:tc>
              <w:tc>
                <w:tcPr>
                  <w:tcW w:w="625" w:type="pct"/>
                  <w:tcBorders>
                    <w:tl2br w:val="nil"/>
                    <w:tr2bl w:val="nil"/>
                  </w:tcBorders>
                  <w:noWrap w:val="0"/>
                  <w:vAlign w:val="center"/>
                </w:tcPr>
                <w:p w14:paraId="238DA1D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委托专业检测单位</w:t>
                  </w:r>
                </w:p>
              </w:tc>
            </w:tr>
          </w:tbl>
          <w:p w14:paraId="0DD34D04">
            <w:pPr>
              <w:pStyle w:val="3"/>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8"/>
                <w:szCs w:val="28"/>
                <w:u w:val="none"/>
                <w:lang w:val="en-US" w:eastAsia="zh-CN"/>
              </w:rPr>
            </w:pPr>
            <w:bookmarkStart w:id="123" w:name="_Toc25365"/>
            <w:bookmarkStart w:id="124" w:name="_Toc11633"/>
            <w:bookmarkStart w:id="125" w:name="_Toc17846"/>
            <w:bookmarkStart w:id="126" w:name="_Toc12062"/>
            <w:bookmarkStart w:id="127" w:name="_Toc7744"/>
            <w:bookmarkStart w:id="128" w:name="_Toc26125"/>
            <w:r>
              <w:rPr>
                <w:rFonts w:hint="eastAsia" w:ascii="Times New Roman" w:hAnsi="Times New Roman" w:eastAsia="宋体" w:cs="Times New Roman"/>
                <w:color w:val="auto"/>
                <w:sz w:val="28"/>
                <w:szCs w:val="28"/>
                <w:u w:val="none"/>
                <w:lang w:val="en-US" w:eastAsia="zh-CN"/>
              </w:rPr>
              <w:t>4.8环保投资估算</w:t>
            </w:r>
            <w:bookmarkEnd w:id="123"/>
            <w:bookmarkEnd w:id="124"/>
            <w:bookmarkEnd w:id="125"/>
            <w:bookmarkEnd w:id="126"/>
            <w:bookmarkEnd w:id="127"/>
            <w:bookmarkEnd w:id="128"/>
          </w:p>
          <w:p w14:paraId="34EE3246">
            <w:pPr>
              <w:widowControl w:val="0"/>
              <w:bidi w:val="0"/>
              <w:spacing w:line="360" w:lineRule="auto"/>
              <w:ind w:firstLine="480" w:firstLineChars="200"/>
              <w:jc w:val="both"/>
              <w:rPr>
                <w:rFonts w:hint="eastAsia" w:ascii="Times New Roman" w:hAnsi="Times New Roman" w:eastAsia="宋体" w:cs="宋体"/>
                <w:color w:val="000000"/>
                <w:kern w:val="2"/>
                <w:sz w:val="24"/>
                <w:szCs w:val="24"/>
                <w:lang w:val="en-US" w:eastAsia="zh-CN" w:bidi="ar-SA"/>
              </w:rPr>
            </w:pPr>
            <w:r>
              <w:rPr>
                <w:rFonts w:hint="eastAsia" w:ascii="Times New Roman" w:hAnsi="Times New Roman" w:eastAsia="宋体" w:cs="宋体"/>
                <w:color w:val="000000"/>
                <w:kern w:val="2"/>
                <w:sz w:val="24"/>
                <w:szCs w:val="24"/>
                <w:lang w:val="en-US" w:eastAsia="zh-CN" w:bidi="ar-SA"/>
              </w:rPr>
              <w:t>本项目环保措施包括废水、废气、噪声治理措施、固体废物收集场所等。具体见表4.9-1。</w:t>
            </w:r>
          </w:p>
          <w:p w14:paraId="5FB3E865">
            <w:pPr>
              <w:pStyle w:val="71"/>
              <w:bidi w:val="0"/>
              <w:rPr>
                <w:rFonts w:hint="default"/>
                <w:color w:val="000000"/>
                <w:lang w:val="en-US" w:eastAsia="zh-CN"/>
              </w:rPr>
            </w:pPr>
            <w:r>
              <w:rPr>
                <w:rFonts w:hint="eastAsia"/>
                <w:color w:val="000000"/>
                <w:lang w:val="en-US" w:eastAsia="zh-CN"/>
              </w:rPr>
              <w:t>表4.9-1环保投资估算</w:t>
            </w:r>
          </w:p>
          <w:tbl>
            <w:tblPr>
              <w:tblStyle w:val="24"/>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932"/>
              <w:gridCol w:w="5678"/>
              <w:gridCol w:w="1517"/>
            </w:tblGrid>
            <w:tr w14:paraId="20446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noWrap w:val="0"/>
                  <w:vAlign w:val="center"/>
                </w:tcPr>
                <w:p w14:paraId="5E80AEB1">
                  <w:pPr>
                    <w:pStyle w:val="54"/>
                    <w:bidi w:val="0"/>
                    <w:rPr>
                      <w:rFonts w:hint="default"/>
                      <w:color w:val="000000"/>
                      <w:lang w:val="en-US" w:eastAsia="zh-CN"/>
                    </w:rPr>
                  </w:pPr>
                  <w:r>
                    <w:rPr>
                      <w:rFonts w:hint="eastAsia"/>
                      <w:color w:val="000000"/>
                      <w:lang w:val="en-US" w:eastAsia="zh-CN"/>
                    </w:rPr>
                    <w:t>序号</w:t>
                  </w:r>
                </w:p>
              </w:tc>
              <w:tc>
                <w:tcPr>
                  <w:tcW w:w="527" w:type="pct"/>
                  <w:tcBorders>
                    <w:tl2br w:val="nil"/>
                    <w:tr2bl w:val="nil"/>
                  </w:tcBorders>
                  <w:noWrap w:val="0"/>
                  <w:vAlign w:val="center"/>
                </w:tcPr>
                <w:p w14:paraId="15DEC259">
                  <w:pPr>
                    <w:pStyle w:val="54"/>
                    <w:bidi w:val="0"/>
                    <w:rPr>
                      <w:rFonts w:hint="default"/>
                      <w:color w:val="000000"/>
                      <w:lang w:val="en-US" w:eastAsia="zh-CN"/>
                    </w:rPr>
                  </w:pPr>
                  <w:r>
                    <w:rPr>
                      <w:rFonts w:hint="eastAsia"/>
                      <w:color w:val="000000"/>
                      <w:lang w:val="en-US" w:eastAsia="zh-CN"/>
                    </w:rPr>
                    <w:t>污染源</w:t>
                  </w:r>
                </w:p>
              </w:tc>
              <w:tc>
                <w:tcPr>
                  <w:tcW w:w="3208" w:type="pct"/>
                  <w:tcBorders>
                    <w:tl2br w:val="nil"/>
                    <w:tr2bl w:val="nil"/>
                  </w:tcBorders>
                  <w:noWrap w:val="0"/>
                  <w:vAlign w:val="center"/>
                </w:tcPr>
                <w:p w14:paraId="30CEB22C">
                  <w:pPr>
                    <w:pStyle w:val="54"/>
                    <w:bidi w:val="0"/>
                    <w:rPr>
                      <w:rFonts w:hint="default"/>
                      <w:color w:val="000000"/>
                      <w:lang w:val="en-US" w:eastAsia="zh-CN"/>
                    </w:rPr>
                  </w:pPr>
                  <w:r>
                    <w:rPr>
                      <w:rFonts w:hint="eastAsia"/>
                      <w:color w:val="000000"/>
                      <w:lang w:val="en-US" w:eastAsia="zh-CN"/>
                    </w:rPr>
                    <w:t>措施</w:t>
                  </w:r>
                </w:p>
              </w:tc>
              <w:tc>
                <w:tcPr>
                  <w:tcW w:w="857" w:type="pct"/>
                  <w:tcBorders>
                    <w:tl2br w:val="nil"/>
                    <w:tr2bl w:val="nil"/>
                  </w:tcBorders>
                  <w:noWrap w:val="0"/>
                  <w:vAlign w:val="center"/>
                </w:tcPr>
                <w:p w14:paraId="79DF20C7">
                  <w:pPr>
                    <w:pStyle w:val="54"/>
                    <w:bidi w:val="0"/>
                    <w:rPr>
                      <w:rFonts w:hint="default"/>
                      <w:color w:val="000000"/>
                      <w:lang w:val="en-US" w:eastAsia="zh-CN"/>
                    </w:rPr>
                  </w:pPr>
                  <w:r>
                    <w:rPr>
                      <w:rFonts w:hint="eastAsia"/>
                      <w:color w:val="000000"/>
                      <w:lang w:val="en-US" w:eastAsia="zh-CN"/>
                    </w:rPr>
                    <w:t>投资</w:t>
                  </w:r>
                </w:p>
              </w:tc>
            </w:tr>
            <w:tr w14:paraId="4AD7C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noWrap w:val="0"/>
                  <w:vAlign w:val="center"/>
                </w:tcPr>
                <w:p w14:paraId="37BEB6F6">
                  <w:pPr>
                    <w:pStyle w:val="54"/>
                    <w:bidi w:val="0"/>
                    <w:rPr>
                      <w:rFonts w:hint="default"/>
                      <w:color w:val="000000"/>
                      <w:lang w:val="en-US" w:eastAsia="zh-CN"/>
                    </w:rPr>
                  </w:pPr>
                  <w:r>
                    <w:rPr>
                      <w:rFonts w:hint="eastAsia"/>
                      <w:color w:val="000000"/>
                      <w:lang w:val="en-US" w:eastAsia="zh-CN"/>
                    </w:rPr>
                    <w:t>1</w:t>
                  </w:r>
                </w:p>
              </w:tc>
              <w:tc>
                <w:tcPr>
                  <w:tcW w:w="527" w:type="pct"/>
                  <w:tcBorders>
                    <w:tl2br w:val="nil"/>
                    <w:tr2bl w:val="nil"/>
                  </w:tcBorders>
                  <w:noWrap w:val="0"/>
                  <w:vAlign w:val="center"/>
                </w:tcPr>
                <w:p w14:paraId="7A56C8BE">
                  <w:pPr>
                    <w:pStyle w:val="54"/>
                    <w:bidi w:val="0"/>
                    <w:rPr>
                      <w:rFonts w:hint="default"/>
                      <w:color w:val="000000"/>
                      <w:lang w:val="en-US" w:eastAsia="zh-CN"/>
                    </w:rPr>
                  </w:pPr>
                  <w:r>
                    <w:rPr>
                      <w:rFonts w:hint="eastAsia"/>
                      <w:color w:val="000000"/>
                      <w:lang w:val="en-US" w:eastAsia="zh-CN"/>
                    </w:rPr>
                    <w:t>废水</w:t>
                  </w:r>
                </w:p>
              </w:tc>
              <w:tc>
                <w:tcPr>
                  <w:tcW w:w="3208" w:type="pct"/>
                  <w:tcBorders>
                    <w:tl2br w:val="nil"/>
                    <w:tr2bl w:val="nil"/>
                  </w:tcBorders>
                  <w:noWrap w:val="0"/>
                  <w:vAlign w:val="center"/>
                </w:tcPr>
                <w:p w14:paraId="61C6132C">
                  <w:pPr>
                    <w:pStyle w:val="54"/>
                    <w:bidi w:val="0"/>
                    <w:rPr>
                      <w:rFonts w:hint="default"/>
                      <w:color w:val="auto"/>
                      <w:lang w:val="en-US" w:eastAsia="zh-CN"/>
                    </w:rPr>
                  </w:pPr>
                  <w:r>
                    <w:rPr>
                      <w:rFonts w:hint="eastAsia" w:ascii="Times New Roman" w:hAnsi="Times New Roman" w:cs="Times New Roman"/>
                      <w:bCs/>
                      <w:color w:val="auto"/>
                      <w:sz w:val="21"/>
                      <w:szCs w:val="21"/>
                      <w:lang w:val="en-US" w:eastAsia="zh-CN"/>
                    </w:rPr>
                    <w:t>冷却水循环使用不外排，</w:t>
                  </w:r>
                  <w:r>
                    <w:rPr>
                      <w:rFonts w:hint="eastAsia" w:cs="Times New Roman"/>
                      <w:bCs/>
                      <w:color w:val="auto"/>
                      <w:sz w:val="21"/>
                      <w:szCs w:val="21"/>
                      <w:lang w:val="en-US" w:eastAsia="zh-CN"/>
                    </w:rPr>
                    <w:t>喷粉前清洗废水通过废水处理设施处理后回用于生产工序，生活污水依托园区化粪池处理后接入市政污水管网</w:t>
                  </w:r>
                </w:p>
              </w:tc>
              <w:tc>
                <w:tcPr>
                  <w:tcW w:w="857" w:type="pct"/>
                  <w:tcBorders>
                    <w:tl2br w:val="nil"/>
                    <w:tr2bl w:val="nil"/>
                  </w:tcBorders>
                  <w:noWrap w:val="0"/>
                  <w:vAlign w:val="center"/>
                </w:tcPr>
                <w:p w14:paraId="44C63B4C">
                  <w:pPr>
                    <w:pStyle w:val="54"/>
                    <w:bidi w:val="0"/>
                    <w:rPr>
                      <w:rFonts w:hint="default"/>
                      <w:color w:val="000000"/>
                      <w:lang w:val="en-US" w:eastAsia="zh-CN"/>
                    </w:rPr>
                  </w:pPr>
                  <w:r>
                    <w:rPr>
                      <w:rFonts w:hint="eastAsia"/>
                      <w:color w:val="000000"/>
                      <w:lang w:val="en-US" w:eastAsia="zh-CN"/>
                    </w:rPr>
                    <w:t>4万元</w:t>
                  </w:r>
                </w:p>
              </w:tc>
            </w:tr>
            <w:tr w14:paraId="211E0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406" w:type="pct"/>
                  <w:tcBorders>
                    <w:tl2br w:val="nil"/>
                    <w:tr2bl w:val="nil"/>
                  </w:tcBorders>
                  <w:noWrap w:val="0"/>
                  <w:vAlign w:val="center"/>
                </w:tcPr>
                <w:p w14:paraId="792187F1">
                  <w:pPr>
                    <w:pStyle w:val="54"/>
                    <w:bidi w:val="0"/>
                    <w:rPr>
                      <w:rFonts w:hint="default"/>
                      <w:color w:val="000000"/>
                      <w:lang w:val="en-US" w:eastAsia="zh-CN"/>
                    </w:rPr>
                  </w:pPr>
                  <w:r>
                    <w:rPr>
                      <w:rFonts w:hint="eastAsia"/>
                      <w:color w:val="000000"/>
                      <w:lang w:val="en-US" w:eastAsia="zh-CN"/>
                    </w:rPr>
                    <w:t>2</w:t>
                  </w:r>
                </w:p>
              </w:tc>
              <w:tc>
                <w:tcPr>
                  <w:tcW w:w="527" w:type="pct"/>
                  <w:tcBorders>
                    <w:tl2br w:val="nil"/>
                    <w:tr2bl w:val="nil"/>
                  </w:tcBorders>
                  <w:noWrap w:val="0"/>
                  <w:vAlign w:val="center"/>
                </w:tcPr>
                <w:p w14:paraId="3F2C2E6E">
                  <w:pPr>
                    <w:pStyle w:val="54"/>
                    <w:bidi w:val="0"/>
                    <w:rPr>
                      <w:rFonts w:hint="default"/>
                      <w:color w:val="000000"/>
                      <w:lang w:val="en-US" w:eastAsia="zh-CN"/>
                    </w:rPr>
                  </w:pPr>
                  <w:r>
                    <w:rPr>
                      <w:rFonts w:hint="eastAsia"/>
                      <w:color w:val="000000"/>
                      <w:lang w:val="en-US" w:eastAsia="zh-CN"/>
                    </w:rPr>
                    <w:t>废气</w:t>
                  </w:r>
                </w:p>
              </w:tc>
              <w:tc>
                <w:tcPr>
                  <w:tcW w:w="3208" w:type="pct"/>
                  <w:tcBorders>
                    <w:tl2br w:val="nil"/>
                    <w:tr2bl w:val="nil"/>
                  </w:tcBorders>
                  <w:noWrap w:val="0"/>
                  <w:vAlign w:val="center"/>
                </w:tcPr>
                <w:p w14:paraId="106B61F0">
                  <w:pP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项目注塑</w:t>
                  </w:r>
                  <w:r>
                    <w:rPr>
                      <w:rFonts w:hint="eastAsia" w:cs="Times New Roman"/>
                      <w:color w:val="auto"/>
                      <w:sz w:val="21"/>
                      <w:szCs w:val="21"/>
                      <w:highlight w:val="none"/>
                      <w:vertAlign w:val="baseline"/>
                      <w:lang w:val="en-US" w:eastAsia="zh-CN"/>
                    </w:rPr>
                    <w:t>、包胶</w:t>
                  </w:r>
                  <w:r>
                    <w:rPr>
                      <w:rFonts w:hint="eastAsia" w:ascii="Times New Roman" w:hAnsi="Times New Roman" w:eastAsia="宋体" w:cs="Times New Roman"/>
                      <w:color w:val="auto"/>
                      <w:sz w:val="21"/>
                      <w:szCs w:val="21"/>
                      <w:highlight w:val="none"/>
                      <w:vertAlign w:val="baseline"/>
                      <w:lang w:val="en-US" w:eastAsia="zh-CN"/>
                    </w:rPr>
                    <w:t>废气</w:t>
                  </w:r>
                  <w:r>
                    <w:rPr>
                      <w:rFonts w:hint="eastAsia" w:cs="Times New Roman"/>
                      <w:color w:val="auto"/>
                      <w:sz w:val="21"/>
                      <w:szCs w:val="21"/>
                      <w:highlight w:val="none"/>
                      <w:vertAlign w:val="baseline"/>
                      <w:lang w:val="en-US" w:eastAsia="zh-CN"/>
                    </w:rPr>
                    <w:t>、烘烤废气、除油废气</w:t>
                  </w:r>
                  <w:r>
                    <w:rPr>
                      <w:rFonts w:hint="eastAsia" w:ascii="Times New Roman" w:hAnsi="Times New Roman" w:eastAsia="宋体" w:cs="Times New Roman"/>
                      <w:color w:val="auto"/>
                      <w:sz w:val="21"/>
                      <w:szCs w:val="21"/>
                      <w:highlight w:val="none"/>
                      <w:vertAlign w:val="baseline"/>
                      <w:lang w:val="en-US" w:eastAsia="zh-CN"/>
                    </w:rPr>
                    <w:t>通过集气罩收集后由一套“活性炭吸附装置”</w:t>
                  </w:r>
                  <w:r>
                    <w:rPr>
                      <w:rFonts w:hint="eastAsia" w:cs="Times New Roman"/>
                      <w:color w:val="auto"/>
                      <w:sz w:val="21"/>
                      <w:szCs w:val="21"/>
                      <w:highlight w:val="none"/>
                      <w:vertAlign w:val="baseline"/>
                      <w:lang w:val="en-US" w:eastAsia="zh-CN"/>
                    </w:rPr>
                    <w:t>（TA001）</w:t>
                  </w:r>
                  <w:r>
                    <w:rPr>
                      <w:rFonts w:hint="eastAsia" w:ascii="Times New Roman" w:hAnsi="Times New Roman" w:eastAsia="宋体" w:cs="Times New Roman"/>
                      <w:color w:val="auto"/>
                      <w:sz w:val="21"/>
                      <w:szCs w:val="21"/>
                      <w:highlight w:val="none"/>
                      <w:vertAlign w:val="baseline"/>
                      <w:lang w:val="en-US" w:eastAsia="zh-CN"/>
                    </w:rPr>
                    <w:t>处理后，通过1根15</w:t>
                  </w:r>
                  <w:r>
                    <w:rPr>
                      <w:rFonts w:hint="eastAsia" w:cs="Times New Roman"/>
                      <w:color w:val="auto"/>
                      <w:sz w:val="21"/>
                      <w:szCs w:val="21"/>
                      <w:highlight w:val="none"/>
                      <w:vertAlign w:val="baseline"/>
                      <w:lang w:val="en-US" w:eastAsia="zh-CN"/>
                    </w:rPr>
                    <w:t>m</w:t>
                  </w:r>
                  <w:r>
                    <w:rPr>
                      <w:rFonts w:hint="eastAsia" w:ascii="Times New Roman" w:hAnsi="Times New Roman" w:eastAsia="宋体" w:cs="Times New Roman"/>
                      <w:color w:val="auto"/>
                      <w:sz w:val="21"/>
                      <w:szCs w:val="21"/>
                      <w:highlight w:val="none"/>
                      <w:vertAlign w:val="baseline"/>
                      <w:lang w:val="en-US" w:eastAsia="zh-CN"/>
                    </w:rPr>
                    <w:t>高排气筒DA00</w:t>
                  </w:r>
                  <w:r>
                    <w:rPr>
                      <w:rFonts w:hint="eastAsia"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排放</w:t>
                  </w:r>
                  <w:r>
                    <w:rPr>
                      <w:rFonts w:hint="eastAsia" w:cs="Times New Roman"/>
                      <w:color w:val="auto"/>
                      <w:sz w:val="21"/>
                      <w:szCs w:val="21"/>
                      <w:highlight w:val="none"/>
                      <w:vertAlign w:val="baseline"/>
                      <w:lang w:val="en-US" w:eastAsia="zh-CN"/>
                    </w:rPr>
                    <w:t>；喷粉废气通过滤芯回收系统后接入活性炭吸附装置（TA001),通过DA001排放；料头粉碎废气通过移动除尘器处理。</w:t>
                  </w:r>
                </w:p>
              </w:tc>
              <w:tc>
                <w:tcPr>
                  <w:tcW w:w="857" w:type="pct"/>
                  <w:tcBorders>
                    <w:tl2br w:val="nil"/>
                    <w:tr2bl w:val="nil"/>
                  </w:tcBorders>
                  <w:noWrap w:val="0"/>
                  <w:vAlign w:val="center"/>
                </w:tcPr>
                <w:p w14:paraId="66D7496C">
                  <w:pPr>
                    <w:pStyle w:val="54"/>
                    <w:bidi w:val="0"/>
                    <w:rPr>
                      <w:rFonts w:hint="default"/>
                      <w:color w:val="000000"/>
                      <w:lang w:val="en-US" w:eastAsia="zh-CN"/>
                    </w:rPr>
                  </w:pPr>
                  <w:r>
                    <w:rPr>
                      <w:rFonts w:hint="eastAsia"/>
                      <w:color w:val="000000"/>
                      <w:lang w:val="en-US" w:eastAsia="zh-CN"/>
                    </w:rPr>
                    <w:t>8万元</w:t>
                  </w:r>
                </w:p>
              </w:tc>
            </w:tr>
            <w:tr w14:paraId="45C84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noWrap w:val="0"/>
                  <w:vAlign w:val="center"/>
                </w:tcPr>
                <w:p w14:paraId="0922D158">
                  <w:pPr>
                    <w:pStyle w:val="54"/>
                    <w:bidi w:val="0"/>
                    <w:rPr>
                      <w:rFonts w:hint="default"/>
                      <w:color w:val="000000"/>
                      <w:lang w:val="en-US" w:eastAsia="zh-CN"/>
                    </w:rPr>
                  </w:pPr>
                  <w:r>
                    <w:rPr>
                      <w:rFonts w:hint="eastAsia"/>
                      <w:color w:val="000000"/>
                      <w:lang w:val="en-US" w:eastAsia="zh-CN"/>
                    </w:rPr>
                    <w:t>3</w:t>
                  </w:r>
                </w:p>
              </w:tc>
              <w:tc>
                <w:tcPr>
                  <w:tcW w:w="527" w:type="pct"/>
                  <w:tcBorders>
                    <w:tl2br w:val="nil"/>
                    <w:tr2bl w:val="nil"/>
                  </w:tcBorders>
                  <w:noWrap w:val="0"/>
                  <w:vAlign w:val="center"/>
                </w:tcPr>
                <w:p w14:paraId="7871DC3F">
                  <w:pPr>
                    <w:pStyle w:val="54"/>
                    <w:bidi w:val="0"/>
                    <w:rPr>
                      <w:rFonts w:hint="default"/>
                      <w:color w:val="000000"/>
                      <w:lang w:val="en-US" w:eastAsia="zh-CN"/>
                    </w:rPr>
                  </w:pPr>
                  <w:r>
                    <w:rPr>
                      <w:rFonts w:hint="eastAsia"/>
                      <w:color w:val="000000"/>
                      <w:lang w:val="en-US" w:eastAsia="zh-CN"/>
                    </w:rPr>
                    <w:t>噪声</w:t>
                  </w:r>
                </w:p>
              </w:tc>
              <w:tc>
                <w:tcPr>
                  <w:tcW w:w="3208" w:type="pct"/>
                  <w:tcBorders>
                    <w:tl2br w:val="nil"/>
                    <w:tr2bl w:val="nil"/>
                  </w:tcBorders>
                  <w:noWrap w:val="0"/>
                  <w:vAlign w:val="center"/>
                </w:tcPr>
                <w:p w14:paraId="77751744">
                  <w:pPr>
                    <w:pStyle w:val="54"/>
                    <w:bidi w:val="0"/>
                    <w:rPr>
                      <w:rFonts w:hint="default"/>
                      <w:color w:val="000000"/>
                      <w:lang w:val="en-US" w:eastAsia="zh-CN"/>
                    </w:rPr>
                  </w:pPr>
                  <w:r>
                    <w:rPr>
                      <w:rFonts w:hint="eastAsia"/>
                      <w:color w:val="000000"/>
                      <w:lang w:val="en-US" w:eastAsia="zh-CN"/>
                    </w:rPr>
                    <w:t>优先选用先进、低噪声设备；对高噪声设备采取减振基础、安装减振垫圈等减振措施；对各类机械设备定期检修、维护，防止设备异常噪声产生；优化平面布局，合理布置高噪声设备于远离声环境敏感点位置</w:t>
                  </w:r>
                </w:p>
              </w:tc>
              <w:tc>
                <w:tcPr>
                  <w:tcW w:w="857" w:type="pct"/>
                  <w:tcBorders>
                    <w:tl2br w:val="nil"/>
                    <w:tr2bl w:val="nil"/>
                  </w:tcBorders>
                  <w:noWrap w:val="0"/>
                  <w:vAlign w:val="center"/>
                </w:tcPr>
                <w:p w14:paraId="4CBA8234">
                  <w:pPr>
                    <w:pStyle w:val="54"/>
                    <w:bidi w:val="0"/>
                    <w:rPr>
                      <w:rFonts w:hint="default"/>
                      <w:color w:val="000000"/>
                      <w:lang w:val="en-US" w:eastAsia="zh-CN"/>
                    </w:rPr>
                  </w:pPr>
                  <w:r>
                    <w:rPr>
                      <w:rFonts w:hint="eastAsia"/>
                      <w:color w:val="000000"/>
                      <w:lang w:val="en-US" w:eastAsia="zh-CN"/>
                    </w:rPr>
                    <w:t>2万元</w:t>
                  </w:r>
                </w:p>
              </w:tc>
            </w:tr>
            <w:tr w14:paraId="75AFA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noWrap w:val="0"/>
                  <w:vAlign w:val="center"/>
                </w:tcPr>
                <w:p w14:paraId="6D82F731">
                  <w:pPr>
                    <w:pStyle w:val="54"/>
                    <w:bidi w:val="0"/>
                    <w:rPr>
                      <w:rFonts w:hint="default"/>
                      <w:color w:val="000000"/>
                      <w:lang w:val="en-US" w:eastAsia="zh-CN"/>
                    </w:rPr>
                  </w:pPr>
                  <w:r>
                    <w:rPr>
                      <w:rFonts w:hint="eastAsia"/>
                      <w:color w:val="000000"/>
                      <w:lang w:val="en-US" w:eastAsia="zh-CN"/>
                    </w:rPr>
                    <w:t>4</w:t>
                  </w:r>
                </w:p>
              </w:tc>
              <w:tc>
                <w:tcPr>
                  <w:tcW w:w="527" w:type="pct"/>
                  <w:tcBorders>
                    <w:tl2br w:val="nil"/>
                    <w:tr2bl w:val="nil"/>
                  </w:tcBorders>
                  <w:noWrap w:val="0"/>
                  <w:vAlign w:val="center"/>
                </w:tcPr>
                <w:p w14:paraId="647CCE5E">
                  <w:pPr>
                    <w:pStyle w:val="54"/>
                    <w:bidi w:val="0"/>
                    <w:rPr>
                      <w:rFonts w:hint="default"/>
                      <w:color w:val="000000"/>
                      <w:lang w:val="en-US" w:eastAsia="zh-CN"/>
                    </w:rPr>
                  </w:pPr>
                  <w:r>
                    <w:rPr>
                      <w:rFonts w:hint="eastAsia"/>
                      <w:color w:val="000000"/>
                      <w:lang w:val="en-US" w:eastAsia="zh-CN"/>
                    </w:rPr>
                    <w:t>固体废物</w:t>
                  </w:r>
                </w:p>
              </w:tc>
              <w:tc>
                <w:tcPr>
                  <w:tcW w:w="3208" w:type="pct"/>
                  <w:tcBorders>
                    <w:tl2br w:val="nil"/>
                    <w:tr2bl w:val="nil"/>
                  </w:tcBorders>
                  <w:noWrap w:val="0"/>
                  <w:vAlign w:val="center"/>
                </w:tcPr>
                <w:p w14:paraId="6CEADA1A">
                  <w:pPr>
                    <w:pStyle w:val="54"/>
                    <w:bidi w:val="0"/>
                    <w:rPr>
                      <w:rFonts w:hint="default"/>
                      <w:color w:val="000000"/>
                      <w:lang w:val="en-US" w:eastAsia="zh-CN"/>
                    </w:rPr>
                  </w:pPr>
                  <w:r>
                    <w:rPr>
                      <w:rFonts w:hint="eastAsia"/>
                      <w:color w:val="000000"/>
                      <w:lang w:val="en-US" w:eastAsia="zh-CN"/>
                    </w:rPr>
                    <w:t>一般工业固体废物定期外售给其他企业综合利用；设置垃圾桶存放生活垃圾，并委托环卫部门定期清运；危险废物存放于危险废物</w:t>
                  </w:r>
                  <w:r>
                    <w:rPr>
                      <w:rFonts w:hint="eastAsia" w:ascii="Times New Roman" w:hAnsi="Times New Roman" w:eastAsia="宋体" w:cs="Times New Roman"/>
                      <w:color w:val="000000"/>
                      <w:lang w:val="en-US" w:eastAsia="zh-CN"/>
                    </w:rPr>
                    <w:t>贮存库，定</w:t>
                  </w:r>
                  <w:r>
                    <w:rPr>
                      <w:rFonts w:hint="eastAsia"/>
                      <w:color w:val="000000"/>
                      <w:lang w:val="en-US" w:eastAsia="zh-CN"/>
                    </w:rPr>
                    <w:t>期委托有处置危险废物资质的单位处置</w:t>
                  </w:r>
                </w:p>
              </w:tc>
              <w:tc>
                <w:tcPr>
                  <w:tcW w:w="857" w:type="pct"/>
                  <w:tcBorders>
                    <w:tl2br w:val="nil"/>
                    <w:tr2bl w:val="nil"/>
                  </w:tcBorders>
                  <w:noWrap w:val="0"/>
                  <w:vAlign w:val="center"/>
                </w:tcPr>
                <w:p w14:paraId="3CFB3A40">
                  <w:pPr>
                    <w:pStyle w:val="54"/>
                    <w:bidi w:val="0"/>
                    <w:rPr>
                      <w:rFonts w:hint="default"/>
                      <w:color w:val="000000"/>
                      <w:lang w:val="en-US" w:eastAsia="zh-CN"/>
                    </w:rPr>
                  </w:pPr>
                  <w:r>
                    <w:rPr>
                      <w:rFonts w:hint="eastAsia"/>
                      <w:color w:val="000000"/>
                      <w:lang w:val="en-US" w:eastAsia="zh-CN"/>
                    </w:rPr>
                    <w:t>1万元</w:t>
                  </w:r>
                </w:p>
              </w:tc>
            </w:tr>
            <w:tr w14:paraId="5E9C7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42" w:type="pct"/>
                  <w:gridSpan w:val="3"/>
                  <w:tcBorders>
                    <w:tl2br w:val="nil"/>
                    <w:tr2bl w:val="nil"/>
                  </w:tcBorders>
                  <w:noWrap w:val="0"/>
                  <w:vAlign w:val="center"/>
                </w:tcPr>
                <w:p w14:paraId="40CED72C">
                  <w:pPr>
                    <w:pStyle w:val="54"/>
                    <w:bidi w:val="0"/>
                    <w:rPr>
                      <w:rFonts w:hint="default"/>
                      <w:color w:val="000000"/>
                      <w:lang w:val="en-US" w:eastAsia="zh-CN"/>
                    </w:rPr>
                  </w:pPr>
                  <w:r>
                    <w:rPr>
                      <w:rFonts w:hint="eastAsia"/>
                      <w:color w:val="000000"/>
                      <w:lang w:val="en-US" w:eastAsia="zh-CN"/>
                    </w:rPr>
                    <w:t>合计</w:t>
                  </w:r>
                </w:p>
              </w:tc>
              <w:tc>
                <w:tcPr>
                  <w:tcW w:w="857" w:type="pct"/>
                  <w:tcBorders>
                    <w:tl2br w:val="nil"/>
                    <w:tr2bl w:val="nil"/>
                  </w:tcBorders>
                  <w:noWrap w:val="0"/>
                  <w:vAlign w:val="center"/>
                </w:tcPr>
                <w:p w14:paraId="0D0822D8">
                  <w:pPr>
                    <w:pStyle w:val="54"/>
                    <w:bidi w:val="0"/>
                    <w:rPr>
                      <w:rFonts w:hint="default"/>
                      <w:color w:val="000000"/>
                      <w:lang w:val="en-US" w:eastAsia="zh-CN"/>
                    </w:rPr>
                  </w:pPr>
                  <w:r>
                    <w:rPr>
                      <w:rFonts w:hint="eastAsia"/>
                      <w:color w:val="000000"/>
                      <w:lang w:val="en-US" w:eastAsia="zh-CN"/>
                    </w:rPr>
                    <w:t>15万元</w:t>
                  </w:r>
                </w:p>
              </w:tc>
            </w:tr>
          </w:tbl>
          <w:p w14:paraId="6FFB2B5F">
            <w:pPr>
              <w:pStyle w:val="3"/>
              <w:rPr>
                <w:rFonts w:hint="default"/>
                <w:lang w:val="en-US" w:eastAsia="zh-CN"/>
              </w:rPr>
            </w:pPr>
          </w:p>
        </w:tc>
      </w:tr>
    </w:tbl>
    <w:p w14:paraId="22EB707C">
      <w:pPr>
        <w:pStyle w:val="75"/>
        <w:rPr>
          <w:color w:val="auto"/>
          <w:highlight w:val="none"/>
        </w:rPr>
      </w:pPr>
      <w:bookmarkStart w:id="129" w:name="_Toc25125"/>
      <w:bookmarkStart w:id="130" w:name="_Toc1654"/>
      <w:bookmarkStart w:id="131" w:name="_Toc27194"/>
      <w:bookmarkStart w:id="132" w:name="_Toc9430"/>
      <w:bookmarkStart w:id="133" w:name="_Toc28426"/>
      <w:bookmarkStart w:id="134" w:name="_Toc12951"/>
      <w:bookmarkStart w:id="135" w:name="_Toc25037"/>
      <w:bookmarkStart w:id="136" w:name="_Toc31345"/>
      <w:r>
        <w:rPr>
          <w:color w:val="auto"/>
          <w:highlight w:val="none"/>
        </w:rPr>
        <w:t>五、</w:t>
      </w:r>
      <w:bookmarkStart w:id="137" w:name="_Hlk54167917"/>
      <w:r>
        <w:rPr>
          <w:color w:val="auto"/>
          <w:highlight w:val="none"/>
        </w:rPr>
        <w:t>环境保护措施监督检查清单</w:t>
      </w:r>
      <w:bookmarkEnd w:id="129"/>
      <w:bookmarkEnd w:id="130"/>
      <w:bookmarkEnd w:id="131"/>
      <w:bookmarkEnd w:id="132"/>
      <w:bookmarkEnd w:id="133"/>
      <w:bookmarkEnd w:id="134"/>
      <w:bookmarkEnd w:id="135"/>
      <w:bookmarkEnd w:id="136"/>
      <w:bookmarkEnd w:id="137"/>
    </w:p>
    <w:tbl>
      <w:tblPr>
        <w:tblStyle w:val="23"/>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6"/>
        <w:gridCol w:w="312"/>
        <w:gridCol w:w="1391"/>
        <w:gridCol w:w="1135"/>
        <w:gridCol w:w="2040"/>
        <w:gridCol w:w="3874"/>
      </w:tblGrid>
      <w:tr w14:paraId="673695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848" w:type="dxa"/>
            <w:gridSpan w:val="2"/>
            <w:tcBorders>
              <w:tl2br w:val="single" w:color="auto" w:sz="4" w:space="0"/>
            </w:tcBorders>
            <w:noWrap w:val="0"/>
            <w:vAlign w:val="top"/>
          </w:tcPr>
          <w:p w14:paraId="3E27B5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right"/>
              <w:textAlignment w:val="auto"/>
              <w:outlineLvl w:val="9"/>
              <w:rPr>
                <w:rFonts w:hint="default" w:ascii="Times New Roman" w:hAnsi="Times New Roman" w:eastAsia="宋体" w:cs="Times New Roman"/>
                <w:sz w:val="21"/>
                <w:szCs w:val="21"/>
                <w:lang w:val="en-GB" w:eastAsia="zh-CN"/>
              </w:rPr>
            </w:pPr>
            <w:r>
              <w:rPr>
                <w:rFonts w:hint="default" w:ascii="Times New Roman" w:hAnsi="Times New Roman" w:eastAsia="宋体" w:cs="Times New Roman"/>
                <w:color w:val="auto"/>
                <w:kern w:val="2"/>
                <w:sz w:val="21"/>
                <w:szCs w:val="21"/>
                <w:highlight w:val="none"/>
                <w:lang w:val="en-GB" w:eastAsia="zh-CN" w:bidi="ar-SA"/>
              </w:rPr>
              <w:t>内容</w:t>
            </w:r>
          </w:p>
          <w:p w14:paraId="588D72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p>
          <w:p w14:paraId="2AAE49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要素</w:t>
            </w:r>
          </w:p>
        </w:tc>
        <w:tc>
          <w:tcPr>
            <w:tcW w:w="1391" w:type="dxa"/>
            <w:noWrap w:val="0"/>
            <w:vAlign w:val="center"/>
          </w:tcPr>
          <w:p w14:paraId="68B678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排放口</w:t>
            </w:r>
            <w:r>
              <w:rPr>
                <w:rFonts w:hint="eastAsia"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编号、名称</w:t>
            </w:r>
            <w:r>
              <w:rPr>
                <w:rFonts w:hint="eastAsia"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/污染源</w:t>
            </w:r>
          </w:p>
        </w:tc>
        <w:tc>
          <w:tcPr>
            <w:tcW w:w="1135" w:type="dxa"/>
            <w:noWrap w:val="0"/>
            <w:vAlign w:val="center"/>
          </w:tcPr>
          <w:p w14:paraId="1A0767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污染物项目</w:t>
            </w:r>
          </w:p>
        </w:tc>
        <w:tc>
          <w:tcPr>
            <w:tcW w:w="2040" w:type="dxa"/>
            <w:noWrap w:val="0"/>
            <w:vAlign w:val="center"/>
          </w:tcPr>
          <w:p w14:paraId="18DDAE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环境保护措施</w:t>
            </w:r>
          </w:p>
        </w:tc>
        <w:tc>
          <w:tcPr>
            <w:tcW w:w="3874" w:type="dxa"/>
            <w:noWrap w:val="0"/>
            <w:vAlign w:val="center"/>
          </w:tcPr>
          <w:p w14:paraId="393526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执行标准</w:t>
            </w:r>
          </w:p>
        </w:tc>
      </w:tr>
      <w:tr w14:paraId="30DE4D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3" w:hRule="atLeast"/>
          <w:jc w:val="center"/>
        </w:trPr>
        <w:tc>
          <w:tcPr>
            <w:tcW w:w="848" w:type="dxa"/>
            <w:gridSpan w:val="2"/>
            <w:vMerge w:val="restart"/>
            <w:noWrap w:val="0"/>
            <w:vAlign w:val="center"/>
          </w:tcPr>
          <w:p w14:paraId="3429FB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大气环境</w:t>
            </w:r>
          </w:p>
        </w:tc>
        <w:tc>
          <w:tcPr>
            <w:tcW w:w="1391" w:type="dxa"/>
            <w:vMerge w:val="restart"/>
            <w:noWrap w:val="0"/>
            <w:vAlign w:val="center"/>
          </w:tcPr>
          <w:p w14:paraId="460F80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生产废气</w:t>
            </w:r>
            <w:r>
              <w:rPr>
                <w:rFonts w:hint="default" w:ascii="Times New Roman" w:hAnsi="Times New Roman" w:eastAsia="宋体" w:cs="Times New Roman"/>
                <w:color w:val="auto"/>
                <w:kern w:val="2"/>
                <w:sz w:val="21"/>
                <w:szCs w:val="21"/>
                <w:highlight w:val="none"/>
                <w:lang w:val="en-US" w:eastAsia="zh-CN" w:bidi="ar-SA"/>
              </w:rPr>
              <w:t>排气筒（DA001）</w:t>
            </w:r>
          </w:p>
        </w:tc>
        <w:tc>
          <w:tcPr>
            <w:tcW w:w="1135" w:type="dxa"/>
            <w:noWrap w:val="0"/>
            <w:vAlign w:val="center"/>
          </w:tcPr>
          <w:p w14:paraId="58E198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pacing w:val="0"/>
                <w:kern w:val="21"/>
                <w:sz w:val="21"/>
                <w:szCs w:val="21"/>
                <w:highlight w:val="none"/>
                <w:lang w:val="en-US" w:eastAsia="zh-CN"/>
              </w:rPr>
            </w:pPr>
            <w:r>
              <w:rPr>
                <w:rFonts w:hint="default" w:ascii="Times New Roman" w:hAnsi="Times New Roman" w:eastAsia="宋体" w:cs="Times New Roman"/>
                <w:color w:val="auto"/>
                <w:spacing w:val="0"/>
                <w:kern w:val="21"/>
                <w:sz w:val="21"/>
                <w:szCs w:val="21"/>
                <w:highlight w:val="none"/>
                <w:lang w:val="en-US" w:eastAsia="zh-CN"/>
              </w:rPr>
              <w:t>非甲烷总烃、臭气</w:t>
            </w:r>
            <w:r>
              <w:rPr>
                <w:rFonts w:hint="eastAsia" w:cs="Times New Roman"/>
                <w:color w:val="auto"/>
                <w:spacing w:val="0"/>
                <w:kern w:val="21"/>
                <w:sz w:val="21"/>
                <w:szCs w:val="21"/>
                <w:highlight w:val="none"/>
                <w:lang w:val="en-US" w:eastAsia="zh-CN"/>
              </w:rPr>
              <w:t>浓度</w:t>
            </w:r>
          </w:p>
        </w:tc>
        <w:tc>
          <w:tcPr>
            <w:tcW w:w="2040" w:type="dxa"/>
            <w:noWrap w:val="0"/>
            <w:vAlign w:val="center"/>
          </w:tcPr>
          <w:p w14:paraId="3A525D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集气罩+</w:t>
            </w:r>
            <w:r>
              <w:rPr>
                <w:rFonts w:hint="eastAsia"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活性炭吸附装置</w:t>
            </w:r>
            <w:r>
              <w:rPr>
                <w:rFonts w:hint="eastAsia" w:eastAsia="宋体" w:cs="Times New Roman"/>
                <w:color w:val="auto"/>
                <w:sz w:val="21"/>
                <w:szCs w:val="21"/>
                <w:highlight w:val="none"/>
                <w:lang w:val="en-US" w:eastAsia="zh-CN"/>
              </w:rPr>
              <w:t>（TA001）</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m高排气筒</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DA001</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排放</w:t>
            </w:r>
            <w:r>
              <w:rPr>
                <w:rFonts w:hint="eastAsia" w:cs="Times New Roman"/>
                <w:color w:val="auto"/>
                <w:sz w:val="21"/>
                <w:szCs w:val="21"/>
                <w:highlight w:val="none"/>
                <w:lang w:val="en-US" w:eastAsia="zh-CN"/>
              </w:rPr>
              <w:t>，风机风量为8000m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3874" w:type="dxa"/>
            <w:noWrap w:val="0"/>
            <w:vAlign w:val="center"/>
          </w:tcPr>
          <w:p w14:paraId="1A6009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outlineLvl w:val="9"/>
              <w:rPr>
                <w:rFonts w:hint="default" w:ascii="Times New Roman" w:hAnsi="Times New Roman" w:eastAsia="宋体" w:cs="Times New Roman"/>
                <w:color w:val="auto"/>
                <w:sz w:val="21"/>
                <w:szCs w:val="21"/>
                <w:highlight w:val="none"/>
                <w:lang w:val="en-GB" w:eastAsia="zh-CN"/>
              </w:rPr>
            </w:pPr>
            <w:r>
              <w:rPr>
                <w:rFonts w:hint="eastAsia" w:ascii="Times New Roman" w:hAnsi="Times New Roman" w:eastAsia="宋体" w:cs="Times New Roman"/>
                <w:color w:val="auto"/>
                <w:spacing w:val="0"/>
                <w:sz w:val="21"/>
                <w:szCs w:val="21"/>
                <w:highlight w:val="none"/>
                <w:lang w:val="en-US" w:eastAsia="zh-CN"/>
              </w:rPr>
              <w:t>非甲烷总烃有组织排放执行</w:t>
            </w:r>
            <w:r>
              <w:rPr>
                <w:rFonts w:hint="eastAsia" w:ascii="Times New Roman" w:hAnsi="Times New Roman" w:eastAsia="宋体" w:cs="Times New Roman"/>
                <w:color w:val="auto"/>
                <w:kern w:val="18"/>
                <w:lang w:val="en-US" w:eastAsia="zh-CN"/>
              </w:rPr>
              <w:t>《合成树脂工业污染物排放标准》（GB31572-2015）中表</w:t>
            </w:r>
            <w:r>
              <w:rPr>
                <w:rFonts w:hint="eastAsia" w:eastAsia="宋体" w:cs="Times New Roman"/>
                <w:color w:val="auto"/>
                <w:kern w:val="18"/>
                <w:lang w:val="en-US" w:eastAsia="zh-CN"/>
              </w:rPr>
              <w:t>5</w:t>
            </w:r>
            <w:r>
              <w:rPr>
                <w:rFonts w:hint="eastAsia" w:ascii="Times New Roman" w:hAnsi="Times New Roman" w:eastAsia="宋体" w:cs="Times New Roman"/>
                <w:color w:val="auto"/>
                <w:kern w:val="18"/>
                <w:lang w:val="en-US" w:eastAsia="zh-CN"/>
              </w:rPr>
              <w:t>大气污染物排放限值</w:t>
            </w:r>
            <w:r>
              <w:rPr>
                <w:rFonts w:hint="eastAsia" w:ascii="Times New Roman" w:hAnsi="Times New Roman" w:eastAsia="宋体" w:cs="Times New Roman"/>
                <w:color w:val="auto"/>
                <w:kern w:val="18"/>
                <w:highlight w:val="none"/>
                <w:lang w:val="en-US" w:eastAsia="zh-CN"/>
              </w:rPr>
              <w:t>；臭气浓度有组织排放执行</w:t>
            </w:r>
            <w:r>
              <w:rPr>
                <w:rFonts w:hint="default" w:ascii="Times New Roman" w:hAnsi="Times New Roman" w:eastAsia="宋体" w:cs="Times New Roman"/>
                <w:color w:val="auto"/>
                <w:sz w:val="21"/>
                <w:szCs w:val="21"/>
                <w:highlight w:val="none"/>
              </w:rPr>
              <w:t>《恶臭污染物排放标准》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GB14554-93</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表</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pacing w:val="0"/>
                <w:sz w:val="21"/>
                <w:szCs w:val="21"/>
                <w:highlight w:val="none"/>
                <w:lang w:eastAsia="zh-CN"/>
              </w:rPr>
              <w:t>（</w:t>
            </w:r>
            <w:r>
              <w:rPr>
                <w:rFonts w:hint="eastAsia"/>
                <w:color w:val="auto"/>
                <w:highlight w:val="none"/>
                <w:lang w:val="en-US" w:eastAsia="zh-CN"/>
              </w:rPr>
              <w:t>即非甲烷总烃</w:t>
            </w:r>
            <w:r>
              <w:rPr>
                <w:rFonts w:hint="eastAsia" w:cs="Times New Roman"/>
                <w:color w:val="auto"/>
                <w:szCs w:val="21"/>
                <w:highlight w:val="none"/>
                <w:lang w:eastAsia="zh-CN"/>
              </w:rPr>
              <w:t>≤</w:t>
            </w:r>
            <w:r>
              <w:rPr>
                <w:rFonts w:hint="eastAsia" w:cs="Times New Roman"/>
                <w:color w:val="auto"/>
                <w:szCs w:val="21"/>
                <w:highlight w:val="none"/>
                <w:lang w:val="en-US" w:eastAsia="zh-CN"/>
              </w:rPr>
              <w:t>60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eastAsia" w:ascii="Times New Roman" w:hAnsi="Times New Roman" w:cs="Times New Roman"/>
                <w:color w:val="auto"/>
                <w:szCs w:val="21"/>
                <w:highlight w:val="none"/>
                <w:vertAlign w:val="baseline"/>
                <w:lang w:eastAsia="zh-CN"/>
              </w:rPr>
              <w:t>；臭气浓度</w:t>
            </w:r>
            <w:r>
              <w:rPr>
                <w:rFonts w:hint="eastAsia" w:cs="Times New Roman"/>
                <w:color w:val="auto"/>
                <w:szCs w:val="21"/>
                <w:highlight w:val="none"/>
                <w:lang w:eastAsia="zh-CN"/>
              </w:rPr>
              <w:t>≤</w:t>
            </w:r>
            <w:r>
              <w:rPr>
                <w:rFonts w:hint="eastAsia" w:cs="Times New Roman"/>
                <w:color w:val="auto"/>
                <w:szCs w:val="21"/>
                <w:highlight w:val="none"/>
                <w:lang w:val="en-US" w:eastAsia="zh-CN"/>
              </w:rPr>
              <w:t>2000（无量纲））</w:t>
            </w:r>
          </w:p>
        </w:tc>
      </w:tr>
      <w:tr w14:paraId="0A5786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848" w:type="dxa"/>
            <w:gridSpan w:val="2"/>
            <w:vMerge w:val="continue"/>
            <w:noWrap w:val="0"/>
            <w:vAlign w:val="center"/>
          </w:tcPr>
          <w:p w14:paraId="678D51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p>
        </w:tc>
        <w:tc>
          <w:tcPr>
            <w:tcW w:w="1391" w:type="dxa"/>
            <w:vMerge w:val="continue"/>
            <w:noWrap w:val="0"/>
            <w:vAlign w:val="center"/>
          </w:tcPr>
          <w:p w14:paraId="0FC2BC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kern w:val="2"/>
                <w:sz w:val="21"/>
                <w:szCs w:val="21"/>
                <w:highlight w:val="none"/>
                <w:lang w:val="en-US" w:eastAsia="zh-CN" w:bidi="ar-SA"/>
              </w:rPr>
            </w:pPr>
          </w:p>
        </w:tc>
        <w:tc>
          <w:tcPr>
            <w:tcW w:w="1135" w:type="dxa"/>
            <w:noWrap w:val="0"/>
            <w:vAlign w:val="center"/>
          </w:tcPr>
          <w:p w14:paraId="407F19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pacing w:val="0"/>
                <w:kern w:val="21"/>
                <w:sz w:val="21"/>
                <w:szCs w:val="21"/>
                <w:highlight w:val="none"/>
                <w:lang w:val="en-US" w:eastAsia="zh-CN"/>
              </w:rPr>
            </w:pPr>
            <w:r>
              <w:rPr>
                <w:rFonts w:hint="eastAsia" w:cs="Times New Roman"/>
                <w:color w:val="auto"/>
                <w:spacing w:val="0"/>
                <w:kern w:val="21"/>
                <w:sz w:val="21"/>
                <w:szCs w:val="21"/>
                <w:highlight w:val="none"/>
                <w:lang w:val="en-US" w:eastAsia="zh-CN"/>
              </w:rPr>
              <w:t>颗粒物</w:t>
            </w:r>
          </w:p>
        </w:tc>
        <w:tc>
          <w:tcPr>
            <w:tcW w:w="2040" w:type="dxa"/>
            <w:noWrap w:val="0"/>
            <w:vAlign w:val="center"/>
          </w:tcPr>
          <w:p w14:paraId="4A3F56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负压收集+滤芯回收系统+二级</w:t>
            </w:r>
            <w:r>
              <w:rPr>
                <w:rFonts w:hint="default" w:ascii="Times New Roman" w:hAnsi="Times New Roman" w:eastAsia="宋体" w:cs="Times New Roman"/>
                <w:color w:val="auto"/>
                <w:sz w:val="21"/>
                <w:szCs w:val="21"/>
                <w:highlight w:val="none"/>
                <w:lang w:val="en-US" w:eastAsia="zh-CN"/>
              </w:rPr>
              <w:t>活性炭吸附装置</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m高排气筒</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DA001</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排放</w:t>
            </w:r>
            <w:r>
              <w:rPr>
                <w:rFonts w:hint="eastAsia" w:cs="Times New Roman"/>
                <w:color w:val="auto"/>
                <w:sz w:val="21"/>
                <w:szCs w:val="21"/>
                <w:highlight w:val="none"/>
                <w:lang w:val="en-US" w:eastAsia="zh-CN"/>
              </w:rPr>
              <w:t>，风机风量为8000m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3874" w:type="dxa"/>
            <w:noWrap w:val="0"/>
            <w:vAlign w:val="center"/>
          </w:tcPr>
          <w:p w14:paraId="620335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bidi="he-IL"/>
              </w:rPr>
              <w:t>《大气污染物综合排放标准》(GB16297－1996)表2标准</w:t>
            </w:r>
            <w:r>
              <w:rPr>
                <w:rFonts w:hint="default" w:ascii="Times New Roman" w:hAnsi="Times New Roman" w:cs="Times New Roman"/>
                <w:spacing w:val="0"/>
                <w:sz w:val="21"/>
                <w:szCs w:val="21"/>
                <w:lang w:eastAsia="zh-CN"/>
              </w:rPr>
              <w:t>（</w:t>
            </w:r>
            <w:r>
              <w:rPr>
                <w:rFonts w:hint="default" w:ascii="Times New Roman" w:hAnsi="Times New Roman" w:cs="Times New Roman"/>
                <w:spacing w:val="0"/>
                <w:sz w:val="21"/>
                <w:szCs w:val="21"/>
                <w:lang w:val="en-US" w:eastAsia="zh-CN"/>
              </w:rPr>
              <w:t>最高浓度限值≤120mg/m</w:t>
            </w:r>
            <w:r>
              <w:rPr>
                <w:rFonts w:hint="default" w:ascii="Times New Roman" w:hAnsi="Times New Roman" w:cs="Times New Roman"/>
                <w:spacing w:val="0"/>
                <w:sz w:val="21"/>
                <w:szCs w:val="21"/>
                <w:vertAlign w:val="superscript"/>
                <w:lang w:val="en-US" w:eastAsia="zh-CN"/>
              </w:rPr>
              <w:t>3</w:t>
            </w:r>
            <w:r>
              <w:rPr>
                <w:rFonts w:hint="default" w:ascii="Times New Roman" w:hAnsi="Times New Roman" w:cs="Times New Roman"/>
                <w:spacing w:val="0"/>
                <w:sz w:val="21"/>
                <w:szCs w:val="21"/>
                <w:lang w:eastAsia="zh-CN"/>
              </w:rPr>
              <w:t>）</w:t>
            </w:r>
          </w:p>
        </w:tc>
      </w:tr>
      <w:tr w14:paraId="069F8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dxa"/>
            <w:gridSpan w:val="2"/>
            <w:vMerge w:val="continue"/>
            <w:noWrap w:val="0"/>
            <w:vAlign w:val="center"/>
          </w:tcPr>
          <w:p w14:paraId="24A915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p>
        </w:tc>
        <w:tc>
          <w:tcPr>
            <w:tcW w:w="1391" w:type="dxa"/>
            <w:noWrap w:val="0"/>
            <w:vAlign w:val="center"/>
          </w:tcPr>
          <w:p w14:paraId="5E8799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w:t>
            </w:r>
          </w:p>
        </w:tc>
        <w:tc>
          <w:tcPr>
            <w:tcW w:w="1135" w:type="dxa"/>
            <w:noWrap w:val="0"/>
            <w:vAlign w:val="center"/>
          </w:tcPr>
          <w:p w14:paraId="4C3CF7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2040" w:type="dxa"/>
            <w:vMerge w:val="restart"/>
            <w:noWrap w:val="0"/>
            <w:vAlign w:val="center"/>
          </w:tcPr>
          <w:p w14:paraId="153763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pacing w:val="0"/>
                <w:kern w:val="0"/>
                <w:sz w:val="21"/>
                <w:szCs w:val="21"/>
                <w:highlight w:val="none"/>
                <w:lang w:val="en-US" w:eastAsia="zh-CN" w:bidi="he-IL"/>
              </w:rPr>
            </w:pPr>
            <w:r>
              <w:rPr>
                <w:rFonts w:hint="eastAsia" w:cs="Times New Roman"/>
                <w:color w:val="auto"/>
                <w:spacing w:val="0"/>
                <w:kern w:val="0"/>
                <w:sz w:val="21"/>
                <w:szCs w:val="21"/>
                <w:highlight w:val="none"/>
                <w:lang w:val="en-US" w:eastAsia="zh-CN" w:bidi="he-IL"/>
              </w:rPr>
              <w:t>料头粉碎通过移动式除尘器处理后排放；</w:t>
            </w:r>
            <w:r>
              <w:rPr>
                <w:rFonts w:hint="default" w:ascii="Times New Roman" w:hAnsi="Times New Roman" w:eastAsia="宋体" w:cs="Times New Roman"/>
                <w:color w:val="auto"/>
                <w:spacing w:val="0"/>
                <w:kern w:val="0"/>
                <w:sz w:val="21"/>
                <w:szCs w:val="21"/>
                <w:highlight w:val="none"/>
                <w:lang w:val="en-US" w:eastAsia="zh-CN" w:bidi="he-IL"/>
              </w:rPr>
              <w:t>加强废气的收集及活性炭吸附净化装置维护保养，防止废气事故无组织排放；生产过程中门窗关闭，保持一个相对密闭的空间，合理设计送排风系统</w:t>
            </w:r>
          </w:p>
        </w:tc>
        <w:tc>
          <w:tcPr>
            <w:tcW w:w="3874" w:type="dxa"/>
            <w:tcBorders>
              <w:bottom w:val="single" w:color="000000" w:sz="4" w:space="0"/>
            </w:tcBorders>
            <w:noWrap w:val="0"/>
            <w:vAlign w:val="center"/>
          </w:tcPr>
          <w:p w14:paraId="570732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r>
              <w:rPr>
                <w:rFonts w:hint="default" w:ascii="Times New Roman" w:hAnsi="Times New Roman" w:eastAsia="宋体" w:cs="Times New Roman"/>
                <w:color w:val="auto"/>
                <w:sz w:val="21"/>
                <w:szCs w:val="21"/>
                <w:highlight w:val="none"/>
              </w:rPr>
              <w:t>企业</w:t>
            </w:r>
            <w:r>
              <w:rPr>
                <w:rFonts w:hint="default" w:ascii="Times New Roman" w:hAnsi="Times New Roman" w:eastAsia="宋体" w:cs="Times New Roman"/>
                <w:color w:val="auto"/>
                <w:sz w:val="21"/>
                <w:szCs w:val="21"/>
                <w:highlight w:val="none"/>
                <w:lang w:eastAsia="zh-CN"/>
              </w:rPr>
              <w:t>厂内</w:t>
            </w:r>
            <w:r>
              <w:rPr>
                <w:rFonts w:hint="default" w:ascii="Times New Roman" w:hAnsi="Times New Roman" w:cs="Times New Roman"/>
                <w:color w:val="auto"/>
                <w:sz w:val="21"/>
                <w:szCs w:val="21"/>
                <w:highlight w:val="none"/>
                <w:lang w:val="en-US" w:eastAsia="zh-CN"/>
              </w:rPr>
              <w:t>监控点1h平均浓度值</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厂区内监控点任意一次浓度值</w:t>
            </w:r>
            <w:r>
              <w:rPr>
                <w:rFonts w:hint="default" w:ascii="Times New Roman" w:hAnsi="Times New Roman" w:cs="Times New Roman"/>
                <w:color w:val="auto"/>
                <w:sz w:val="21"/>
                <w:szCs w:val="21"/>
                <w:highlight w:val="none"/>
                <w:lang w:eastAsia="zh-CN"/>
              </w:rPr>
              <w:t>满足</w:t>
            </w:r>
            <w:r>
              <w:rPr>
                <w:rFonts w:hint="default" w:ascii="Times New Roman" w:hAnsi="Times New Roman" w:eastAsia="宋体" w:cs="Times New Roman"/>
                <w:color w:val="auto"/>
                <w:sz w:val="21"/>
                <w:szCs w:val="21"/>
                <w:highlight w:val="none"/>
                <w:lang w:val="en-US" w:eastAsia="zh-CN"/>
              </w:rPr>
              <w:t>《挥发性有机物无组织排放控制标准》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GB37822-2019</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shd w:val="clear" w:color="auto" w:fill="FFFFFF"/>
                <w:lang w:eastAsia="zh-CN"/>
              </w:rPr>
              <w:t>中附录A表A.1</w:t>
            </w:r>
            <w:r>
              <w:rPr>
                <w:rFonts w:hint="eastAsia" w:cs="Times New Roman"/>
                <w:color w:val="auto"/>
                <w:sz w:val="21"/>
                <w:szCs w:val="21"/>
                <w:shd w:val="clear" w:color="auto" w:fill="FFFFFF"/>
                <w:lang w:val="en-US" w:eastAsia="zh-CN"/>
              </w:rPr>
              <w:t>特别排放</w:t>
            </w:r>
            <w:r>
              <w:rPr>
                <w:rFonts w:hint="default" w:ascii="Times New Roman" w:hAnsi="Times New Roman" w:cs="Times New Roman"/>
                <w:color w:val="auto"/>
                <w:sz w:val="21"/>
                <w:szCs w:val="21"/>
                <w:shd w:val="clear" w:color="auto" w:fill="FFFFFF"/>
                <w:lang w:eastAsia="zh-CN"/>
              </w:rPr>
              <w:t>标准限值</w:t>
            </w:r>
            <w:r>
              <w:rPr>
                <w:rFonts w:hint="eastAsia" w:ascii="Times New Roman" w:hAnsi="Times New Roman" w:cs="Times New Roman"/>
                <w:color w:val="auto"/>
                <w:sz w:val="21"/>
                <w:szCs w:val="21"/>
                <w:shd w:val="clear" w:color="auto" w:fill="FFFFFF"/>
                <w:lang w:eastAsia="zh-CN"/>
              </w:rPr>
              <w:t>（</w:t>
            </w:r>
            <w:r>
              <w:rPr>
                <w:rFonts w:hint="default" w:ascii="Times New Roman" w:hAnsi="Times New Roman" w:eastAsia="宋体" w:cs="Times New Roman"/>
                <w:color w:val="auto"/>
                <w:sz w:val="21"/>
                <w:szCs w:val="21"/>
                <w:highlight w:val="none"/>
                <w:lang w:val="en-US" w:eastAsia="zh-CN"/>
              </w:rPr>
              <w:t>即非甲烷总烃无组织排放</w:t>
            </w:r>
            <w:r>
              <w:rPr>
                <w:rFonts w:hint="default" w:ascii="Times New Roman" w:hAnsi="Times New Roman" w:eastAsia="宋体" w:cs="Times New Roman"/>
                <w:color w:val="auto"/>
                <w:sz w:val="21"/>
                <w:szCs w:val="21"/>
                <w:shd w:val="clear" w:color="auto" w:fill="FFFFFF"/>
                <w:lang w:eastAsia="zh-CN"/>
              </w:rPr>
              <w:t>监控点处</w:t>
            </w:r>
            <w:r>
              <w:rPr>
                <w:rFonts w:hint="default" w:ascii="Times New Roman" w:hAnsi="Times New Roman" w:eastAsia="宋体" w:cs="Times New Roman"/>
                <w:color w:val="auto"/>
                <w:sz w:val="21"/>
                <w:szCs w:val="21"/>
                <w:shd w:val="clear" w:color="auto" w:fill="FFFFFF"/>
                <w:lang w:val="en-US" w:eastAsia="zh-CN"/>
              </w:rPr>
              <w:t>1h平均浓度值</w:t>
            </w:r>
            <w:r>
              <w:rPr>
                <w:rFonts w:hint="eastAsia" w:ascii="Times New Roman" w:hAnsi="Times New Roman" w:eastAsia="宋体" w:cs="Times New Roman"/>
                <w:color w:val="auto"/>
                <w:sz w:val="21"/>
                <w:szCs w:val="21"/>
                <w:shd w:val="clear" w:color="auto" w:fill="FFFFFF"/>
                <w:lang w:val="en-US" w:eastAsia="zh-CN"/>
              </w:rPr>
              <w:t>≤</w:t>
            </w:r>
            <w:r>
              <w:rPr>
                <w:rFonts w:hint="eastAsia" w:eastAsia="宋体" w:cs="Times New Roman"/>
                <w:color w:val="auto"/>
                <w:sz w:val="21"/>
                <w:szCs w:val="21"/>
                <w:shd w:val="clear" w:color="auto" w:fill="FFFFFF"/>
                <w:lang w:val="en-US" w:eastAsia="zh-CN"/>
              </w:rPr>
              <w:t>6.0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，监控点处任意一点浓度值</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w:t>
            </w:r>
          </w:p>
        </w:tc>
      </w:tr>
      <w:tr w14:paraId="12E38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48" w:type="dxa"/>
            <w:gridSpan w:val="2"/>
            <w:vMerge w:val="continue"/>
            <w:noWrap w:val="0"/>
            <w:vAlign w:val="center"/>
          </w:tcPr>
          <w:p w14:paraId="62DB8B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p>
        </w:tc>
        <w:tc>
          <w:tcPr>
            <w:tcW w:w="1391" w:type="dxa"/>
            <w:noWrap w:val="0"/>
            <w:vAlign w:val="center"/>
          </w:tcPr>
          <w:p w14:paraId="175899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w:t>
            </w:r>
          </w:p>
        </w:tc>
        <w:tc>
          <w:tcPr>
            <w:tcW w:w="1135" w:type="dxa"/>
            <w:noWrap w:val="0"/>
            <w:vAlign w:val="center"/>
          </w:tcPr>
          <w:p w14:paraId="717EA2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pacing w:val="0"/>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非甲烷总烃、颗粒物、臭气浓度</w:t>
            </w:r>
          </w:p>
        </w:tc>
        <w:tc>
          <w:tcPr>
            <w:tcW w:w="2040" w:type="dxa"/>
            <w:vMerge w:val="continue"/>
            <w:noWrap w:val="0"/>
            <w:vAlign w:val="center"/>
          </w:tcPr>
          <w:p w14:paraId="12BEBF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color w:val="auto"/>
                <w:kern w:val="2"/>
                <w:sz w:val="21"/>
                <w:szCs w:val="21"/>
                <w:highlight w:val="none"/>
                <w:lang w:val="en-US" w:eastAsia="zh-CN" w:bidi="ar-SA"/>
              </w:rPr>
            </w:pPr>
          </w:p>
        </w:tc>
        <w:tc>
          <w:tcPr>
            <w:tcW w:w="3874" w:type="dxa"/>
            <w:noWrap w:val="0"/>
            <w:vAlign w:val="center"/>
          </w:tcPr>
          <w:p w14:paraId="74D3E1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非甲烷总烃</w:t>
            </w:r>
            <w:r>
              <w:rPr>
                <w:rFonts w:hint="eastAsia" w:cs="Times New Roman"/>
                <w:color w:val="auto"/>
                <w:spacing w:val="0"/>
                <w:sz w:val="21"/>
                <w:szCs w:val="21"/>
                <w:highlight w:val="none"/>
                <w:lang w:val="en-US" w:eastAsia="zh-CN"/>
              </w:rPr>
              <w:t>、颗粒物</w:t>
            </w:r>
            <w:r>
              <w:rPr>
                <w:rFonts w:hint="eastAsia" w:ascii="Times New Roman" w:hAnsi="Times New Roman" w:eastAsia="宋体" w:cs="Times New Roman"/>
                <w:color w:val="auto"/>
                <w:spacing w:val="0"/>
                <w:sz w:val="21"/>
                <w:szCs w:val="21"/>
                <w:highlight w:val="none"/>
                <w:lang w:val="en-US" w:eastAsia="zh-CN"/>
              </w:rPr>
              <w:t>执行《合成树脂工业污染物排放标准》（GB31572-2015）中表9企业边界大气污染物浓度限值</w:t>
            </w:r>
            <w:r>
              <w:rPr>
                <w:rFonts w:hint="eastAsia" w:ascii="Times New Roman" w:hAnsi="Times New Roman" w:eastAsia="宋体" w:cs="Times New Roman"/>
                <w:color w:val="auto"/>
                <w:kern w:val="18"/>
                <w:lang w:val="en-US" w:eastAsia="zh-CN"/>
              </w:rPr>
              <w:t>；臭气浓度厂界执行</w:t>
            </w:r>
            <w:r>
              <w:rPr>
                <w:rFonts w:hint="default" w:ascii="Times New Roman" w:hAnsi="Times New Roman" w:eastAsia="宋体" w:cs="Times New Roman"/>
                <w:color w:val="auto"/>
                <w:sz w:val="21"/>
                <w:szCs w:val="21"/>
                <w:highlight w:val="none"/>
              </w:rPr>
              <w:t>《恶臭污染物排放标准》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GB14554-93</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表</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标准限值</w:t>
            </w:r>
            <w:r>
              <w:rPr>
                <w:rFonts w:hint="eastAsia" w:ascii="Times New Roman" w:hAnsi="Times New Roman" w:eastAsia="宋体" w:cs="Times New Roman"/>
                <w:color w:val="auto"/>
                <w:kern w:val="18"/>
                <w:lang w:val="en-US" w:eastAsia="zh-CN"/>
              </w:rPr>
              <w:t>，</w:t>
            </w:r>
            <w:r>
              <w:rPr>
                <w:rFonts w:hint="eastAsia" w:ascii="Times New Roman" w:hAnsi="Times New Roman" w:eastAsia="宋体" w:cs="Times New Roman"/>
                <w:color w:val="auto"/>
                <w:kern w:val="2"/>
                <w:sz w:val="21"/>
                <w:szCs w:val="21"/>
                <w:lang w:val="en-US" w:eastAsia="zh-CN" w:bidi="ar-SA"/>
              </w:rPr>
              <w:t>即非甲烷总烃≤</w:t>
            </w:r>
            <w:r>
              <w:rPr>
                <w:rFonts w:hint="eastAsia"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；颗粒物</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cs="Times New Roman"/>
                <w:color w:val="auto"/>
                <w:szCs w:val="21"/>
                <w:highlight w:val="none"/>
                <w:vertAlign w:val="baseline"/>
                <w:lang w:eastAsia="zh-CN"/>
              </w:rPr>
              <w:t>臭气浓度</w:t>
            </w:r>
            <w:r>
              <w:rPr>
                <w:rFonts w:hint="eastAsia" w:cs="Times New Roman"/>
                <w:color w:val="auto"/>
                <w:szCs w:val="21"/>
                <w:highlight w:val="none"/>
                <w:lang w:eastAsia="zh-CN"/>
              </w:rPr>
              <w:t>≤</w:t>
            </w:r>
            <w:r>
              <w:rPr>
                <w:rFonts w:hint="eastAsia" w:cs="Times New Roman"/>
                <w:color w:val="auto"/>
                <w:szCs w:val="21"/>
                <w:highlight w:val="none"/>
                <w:lang w:val="en-US" w:eastAsia="zh-CN"/>
              </w:rPr>
              <w:t>20（无量纲）</w:t>
            </w:r>
          </w:p>
        </w:tc>
      </w:tr>
      <w:tr w14:paraId="2213B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1" w:hRule="atLeast"/>
          <w:jc w:val="center"/>
        </w:trPr>
        <w:tc>
          <w:tcPr>
            <w:tcW w:w="848" w:type="dxa"/>
            <w:gridSpan w:val="2"/>
            <w:noWrap w:val="0"/>
            <w:vAlign w:val="center"/>
          </w:tcPr>
          <w:p w14:paraId="458C63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地表水</w:t>
            </w:r>
          </w:p>
          <w:p w14:paraId="07F4F8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环境</w:t>
            </w:r>
          </w:p>
        </w:tc>
        <w:tc>
          <w:tcPr>
            <w:tcW w:w="1391" w:type="dxa"/>
            <w:noWrap w:val="0"/>
            <w:vAlign w:val="center"/>
          </w:tcPr>
          <w:p w14:paraId="5DDA84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生活废水</w:t>
            </w:r>
          </w:p>
        </w:tc>
        <w:tc>
          <w:tcPr>
            <w:tcW w:w="1135" w:type="dxa"/>
            <w:noWrap w:val="0"/>
            <w:vAlign w:val="center"/>
          </w:tcPr>
          <w:p w14:paraId="04ACC8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sz w:val="21"/>
                <w:szCs w:val="21"/>
                <w:highlight w:val="none"/>
              </w:rPr>
              <w:t>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2040" w:type="dxa"/>
            <w:noWrap w:val="0"/>
            <w:vAlign w:val="center"/>
          </w:tcPr>
          <w:p w14:paraId="778ADB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bCs/>
                <w:color w:val="000000"/>
                <w:sz w:val="21"/>
                <w:szCs w:val="21"/>
                <w:lang w:val="en-US" w:eastAsia="zh-CN"/>
              </w:rPr>
              <w:t>冷却水循环使用不外排</w:t>
            </w:r>
            <w:r>
              <w:rPr>
                <w:rFonts w:hint="eastAsia" w:cs="Times New Roman"/>
                <w:bCs/>
                <w:color w:val="000000"/>
                <w:sz w:val="21"/>
                <w:szCs w:val="21"/>
                <w:lang w:val="en-US" w:eastAsia="zh-CN"/>
              </w:rPr>
              <w:t>；喷粉前清洗水通过废水处理设施处理后回用于清洗工序，不外排；</w:t>
            </w:r>
            <w:r>
              <w:rPr>
                <w:rFonts w:hint="eastAsia" w:ascii="Times New Roman" w:hAnsi="Times New Roman" w:cs="Times New Roman"/>
                <w:bCs/>
                <w:color w:val="000000"/>
                <w:sz w:val="21"/>
                <w:szCs w:val="21"/>
                <w:lang w:val="en-US" w:eastAsia="zh-CN"/>
              </w:rPr>
              <w:t>生活污水</w:t>
            </w:r>
            <w:r>
              <w:rPr>
                <w:rFonts w:hint="default" w:ascii="Times New Roman" w:hAnsi="Times New Roman" w:eastAsia="宋体" w:cs="Times New Roman"/>
                <w:bCs/>
                <w:color w:val="000000"/>
                <w:sz w:val="21"/>
                <w:szCs w:val="21"/>
              </w:rPr>
              <w:t>经化粪池预处理后接入市政污水管网排入</w:t>
            </w:r>
            <w:r>
              <w:rPr>
                <w:rFonts w:hint="default" w:ascii="Times New Roman" w:hAnsi="Times New Roman" w:eastAsia="宋体" w:cs="Times New Roman"/>
                <w:bCs/>
                <w:color w:val="auto"/>
                <w:sz w:val="21"/>
                <w:szCs w:val="21"/>
              </w:rPr>
              <w:t>福清市融元污水处理厂集中</w:t>
            </w:r>
            <w:r>
              <w:rPr>
                <w:rFonts w:hint="default" w:ascii="Times New Roman" w:hAnsi="Times New Roman" w:eastAsia="宋体" w:cs="Times New Roman"/>
                <w:bCs/>
                <w:color w:val="000000"/>
                <w:sz w:val="21"/>
                <w:szCs w:val="21"/>
              </w:rPr>
              <w:t>处理</w:t>
            </w:r>
          </w:p>
        </w:tc>
        <w:tc>
          <w:tcPr>
            <w:tcW w:w="3874" w:type="dxa"/>
            <w:noWrap w:val="0"/>
            <w:vAlign w:val="center"/>
          </w:tcPr>
          <w:p w14:paraId="45A632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生活污水执行</w:t>
            </w:r>
            <w:r>
              <w:rPr>
                <w:rFonts w:hint="default" w:ascii="Times New Roman" w:hAnsi="Times New Roman" w:eastAsia="宋体" w:cs="Times New Roman"/>
                <w:color w:val="auto"/>
                <w:sz w:val="21"/>
                <w:szCs w:val="21"/>
                <w:highlight w:val="none"/>
                <w:lang w:val="en-US" w:eastAsia="zh-CN"/>
              </w:rPr>
              <w:t>《污水综合排放标准》（GB8978-1996）表4中三级标准（其中氨氮执行</w:t>
            </w:r>
            <w:r>
              <w:rPr>
                <w:rFonts w:hint="default" w:ascii="Times New Roman" w:hAnsi="Times New Roman" w:eastAsia="宋体" w:cs="Times New Roman"/>
                <w:color w:val="auto"/>
                <w:kern w:val="0"/>
                <w:sz w:val="21"/>
                <w:szCs w:val="21"/>
                <w:highlight w:val="none"/>
              </w:rPr>
              <w:t>《污水排入城镇下水道水质标准》（GB/T31962-2015）</w:t>
            </w:r>
            <w:r>
              <w:rPr>
                <w:rFonts w:hint="default" w:ascii="Times New Roman" w:hAnsi="Times New Roman" w:eastAsia="宋体" w:cs="Times New Roman"/>
                <w:color w:val="auto"/>
                <w:sz w:val="21"/>
                <w:szCs w:val="21"/>
                <w:highlight w:val="none"/>
              </w:rPr>
              <w:t>表1中B级标准</w:t>
            </w:r>
            <w:r>
              <w:rPr>
                <w:rFonts w:hint="default" w:ascii="Times New Roman" w:hAnsi="Times New Roman" w:eastAsia="宋体" w:cs="Times New Roman"/>
                <w:color w:val="auto"/>
                <w:sz w:val="21"/>
                <w:szCs w:val="21"/>
                <w:highlight w:val="none"/>
                <w:lang w:eastAsia="zh-CN"/>
              </w:rPr>
              <w:t>限值</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lang w:val="en-US" w:eastAsia="zh-CN"/>
              </w:rPr>
              <w:t>500mg/L，</w:t>
            </w: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300mg/L，</w:t>
            </w:r>
            <w:r>
              <w:rPr>
                <w:rFonts w:hint="default" w:ascii="Times New Roman" w:hAnsi="Times New Roman" w:eastAsia="宋体" w:cs="Times New Roman"/>
                <w:color w:val="auto"/>
                <w:sz w:val="21"/>
                <w:szCs w:val="21"/>
                <w:highlight w:val="none"/>
              </w:rPr>
              <w:t>SS≤</w:t>
            </w:r>
            <w:r>
              <w:rPr>
                <w:rFonts w:hint="default" w:ascii="Times New Roman" w:hAnsi="Times New Roman" w:eastAsia="宋体" w:cs="Times New Roman"/>
                <w:color w:val="auto"/>
                <w:sz w:val="21"/>
                <w:szCs w:val="21"/>
                <w:highlight w:val="none"/>
                <w:lang w:val="en-US" w:eastAsia="zh-CN"/>
              </w:rPr>
              <w:t>400mg/L，</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r>
              <w:rPr>
                <w:rFonts w:hint="default" w:ascii="Times New Roman" w:hAnsi="Times New Roman" w:eastAsia="宋体" w:cs="Times New Roman"/>
                <w:color w:val="auto"/>
                <w:sz w:val="21"/>
                <w:szCs w:val="21"/>
                <w:highlight w:val="none"/>
                <w:lang w:val="en-US" w:eastAsia="zh-CN"/>
              </w:rPr>
              <w:t>45mg/L）</w:t>
            </w:r>
          </w:p>
        </w:tc>
      </w:tr>
      <w:tr w14:paraId="64BACC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dxa"/>
            <w:gridSpan w:val="2"/>
            <w:noWrap w:val="0"/>
            <w:vAlign w:val="center"/>
          </w:tcPr>
          <w:p w14:paraId="47CCB0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声环境</w:t>
            </w:r>
          </w:p>
        </w:tc>
        <w:tc>
          <w:tcPr>
            <w:tcW w:w="1391" w:type="dxa"/>
            <w:noWrap w:val="0"/>
            <w:vAlign w:val="center"/>
          </w:tcPr>
          <w:p w14:paraId="4AA099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厂界四周</w:t>
            </w:r>
          </w:p>
        </w:tc>
        <w:tc>
          <w:tcPr>
            <w:tcW w:w="1135" w:type="dxa"/>
            <w:noWrap w:val="0"/>
            <w:vAlign w:val="center"/>
          </w:tcPr>
          <w:p w14:paraId="57B0DE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等效A声级</w:t>
            </w:r>
          </w:p>
        </w:tc>
        <w:tc>
          <w:tcPr>
            <w:tcW w:w="2040" w:type="dxa"/>
            <w:noWrap w:val="0"/>
            <w:vAlign w:val="center"/>
          </w:tcPr>
          <w:p w14:paraId="48924B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选用低噪声设备，加强设备维护，高噪声设备设置基础减振、隔声等措施</w:t>
            </w:r>
          </w:p>
        </w:tc>
        <w:tc>
          <w:tcPr>
            <w:tcW w:w="3874" w:type="dxa"/>
            <w:noWrap w:val="0"/>
            <w:vAlign w:val="center"/>
          </w:tcPr>
          <w:p w14:paraId="5D940D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满足《工业企业厂界环境噪声排放标准》</w:t>
            </w:r>
            <w:r>
              <w:rPr>
                <w:rFonts w:hint="eastAsia"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GB12348-2008</w:t>
            </w:r>
            <w:r>
              <w:rPr>
                <w:rFonts w:hint="eastAsia" w:ascii="Times New Roman" w:hAnsi="Times New Roman" w:eastAsia="宋体" w:cs="Times New Roman"/>
                <w:color w:val="auto"/>
                <w:kern w:val="2"/>
                <w:sz w:val="21"/>
                <w:szCs w:val="21"/>
                <w:highlight w:val="none"/>
                <w:lang w:val="en-GB" w:eastAsia="zh-CN" w:bidi="ar-SA"/>
              </w:rPr>
              <w:t>）</w:t>
            </w:r>
            <w:r>
              <w:rPr>
                <w:rFonts w:hint="eastAsia" w:ascii="Times New Roman" w:hAnsi="Times New Roman" w:eastAsia="宋体" w:cs="Times New Roman"/>
                <w:color w:val="auto"/>
                <w:kern w:val="2"/>
                <w:sz w:val="21"/>
                <w:szCs w:val="21"/>
                <w:highlight w:val="none"/>
                <w:lang w:val="en-US" w:eastAsia="zh-CN" w:bidi="ar-SA"/>
              </w:rPr>
              <w:t>表1</w:t>
            </w:r>
            <w:r>
              <w:rPr>
                <w:rFonts w:hint="default" w:ascii="Times New Roman" w:hAnsi="Times New Roman" w:eastAsia="宋体" w:cs="Times New Roman"/>
                <w:color w:val="auto"/>
                <w:kern w:val="2"/>
                <w:sz w:val="21"/>
                <w:szCs w:val="21"/>
                <w:highlight w:val="none"/>
                <w:lang w:val="en-GB" w:eastAsia="zh-CN" w:bidi="ar-SA"/>
              </w:rPr>
              <w:t>中</w:t>
            </w:r>
            <w:r>
              <w:rPr>
                <w:rFonts w:hint="default" w:ascii="Times New Roman" w:hAnsi="Times New Roman" w:eastAsia="宋体" w:cs="Times New Roman"/>
                <w:color w:val="auto"/>
                <w:kern w:val="2"/>
                <w:sz w:val="21"/>
                <w:szCs w:val="21"/>
                <w:highlight w:val="none"/>
                <w:lang w:val="en-US" w:eastAsia="zh-CN" w:bidi="ar-SA"/>
              </w:rPr>
              <w:t>3类标准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GB" w:eastAsia="zh-CN" w:bidi="ar-SA"/>
              </w:rPr>
              <w:t>昼间</w:t>
            </w:r>
            <w:r>
              <w:rPr>
                <w:rFonts w:hint="default" w:ascii="Times New Roman" w:hAnsi="Times New Roman" w:eastAsia="宋体" w:cs="Times New Roman"/>
                <w:color w:val="auto"/>
                <w:kern w:val="2"/>
                <w:sz w:val="21"/>
                <w:szCs w:val="21"/>
                <w:highlight w:val="none"/>
                <w:lang w:val="en-US" w:eastAsia="zh-CN" w:bidi="ar-SA"/>
              </w:rPr>
              <w:t>噪声</w:t>
            </w:r>
            <w:r>
              <w:rPr>
                <w:rFonts w:hint="default"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US" w:eastAsia="zh-CN" w:bidi="ar-SA"/>
              </w:rPr>
              <w:t>65</w:t>
            </w:r>
            <w:r>
              <w:rPr>
                <w:rFonts w:hint="default" w:ascii="Times New Roman" w:hAnsi="Times New Roman" w:eastAsia="宋体" w:cs="Times New Roman"/>
                <w:color w:val="auto"/>
                <w:kern w:val="2"/>
                <w:sz w:val="21"/>
                <w:szCs w:val="21"/>
                <w:highlight w:val="none"/>
                <w:lang w:val="en-GB" w:eastAsia="zh-CN" w:bidi="ar-SA"/>
              </w:rPr>
              <w:t>dB</w:t>
            </w:r>
            <w:r>
              <w:rPr>
                <w:rFonts w:hint="eastAsia"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A</w:t>
            </w:r>
            <w:r>
              <w:rPr>
                <w:rFonts w:hint="eastAsia"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US" w:eastAsia="zh-CN" w:bidi="ar-SA"/>
              </w:rPr>
              <w:t>夜</w:t>
            </w:r>
            <w:r>
              <w:rPr>
                <w:rFonts w:hint="default" w:ascii="Times New Roman" w:hAnsi="Times New Roman" w:eastAsia="宋体" w:cs="Times New Roman"/>
                <w:color w:val="auto"/>
                <w:kern w:val="2"/>
                <w:sz w:val="21"/>
                <w:szCs w:val="21"/>
                <w:highlight w:val="none"/>
                <w:lang w:val="en-GB" w:eastAsia="zh-CN" w:bidi="ar-SA"/>
              </w:rPr>
              <w:t>间</w:t>
            </w:r>
            <w:r>
              <w:rPr>
                <w:rFonts w:hint="default" w:ascii="Times New Roman" w:hAnsi="Times New Roman" w:eastAsia="宋体" w:cs="Times New Roman"/>
                <w:color w:val="auto"/>
                <w:kern w:val="2"/>
                <w:sz w:val="21"/>
                <w:szCs w:val="21"/>
                <w:highlight w:val="none"/>
                <w:lang w:val="en-US" w:eastAsia="zh-CN" w:bidi="ar-SA"/>
              </w:rPr>
              <w:t>噪声</w:t>
            </w:r>
            <w:r>
              <w:rPr>
                <w:rFonts w:hint="default" w:ascii="Times New Roman" w:hAnsi="Times New Roman" w:eastAsia="宋体"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US" w:eastAsia="zh-CN" w:bidi="ar-SA"/>
              </w:rPr>
              <w:t>55</w:t>
            </w:r>
            <w:r>
              <w:rPr>
                <w:rFonts w:hint="default" w:ascii="Times New Roman" w:hAnsi="Times New Roman" w:eastAsia="宋体" w:cs="Times New Roman"/>
                <w:color w:val="auto"/>
                <w:kern w:val="2"/>
                <w:sz w:val="21"/>
                <w:szCs w:val="21"/>
                <w:highlight w:val="none"/>
                <w:lang w:val="en-GB" w:eastAsia="zh-CN" w:bidi="ar-SA"/>
              </w:rPr>
              <w:t>dB</w:t>
            </w:r>
            <w:r>
              <w:rPr>
                <w:rFonts w:hint="eastAsia" w:cs="Times New Roman"/>
                <w:color w:val="auto"/>
                <w:kern w:val="2"/>
                <w:sz w:val="21"/>
                <w:szCs w:val="21"/>
                <w:highlight w:val="none"/>
                <w:lang w:val="en-GB" w:eastAsia="zh-CN" w:bidi="ar-SA"/>
              </w:rPr>
              <w:t>（</w:t>
            </w:r>
            <w:r>
              <w:rPr>
                <w:rFonts w:hint="default" w:ascii="Times New Roman" w:hAnsi="Times New Roman" w:eastAsia="宋体" w:cs="Times New Roman"/>
                <w:color w:val="auto"/>
                <w:kern w:val="2"/>
                <w:sz w:val="21"/>
                <w:szCs w:val="21"/>
                <w:highlight w:val="none"/>
                <w:lang w:val="en-GB" w:eastAsia="zh-CN" w:bidi="ar-SA"/>
              </w:rPr>
              <w:t>A</w:t>
            </w:r>
            <w:r>
              <w:rPr>
                <w:rFonts w:hint="eastAsia" w:ascii="Times New Roman" w:hAnsi="Times New Roman" w:eastAsia="宋体" w:cs="Times New Roman"/>
                <w:color w:val="auto"/>
                <w:kern w:val="2"/>
                <w:sz w:val="21"/>
                <w:szCs w:val="21"/>
                <w:highlight w:val="none"/>
                <w:lang w:val="en-GB" w:eastAsia="zh-CN" w:bidi="ar-SA"/>
              </w:rPr>
              <w:t>））</w:t>
            </w:r>
          </w:p>
        </w:tc>
      </w:tr>
      <w:tr w14:paraId="6F1AA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dxa"/>
            <w:gridSpan w:val="2"/>
            <w:noWrap w:val="0"/>
            <w:vAlign w:val="center"/>
          </w:tcPr>
          <w:p w14:paraId="6BF0833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电磁</w:t>
            </w:r>
          </w:p>
          <w:p w14:paraId="41ACE2F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1"/>
                <w:szCs w:val="21"/>
                <w:highlight w:val="none"/>
                <w:lang w:val="en-GB" w:eastAsia="zh-CN" w:bidi="ar-SA"/>
              </w:rPr>
              <w:t>辐射</w:t>
            </w:r>
          </w:p>
        </w:tc>
        <w:tc>
          <w:tcPr>
            <w:tcW w:w="1391" w:type="dxa"/>
            <w:noWrap w:val="0"/>
            <w:vAlign w:val="center"/>
          </w:tcPr>
          <w:p w14:paraId="015E07C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GB" w:eastAsia="zh-CN" w:bidi="ar-SA"/>
              </w:rPr>
              <w:t>/</w:t>
            </w:r>
          </w:p>
        </w:tc>
        <w:tc>
          <w:tcPr>
            <w:tcW w:w="1135" w:type="dxa"/>
            <w:noWrap w:val="0"/>
            <w:vAlign w:val="center"/>
          </w:tcPr>
          <w:p w14:paraId="438936EE">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GB" w:eastAsia="zh-CN" w:bidi="ar-SA"/>
              </w:rPr>
              <w:t>/</w:t>
            </w:r>
          </w:p>
        </w:tc>
        <w:tc>
          <w:tcPr>
            <w:tcW w:w="2040" w:type="dxa"/>
            <w:noWrap w:val="0"/>
            <w:vAlign w:val="center"/>
          </w:tcPr>
          <w:p w14:paraId="73C6BCD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GB" w:eastAsia="zh-CN" w:bidi="ar-SA"/>
              </w:rPr>
              <w:t>/</w:t>
            </w:r>
          </w:p>
        </w:tc>
        <w:tc>
          <w:tcPr>
            <w:tcW w:w="3874" w:type="dxa"/>
            <w:noWrap w:val="0"/>
            <w:vAlign w:val="center"/>
          </w:tcPr>
          <w:p w14:paraId="249BA72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GB" w:eastAsia="zh-CN" w:bidi="ar-SA"/>
              </w:rPr>
              <w:t>/</w:t>
            </w:r>
          </w:p>
        </w:tc>
      </w:tr>
      <w:tr w14:paraId="251C89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848" w:type="dxa"/>
            <w:gridSpan w:val="2"/>
            <w:noWrap w:val="0"/>
            <w:vAlign w:val="center"/>
          </w:tcPr>
          <w:p w14:paraId="798C7DE6">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center"/>
              <w:textAlignment w:val="auto"/>
              <w:outlineLvl w:val="9"/>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GB" w:eastAsia="zh-CN"/>
              </w:rPr>
              <w:t>固体</w:t>
            </w:r>
          </w:p>
          <w:p w14:paraId="1EE117FE">
            <w:pPr>
              <w:keepNext w:val="0"/>
              <w:keepLines/>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center"/>
              <w:textAlignment w:val="auto"/>
              <w:outlineLvl w:val="9"/>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GB" w:eastAsia="zh-CN"/>
              </w:rPr>
              <w:t>废物</w:t>
            </w:r>
          </w:p>
        </w:tc>
        <w:tc>
          <w:tcPr>
            <w:tcW w:w="8440" w:type="dxa"/>
            <w:gridSpan w:val="4"/>
            <w:noWrap w:val="0"/>
            <w:vAlign w:val="center"/>
          </w:tcPr>
          <w:p w14:paraId="3F3F6DF0">
            <w:pPr>
              <w:keepNext w:val="0"/>
              <w:pageBreakBefore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①一般工业固废：设置一般工业固废暂存</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，满足《一般工业固体废物贮存和填埋污染控制标准》（GB 18599-2020）的相关要求；</w:t>
            </w:r>
          </w:p>
          <w:p w14:paraId="7C43102E">
            <w:pPr>
              <w:keepNext w:val="0"/>
              <w:pageBreakBefore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②危险废物：设置危险废物</w:t>
            </w:r>
            <w:r>
              <w:rPr>
                <w:rFonts w:hint="eastAsia" w:ascii="Times New Roman" w:hAnsi="Times New Roman" w:eastAsia="宋体" w:cs="Times New Roman"/>
                <w:bCs/>
                <w:color w:val="auto"/>
                <w:sz w:val="24"/>
                <w:highlight w:val="none"/>
                <w:lang w:val="en-US" w:eastAsia="zh-CN"/>
              </w:rPr>
              <w:t>贮存库</w:t>
            </w:r>
            <w:r>
              <w:rPr>
                <w:rFonts w:hint="default" w:ascii="Times New Roman" w:hAnsi="Times New Roman" w:eastAsia="宋体" w:cs="Times New Roman"/>
                <w:color w:val="auto"/>
                <w:sz w:val="24"/>
                <w:szCs w:val="24"/>
                <w:highlight w:val="none"/>
              </w:rPr>
              <w:t>，妥善分类收集后定期委托有资质的单位进行处置满足</w:t>
            </w:r>
            <w:r>
              <w:rPr>
                <w:rFonts w:hint="default" w:ascii="Times New Roman" w:hAnsi="Times New Roman" w:eastAsia="宋体" w:cs="Times New Roman"/>
                <w:color w:val="auto"/>
                <w:sz w:val="24"/>
                <w:szCs w:val="24"/>
                <w:highlight w:val="none"/>
                <w:lang w:val="en-GB"/>
              </w:rPr>
              <w:t>《危险废物贮存污染控制标准》</w:t>
            </w:r>
            <w:r>
              <w:rPr>
                <w:rFonts w:hint="eastAsia"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GB 18597</w:t>
            </w:r>
            <w:r>
              <w:rPr>
                <w:rFonts w:hint="default" w:ascii="Times New Roman" w:hAnsi="Times New Roman" w:eastAsia="宋体" w:cs="Times New Roman"/>
                <w:color w:val="auto"/>
                <w:sz w:val="24"/>
                <w:szCs w:val="24"/>
                <w:highlight w:val="none"/>
                <w:lang w:val="en-US" w:eastAsia="zh-CN"/>
              </w:rPr>
              <w:t>-2023</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要求。危废转移应严格</w:t>
            </w:r>
            <w:r>
              <w:rPr>
                <w:rFonts w:hint="eastAsia" w:ascii="Times New Roman" w:hAnsi="Times New Roman" w:eastAsia="宋体" w:cs="Times New Roman"/>
                <w:color w:val="auto"/>
                <w:sz w:val="24"/>
                <w:szCs w:val="24"/>
                <w:highlight w:val="none"/>
                <w:lang w:eastAsia="zh-CN"/>
              </w:rPr>
              <w:t>按照</w:t>
            </w:r>
            <w:r>
              <w:rPr>
                <w:rFonts w:hint="default" w:ascii="Times New Roman" w:hAnsi="Times New Roman" w:eastAsia="宋体" w:cs="Times New Roman"/>
                <w:color w:val="auto"/>
                <w:sz w:val="24"/>
                <w:szCs w:val="24"/>
                <w:highlight w:val="none"/>
              </w:rPr>
              <w:t>《危险废物</w:t>
            </w:r>
            <w:r>
              <w:rPr>
                <w:rFonts w:hint="default" w:ascii="Times New Roman" w:hAnsi="Times New Roman" w:eastAsia="宋体" w:cs="Times New Roman"/>
                <w:color w:val="auto"/>
                <w:sz w:val="24"/>
                <w:szCs w:val="24"/>
                <w:highlight w:val="none"/>
                <w:lang w:val="en-US" w:eastAsia="zh-CN"/>
              </w:rPr>
              <w:t>转移</w:t>
            </w:r>
            <w:r>
              <w:rPr>
                <w:rFonts w:hint="default" w:ascii="Times New Roman" w:hAnsi="Times New Roman" w:eastAsia="宋体" w:cs="Times New Roman"/>
                <w:color w:val="auto"/>
                <w:sz w:val="24"/>
                <w:szCs w:val="24"/>
                <w:highlight w:val="none"/>
              </w:rPr>
              <w:t>管理办法》要求；</w:t>
            </w:r>
          </w:p>
          <w:p w14:paraId="248E3F73">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sz w:val="24"/>
                <w:szCs w:val="24"/>
                <w:highlight w:val="none"/>
              </w:rPr>
              <w:t>③生活垃圾：</w:t>
            </w:r>
            <w:r>
              <w:rPr>
                <w:rFonts w:hint="default" w:ascii="Times New Roman" w:hAnsi="Times New Roman" w:eastAsia="宋体" w:cs="Times New Roman"/>
                <w:color w:val="auto"/>
                <w:sz w:val="24"/>
                <w:szCs w:val="24"/>
                <w:highlight w:val="none"/>
                <w:lang w:val="en-US" w:eastAsia="zh-CN"/>
              </w:rPr>
              <w:t>设置</w:t>
            </w:r>
            <w:r>
              <w:rPr>
                <w:rFonts w:hint="default" w:ascii="Times New Roman" w:hAnsi="Times New Roman" w:eastAsia="宋体" w:cs="Times New Roman"/>
                <w:color w:val="auto"/>
                <w:sz w:val="24"/>
                <w:szCs w:val="24"/>
                <w:highlight w:val="none"/>
              </w:rPr>
              <w:t>垃圾桶收集，由市政环卫部门统一清运处理</w:t>
            </w:r>
          </w:p>
        </w:tc>
      </w:tr>
      <w:tr w14:paraId="771B2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dxa"/>
            <w:gridSpan w:val="2"/>
            <w:noWrap w:val="0"/>
            <w:vAlign w:val="center"/>
          </w:tcPr>
          <w:p w14:paraId="07FC1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土壤及地下水污染防治措施</w:t>
            </w:r>
          </w:p>
        </w:tc>
        <w:tc>
          <w:tcPr>
            <w:tcW w:w="8440" w:type="dxa"/>
            <w:gridSpan w:val="4"/>
            <w:noWrap w:val="0"/>
            <w:vAlign w:val="center"/>
          </w:tcPr>
          <w:p w14:paraId="3B5BD06B">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合理进行防渗区域划分，危险</w:t>
            </w:r>
            <w:r>
              <w:rPr>
                <w:rFonts w:hint="eastAsia" w:ascii="Times New Roman" w:hAnsi="Times New Roman" w:eastAsia="宋体" w:cs="Times New Roman"/>
                <w:bCs/>
                <w:color w:val="auto"/>
                <w:sz w:val="24"/>
                <w:highlight w:val="none"/>
                <w:lang w:val="en-US" w:eastAsia="zh-CN"/>
              </w:rPr>
              <w:t>贮存库</w:t>
            </w:r>
            <w:r>
              <w:rPr>
                <w:rFonts w:hint="default" w:ascii="Times New Roman" w:hAnsi="Times New Roman" w:eastAsia="宋体" w:cs="Times New Roman"/>
                <w:color w:val="auto"/>
                <w:kern w:val="2"/>
                <w:sz w:val="24"/>
                <w:szCs w:val="24"/>
                <w:highlight w:val="none"/>
                <w:lang w:val="en-GB" w:eastAsia="zh-CN" w:bidi="ar-SA"/>
              </w:rPr>
              <w:t>等四周设置导流沟，地面</w:t>
            </w:r>
            <w:r>
              <w:rPr>
                <w:rFonts w:hint="eastAsia" w:cs="Times New Roman"/>
                <w:color w:val="auto"/>
                <w:kern w:val="2"/>
                <w:sz w:val="24"/>
                <w:szCs w:val="24"/>
                <w:highlight w:val="none"/>
                <w:lang w:val="en-GB" w:eastAsia="zh-CN" w:bidi="ar-SA"/>
              </w:rPr>
              <w:t>采用分区</w:t>
            </w:r>
            <w:r>
              <w:rPr>
                <w:rFonts w:hint="default" w:ascii="Times New Roman" w:hAnsi="Times New Roman" w:eastAsia="宋体" w:cs="Times New Roman"/>
                <w:color w:val="auto"/>
                <w:kern w:val="2"/>
                <w:sz w:val="24"/>
                <w:szCs w:val="24"/>
                <w:highlight w:val="none"/>
                <w:lang w:val="en-GB" w:eastAsia="zh-CN" w:bidi="ar-SA"/>
              </w:rPr>
              <w:t>防渗，按重点污染区防渗要求进行建设；一般工业固废间、项目生产车间等按一般污染区防渗要求进行建设</w:t>
            </w:r>
            <w:r>
              <w:rPr>
                <w:rFonts w:hint="eastAsia" w:cs="Times New Roman"/>
                <w:color w:val="auto"/>
                <w:kern w:val="2"/>
                <w:sz w:val="24"/>
                <w:szCs w:val="24"/>
                <w:highlight w:val="none"/>
                <w:lang w:val="en-GB" w:eastAsia="zh-CN" w:bidi="ar-SA"/>
              </w:rPr>
              <w:t>且</w:t>
            </w:r>
            <w:r>
              <w:rPr>
                <w:rFonts w:hint="default" w:ascii="Times New Roman" w:hAnsi="Times New Roman" w:eastAsia="宋体" w:cs="Times New Roman"/>
                <w:color w:val="auto"/>
                <w:kern w:val="2"/>
                <w:sz w:val="24"/>
                <w:szCs w:val="24"/>
                <w:highlight w:val="none"/>
                <w:lang w:val="en-GB" w:eastAsia="zh-CN" w:bidi="ar-SA"/>
              </w:rPr>
              <w:t>具有防雨、防渗、防风、防日晒等功能</w:t>
            </w:r>
          </w:p>
        </w:tc>
      </w:tr>
      <w:tr w14:paraId="1325C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848" w:type="dxa"/>
            <w:gridSpan w:val="2"/>
            <w:noWrap w:val="0"/>
            <w:vAlign w:val="center"/>
          </w:tcPr>
          <w:p w14:paraId="6A3E39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生态保护措施</w:t>
            </w:r>
          </w:p>
        </w:tc>
        <w:tc>
          <w:tcPr>
            <w:tcW w:w="8440" w:type="dxa"/>
            <w:gridSpan w:val="4"/>
            <w:noWrap w:val="0"/>
            <w:vAlign w:val="center"/>
          </w:tcPr>
          <w:p w14:paraId="4D7C9AB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无</w:t>
            </w:r>
          </w:p>
        </w:tc>
      </w:tr>
      <w:tr w14:paraId="7CF1EA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5" w:hRule="atLeast"/>
          <w:jc w:val="center"/>
        </w:trPr>
        <w:tc>
          <w:tcPr>
            <w:tcW w:w="848" w:type="dxa"/>
            <w:gridSpan w:val="2"/>
            <w:noWrap w:val="0"/>
            <w:vAlign w:val="center"/>
          </w:tcPr>
          <w:p w14:paraId="63D862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环境风险防范措施</w:t>
            </w:r>
          </w:p>
        </w:tc>
        <w:tc>
          <w:tcPr>
            <w:tcW w:w="8440" w:type="dxa"/>
            <w:gridSpan w:val="4"/>
            <w:noWrap w:val="0"/>
            <w:vAlign w:val="center"/>
          </w:tcPr>
          <w:p w14:paraId="15578437">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bidi="ar-SA"/>
              </w:rPr>
              <w:t>危险</w:t>
            </w:r>
            <w:r>
              <w:rPr>
                <w:rFonts w:hint="eastAsia" w:ascii="Times New Roman" w:hAnsi="Times New Roman" w:eastAsia="宋体" w:cs="Times New Roman"/>
                <w:bCs/>
                <w:color w:val="auto"/>
                <w:sz w:val="24"/>
                <w:highlight w:val="none"/>
                <w:lang w:val="en-US" w:eastAsia="zh-CN"/>
              </w:rPr>
              <w:t>贮存库</w:t>
            </w:r>
            <w:r>
              <w:rPr>
                <w:rFonts w:hint="default" w:ascii="Times New Roman" w:hAnsi="Times New Roman" w:eastAsia="宋体" w:cs="Times New Roman"/>
                <w:color w:val="auto"/>
                <w:kern w:val="2"/>
                <w:sz w:val="24"/>
                <w:szCs w:val="24"/>
                <w:highlight w:val="none"/>
                <w:lang w:val="en-US" w:eastAsia="zh-CN" w:bidi="ar-SA"/>
              </w:rPr>
              <w:t>等四周设置导流沟，地面采取防渗、设置围堰等风险防范措施；加强消防设施和灭火器材的配备，严格落实有关消防技术规范的规定，加强人员疏散设施管理，保证疏散通道畅通。定期进行防火安全检查，确保消防设施完整等。</w:t>
            </w:r>
          </w:p>
        </w:tc>
      </w:tr>
      <w:tr w14:paraId="393CE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6" w:type="dxa"/>
            <w:noWrap w:val="0"/>
            <w:vAlign w:val="center"/>
          </w:tcPr>
          <w:p w14:paraId="4DFEDD6C">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outlineLvl w:val="9"/>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其他环境</w:t>
            </w:r>
          </w:p>
          <w:p w14:paraId="5A6253C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outlineLvl w:val="9"/>
              <w:rPr>
                <w:rFonts w:hint="default" w:ascii="Times New Roman" w:hAnsi="Times New Roman" w:eastAsia="宋体" w:cs="Times New Roman"/>
                <w:color w:val="auto"/>
                <w:kern w:val="2"/>
                <w:sz w:val="21"/>
                <w:szCs w:val="21"/>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管理要求</w:t>
            </w:r>
          </w:p>
        </w:tc>
        <w:tc>
          <w:tcPr>
            <w:tcW w:w="8752" w:type="dxa"/>
            <w:gridSpan w:val="5"/>
            <w:noWrap w:val="0"/>
            <w:vAlign w:val="center"/>
          </w:tcPr>
          <w:p w14:paraId="1D36E80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9"/>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（1）排污口规范管理</w:t>
            </w:r>
          </w:p>
          <w:p w14:paraId="68ACA2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lang w:val="en-US" w:eastAsia="zh-CN"/>
              </w:rPr>
            </w:pPr>
            <w:r>
              <w:rPr>
                <w:rFonts w:hint="default" w:ascii="Times New Roman" w:hAnsi="Times New Roman" w:eastAsia="宋体" w:cs="Times New Roman"/>
                <w:b w:val="0"/>
                <w:bCs w:val="0"/>
                <w:color w:val="auto"/>
                <w:kern w:val="2"/>
                <w:sz w:val="24"/>
                <w:szCs w:val="24"/>
                <w:highlight w:val="none"/>
                <w:lang w:val="en-US" w:eastAsia="zh-CN" w:bidi="ar-SA"/>
              </w:rPr>
              <w:t>各污染源排放口应设置专项图标，执行《环境保护图形标志—排放口</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源</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GB15563.1-1995</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，要求各排放口</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源</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提示标志形状采用正方形边框，背景颜色采用绿色，图形颜色采用白色。标志牌应设在与之功能相应的醒目处，并保持清晰、完整，具体详见表5.1-1。</w:t>
            </w:r>
          </w:p>
          <w:p w14:paraId="32DD2D35">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outlineLvl w:val="9"/>
              <w:rPr>
                <w:rFonts w:hint="default" w:ascii="Times New Roman" w:hAnsi="Times New Roman" w:eastAsia="宋体" w:cs="Times New Roman"/>
                <w:b/>
                <w:bCs/>
                <w:color w:val="auto"/>
                <w:sz w:val="24"/>
                <w:szCs w:val="24"/>
                <w:highlight w:val="none"/>
                <w:lang w:bidi="ar"/>
              </w:rPr>
            </w:pPr>
            <w:r>
              <w:rPr>
                <w:rFonts w:hint="default" w:ascii="Times New Roman" w:hAnsi="Times New Roman" w:eastAsia="宋体" w:cs="Times New Roman"/>
                <w:b/>
                <w:bCs/>
                <w:color w:val="auto"/>
                <w:sz w:val="24"/>
                <w:szCs w:val="24"/>
                <w:highlight w:val="none"/>
                <w:lang w:bidi="ar"/>
              </w:rPr>
              <w:t>表5.1-1  排污口图形符号</w:t>
            </w:r>
            <w:r>
              <w:rPr>
                <w:rFonts w:hint="eastAsia" w:ascii="Times New Roman" w:hAnsi="Times New Roman" w:eastAsia="宋体" w:cs="Times New Roman"/>
                <w:b/>
                <w:bCs/>
                <w:color w:val="auto"/>
                <w:sz w:val="24"/>
                <w:szCs w:val="24"/>
                <w:highlight w:val="none"/>
                <w:lang w:eastAsia="zh-CN" w:bidi="ar"/>
              </w:rPr>
              <w:t>（</w:t>
            </w:r>
            <w:r>
              <w:rPr>
                <w:rFonts w:hint="default" w:ascii="Times New Roman" w:hAnsi="Times New Roman" w:eastAsia="宋体" w:cs="Times New Roman"/>
                <w:b/>
                <w:bCs/>
                <w:color w:val="auto"/>
                <w:sz w:val="24"/>
                <w:szCs w:val="24"/>
                <w:highlight w:val="none"/>
                <w:lang w:bidi="ar"/>
              </w:rPr>
              <w:t>提示标志</w:t>
            </w:r>
            <w:r>
              <w:rPr>
                <w:rFonts w:hint="eastAsia" w:ascii="Times New Roman" w:hAnsi="Times New Roman" w:eastAsia="宋体" w:cs="Times New Roman"/>
                <w:b/>
                <w:bCs/>
                <w:color w:val="auto"/>
                <w:sz w:val="24"/>
                <w:szCs w:val="24"/>
                <w:highlight w:val="none"/>
                <w:lang w:eastAsia="zh-CN" w:bidi="ar"/>
              </w:rPr>
              <w:t>）</w:t>
            </w:r>
            <w:r>
              <w:rPr>
                <w:rFonts w:hint="default" w:ascii="Times New Roman" w:hAnsi="Times New Roman" w:eastAsia="宋体" w:cs="Times New Roman"/>
                <w:b/>
                <w:bCs/>
                <w:color w:val="auto"/>
                <w:sz w:val="24"/>
                <w:szCs w:val="24"/>
                <w:highlight w:val="none"/>
                <w:lang w:bidi="ar"/>
              </w:rPr>
              <w:t>一览表</w:t>
            </w:r>
          </w:p>
          <w:tbl>
            <w:tblPr>
              <w:tblStyle w:val="23"/>
              <w:tblW w:w="4998"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43"/>
              <w:gridCol w:w="1398"/>
              <w:gridCol w:w="1399"/>
              <w:gridCol w:w="1399"/>
              <w:gridCol w:w="1448"/>
              <w:gridCol w:w="1346"/>
            </w:tblGrid>
            <w:tr w14:paraId="383C180E">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12" w:space="0"/>
                    <w:left w:val="nil"/>
                    <w:bottom w:val="single" w:color="auto" w:sz="6" w:space="0"/>
                    <w:right w:val="single" w:color="auto" w:sz="6" w:space="0"/>
                    <w:tl2br w:val="single" w:color="auto" w:sz="4" w:space="0"/>
                  </w:tcBorders>
                  <w:noWrap w:val="0"/>
                  <w:vAlign w:val="center"/>
                </w:tcPr>
                <w:p w14:paraId="3EA7D2F5">
                  <w:pPr>
                    <w:pStyle w:val="64"/>
                    <w:keepNext w:val="0"/>
                    <w:pageBreakBefore w:val="0"/>
                    <w:kinsoku/>
                    <w:wordWrap/>
                    <w:overflowPunct/>
                    <w:topLinePunct w:val="0"/>
                    <w:autoSpaceDE/>
                    <w:autoSpaceDN/>
                    <w:bidi w:val="0"/>
                    <w:spacing w:line="326" w:lineRule="atLeast"/>
                    <w:jc w:val="right"/>
                    <w:textAlignment w:val="auto"/>
                    <w:outlineLvl w:val="9"/>
                    <w:rPr>
                      <w:color w:val="auto"/>
                      <w:sz w:val="21"/>
                      <w:highlight w:val="none"/>
                      <w:lang w:val="en-GB"/>
                    </w:rPr>
                  </w:pPr>
                  <w:bookmarkStart w:id="138" w:name="_Toc24814499"/>
                  <w:r>
                    <w:rPr>
                      <w:color w:val="auto"/>
                      <w:sz w:val="21"/>
                      <w:highlight w:val="none"/>
                      <w:lang w:val="en-GB"/>
                    </w:rPr>
                    <w:t xml:space="preserve">  排放部位</w:t>
                  </w:r>
                </w:p>
                <w:p w14:paraId="3929C778">
                  <w:pPr>
                    <w:pStyle w:val="64"/>
                    <w:keepNext w:val="0"/>
                    <w:pageBreakBefore w:val="0"/>
                    <w:kinsoku/>
                    <w:wordWrap/>
                    <w:overflowPunct/>
                    <w:topLinePunct w:val="0"/>
                    <w:autoSpaceDE/>
                    <w:autoSpaceDN/>
                    <w:bidi w:val="0"/>
                    <w:spacing w:line="326" w:lineRule="atLeast"/>
                    <w:jc w:val="both"/>
                    <w:textAlignment w:val="auto"/>
                    <w:outlineLvl w:val="9"/>
                    <w:rPr>
                      <w:color w:val="auto"/>
                      <w:sz w:val="21"/>
                      <w:highlight w:val="none"/>
                      <w:lang w:val="en-GB"/>
                    </w:rPr>
                  </w:pPr>
                  <w:r>
                    <w:rPr>
                      <w:color w:val="auto"/>
                      <w:sz w:val="21"/>
                      <w:highlight w:val="none"/>
                      <w:lang w:val="en-GB"/>
                    </w:rPr>
                    <w:t>项目</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185A9D88">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污水排放口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4235F501">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废气排放口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012D7036">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噪声排放源</w:t>
                  </w:r>
                </w:p>
              </w:tc>
              <w:tc>
                <w:tcPr>
                  <w:tcW w:w="848" w:type="pct"/>
                  <w:tcBorders>
                    <w:top w:val="single" w:color="auto" w:sz="12" w:space="0"/>
                    <w:left w:val="single" w:color="auto" w:sz="6" w:space="0"/>
                    <w:bottom w:val="single" w:color="auto" w:sz="6" w:space="0"/>
                    <w:right w:val="single" w:color="auto" w:sz="6" w:space="0"/>
                  </w:tcBorders>
                  <w:noWrap w:val="0"/>
                  <w:vAlign w:val="center"/>
                </w:tcPr>
                <w:p w14:paraId="155D52ED">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一般工业固废</w:t>
                  </w:r>
                </w:p>
              </w:tc>
              <w:tc>
                <w:tcPr>
                  <w:tcW w:w="788" w:type="pct"/>
                  <w:tcBorders>
                    <w:top w:val="single" w:color="auto" w:sz="12" w:space="0"/>
                    <w:left w:val="single" w:color="auto" w:sz="6" w:space="0"/>
                    <w:bottom w:val="single" w:color="auto" w:sz="6" w:space="0"/>
                    <w:right w:val="nil"/>
                  </w:tcBorders>
                  <w:noWrap w:val="0"/>
                  <w:vAlign w:val="center"/>
                </w:tcPr>
                <w:p w14:paraId="4FE1F507">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危险废物</w:t>
                  </w:r>
                </w:p>
              </w:tc>
            </w:tr>
            <w:tr w14:paraId="3AE48C9E">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5C3F6C5D">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图形符号</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2552C560">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r>
                    <w:rPr>
                      <w:color w:val="auto"/>
                      <w:highlight w:val="none"/>
                    </w:rPr>
                    <mc:AlternateContent>
                      <mc:Choice Requires="wpg">
                        <w:drawing>
                          <wp:anchor distT="0" distB="0" distL="114300" distR="114300" simplePos="0" relativeHeight="251660288" behindDoc="0" locked="0" layoutInCell="1" allowOverlap="1">
                            <wp:simplePos x="0" y="0"/>
                            <wp:positionH relativeFrom="column">
                              <wp:posOffset>-17780</wp:posOffset>
                            </wp:positionH>
                            <wp:positionV relativeFrom="paragraph">
                              <wp:posOffset>85725</wp:posOffset>
                            </wp:positionV>
                            <wp:extent cx="3418205" cy="660400"/>
                            <wp:effectExtent l="0" t="0" r="10795" b="6350"/>
                            <wp:wrapNone/>
                            <wp:docPr id="43" name="组合 43"/>
                            <wp:cNvGraphicFramePr/>
                            <a:graphic xmlns:a="http://schemas.openxmlformats.org/drawingml/2006/main">
                              <a:graphicData uri="http://schemas.microsoft.com/office/word/2010/wordprocessingGroup">
                                <wpg:wgp>
                                  <wpg:cNvGrpSpPr/>
                                  <wpg:grpSpPr>
                                    <a:xfrm>
                                      <a:off x="0" y="0"/>
                                      <a:ext cx="3418205" cy="660400"/>
                                      <a:chOff x="4407" y="1049350"/>
                                      <a:chExt cx="4805" cy="1057"/>
                                    </a:xfrm>
                                    <a:effectLst/>
                                  </wpg:grpSpPr>
                                  <pic:pic xmlns:pic="http://schemas.openxmlformats.org/drawingml/2006/picture">
                                    <pic:nvPicPr>
                                      <pic:cNvPr id="44" name="图片 754" descr="1"/>
                                      <pic:cNvPicPr>
                                        <a:picLocks noChangeAspect="1"/>
                                      </pic:cNvPicPr>
                                    </pic:nvPicPr>
                                    <pic:blipFill>
                                      <a:blip r:embed="rId49"/>
                                      <a:stretch>
                                        <a:fillRect/>
                                      </a:stretch>
                                    </pic:blipFill>
                                    <pic:spPr>
                                      <a:xfrm>
                                        <a:off x="4407" y="1049350"/>
                                        <a:ext cx="1031" cy="1031"/>
                                      </a:xfrm>
                                      <a:prstGeom prst="rect">
                                        <a:avLst/>
                                      </a:prstGeom>
                                      <a:noFill/>
                                      <a:ln>
                                        <a:noFill/>
                                      </a:ln>
                                      <a:effectLst/>
                                    </pic:spPr>
                                  </pic:pic>
                                  <pic:pic xmlns:pic="http://schemas.openxmlformats.org/drawingml/2006/picture">
                                    <pic:nvPicPr>
                                      <pic:cNvPr id="45" name="图片 755" descr="点击看大图及详细资料"/>
                                      <pic:cNvPicPr>
                                        <a:picLocks noChangeAspect="1"/>
                                      </pic:cNvPicPr>
                                    </pic:nvPicPr>
                                    <pic:blipFill>
                                      <a:blip r:embed="rId50"/>
                                      <a:stretch>
                                        <a:fillRect/>
                                      </a:stretch>
                                    </pic:blipFill>
                                    <pic:spPr>
                                      <a:xfrm>
                                        <a:off x="5651" y="1049375"/>
                                        <a:ext cx="1031" cy="1031"/>
                                      </a:xfrm>
                                      <a:prstGeom prst="rect">
                                        <a:avLst/>
                                      </a:prstGeom>
                                      <a:noFill/>
                                      <a:ln>
                                        <a:noFill/>
                                      </a:ln>
                                      <a:effectLst/>
                                    </pic:spPr>
                                  </pic:pic>
                                  <pic:pic xmlns:pic="http://schemas.openxmlformats.org/drawingml/2006/picture">
                                    <pic:nvPicPr>
                                      <pic:cNvPr id="46" name="图片 756" descr="点击看大图及详细资料"/>
                                      <pic:cNvPicPr>
                                        <a:picLocks noChangeAspect="1"/>
                                      </pic:cNvPicPr>
                                    </pic:nvPicPr>
                                    <pic:blipFill>
                                      <a:blip r:embed="rId51"/>
                                      <a:stretch>
                                        <a:fillRect/>
                                      </a:stretch>
                                    </pic:blipFill>
                                    <pic:spPr>
                                      <a:xfrm>
                                        <a:off x="6899" y="1049361"/>
                                        <a:ext cx="1034" cy="1031"/>
                                      </a:xfrm>
                                      <a:prstGeom prst="rect">
                                        <a:avLst/>
                                      </a:prstGeom>
                                      <a:noFill/>
                                      <a:ln>
                                        <a:noFill/>
                                      </a:ln>
                                      <a:effectLst/>
                                    </pic:spPr>
                                  </pic:pic>
                                  <pic:pic xmlns:pic="http://schemas.openxmlformats.org/drawingml/2006/picture">
                                    <pic:nvPicPr>
                                      <pic:cNvPr id="47" name="图片 757" descr="一般固废"/>
                                      <pic:cNvPicPr preferRelativeResize="0"/>
                                    </pic:nvPicPr>
                                    <pic:blipFill>
                                      <a:blip r:embed="rId52"/>
                                      <a:stretch>
                                        <a:fillRect/>
                                      </a:stretch>
                                    </pic:blipFill>
                                    <pic:spPr>
                                      <a:xfrm>
                                        <a:off x="8179" y="1049376"/>
                                        <a:ext cx="1033" cy="1031"/>
                                      </a:xfrm>
                                      <a:prstGeom prst="rect">
                                        <a:avLst/>
                                      </a:prstGeom>
                                      <a:noFill/>
                                      <a:ln>
                                        <a:noFill/>
                                      </a:ln>
                                      <a:effectLst/>
                                    </pic:spPr>
                                  </pic:pic>
                                </wpg:wgp>
                              </a:graphicData>
                            </a:graphic>
                          </wp:anchor>
                        </w:drawing>
                      </mc:Choice>
                      <mc:Fallback>
                        <w:pict>
                          <v:group id="_x0000_s1026" o:spid="_x0000_s1026" o:spt="203" style="position:absolute;left:0pt;margin-left:-1.4pt;margin-top:6.75pt;height:52pt;width:269.15pt;z-index:251660288;mso-width-relative:page;mso-height-relative:page;" coordorigin="4407,1049350" coordsize="4805,1057" o:gfxdata="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">
                            <o:lock v:ext="edit" aspectratio="f"/>
                            <v:shape id="图片 754" o:spid="_x0000_s1026" o:spt="75" alt="1" type="#_x0000_t75" style="position:absolute;left:4407;top:1049350;height:1031;width:1031;" filled="f" o:preferrelative="t" stroked="f" coordsize="21600,21600" o:gfxdata="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qC5jvQAA&#10;ANsAAAAPAAAAAAAAAAEAIAAAACIAAABkcnMvZG93bnJldi54bWxQSwECFAAUAAAACACHTuJAMy8F&#10;njsAAAA5AAAAEAAAAAAAAAABACAAAAAMAQAAZHJzL3NoYXBleG1sLnhtbFBLBQYAAAAABgAGAFsB&#10;AAC2AwAAAAA=&#10;">
                              <v:fill on="f" focussize="0,0"/>
                              <v:stroke on="f"/>
                              <v:imagedata r:id="rId49" o:title=""/>
                              <o:lock v:ext="edit" aspectratio="t"/>
                            </v:shape>
                            <v:shape id="图片 755" o:spid="_x0000_s1026" o:spt="75" alt="点击看大图及详细资料" type="#_x0000_t75" style="position:absolute;left:5651;top:1049375;height:1031;width:1031;" filled="f" o:preferrelative="t" stroked="f" coordsize="21600,21600" o:gfxdata="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zc9v&#10;wAAAANsAAAAPAAAAAAAAAAEAIAAAACIAAABkcnMvZG93bnJldi54bWxQSwECFAAUAAAACACHTuJA&#10;My8FnjsAAAA5AAAAEAAAAAAAAAABACAAAAAPAQAAZHJzL3NoYXBleG1sLnhtbFBLBQYAAAAABgAG&#10;AFsBAAC5AwAAAAA=&#10;">
                              <v:fill on="f" focussize="0,0"/>
                              <v:stroke on="f"/>
                              <v:imagedata r:id="rId50" o:title=""/>
                              <o:lock v:ext="edit" aspectratio="t"/>
                            </v:shape>
                            <v:shape id="图片 756" o:spid="_x0000_s1026" o:spt="75" alt="点击看大图及详细资料" type="#_x0000_t75" style="position:absolute;left:6899;top:1049361;height:1031;width:1034;" filled="f" o:preferrelative="t" stroked="f" coordsize="21600,21600" o:gfxdata="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CROMvQAA&#10;ANsAAAAPAAAAAAAAAAEAIAAAACIAAABkcnMvZG93bnJldi54bWxQSwECFAAUAAAACACHTuJAMy8F&#10;njsAAAA5AAAAEAAAAAAAAAABACAAAAAMAQAAZHJzL3NoYXBleG1sLnhtbFBLBQYAAAAABgAGAFsB&#10;AAC2AwAAAAA=&#10;">
                              <v:fill on="f" focussize="0,0"/>
                              <v:stroke on="f"/>
                              <v:imagedata r:id="rId51" o:title=""/>
                              <o:lock v:ext="edit" aspectratio="t"/>
                            </v:shape>
                            <v:shape id="图片 757" o:spid="_x0000_s1026" o:spt="75" alt="一般固废" type="#_x0000_t75" style="position:absolute;left:8179;top:1049376;height:1031;width:1033;" filled="f" o:preferrelative="f" stroked="f" coordsize="21600,21600" o:gfxdata="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nXM8L4A&#10;AADbAAAADwAAAAAAAAABACAAAAAiAAAAZHJzL2Rvd25yZXYueG1sUEsBAhQAFAAAAAgAh07iQDMv&#10;BZ47AAAAOQAAABAAAAAAAAAAAQAgAAAADQEAAGRycy9zaGFwZXhtbC54bWxQSwUGAAAAAAYABgBb&#10;AQAAtwMAAAAA&#10;">
                              <v:fill on="f" focussize="0,0"/>
                              <v:stroke on="f"/>
                              <v:imagedata r:id="rId52" o:title=""/>
                              <o:lock v:ext="edit" aspectratio="f"/>
                            </v:shape>
                          </v:group>
                        </w:pict>
                      </mc:Fallback>
                    </mc:AlternateContent>
                  </w:r>
                </w:p>
                <w:p w14:paraId="693B6EC5">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51D02ABF">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6609DB7A">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tc>
              <w:tc>
                <w:tcPr>
                  <w:tcW w:w="819" w:type="pct"/>
                  <w:tcBorders>
                    <w:top w:val="single" w:color="auto" w:sz="6" w:space="0"/>
                    <w:left w:val="single" w:color="auto" w:sz="6" w:space="0"/>
                    <w:bottom w:val="single" w:color="auto" w:sz="6" w:space="0"/>
                    <w:right w:val="single" w:color="auto" w:sz="6" w:space="0"/>
                  </w:tcBorders>
                  <w:noWrap w:val="0"/>
                  <w:vAlign w:val="center"/>
                </w:tcPr>
                <w:p w14:paraId="4A8A676B">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70A64311">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21F4AD65">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tc>
              <w:tc>
                <w:tcPr>
                  <w:tcW w:w="819" w:type="pct"/>
                  <w:tcBorders>
                    <w:top w:val="single" w:color="auto" w:sz="6" w:space="0"/>
                    <w:left w:val="single" w:color="auto" w:sz="6" w:space="0"/>
                    <w:bottom w:val="single" w:color="auto" w:sz="6" w:space="0"/>
                    <w:right w:val="single" w:color="auto" w:sz="6" w:space="0"/>
                  </w:tcBorders>
                  <w:noWrap w:val="0"/>
                  <w:vAlign w:val="center"/>
                </w:tcPr>
                <w:p w14:paraId="0145C9F1">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0F04F845">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p w14:paraId="7F7353A2">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tc>
              <w:tc>
                <w:tcPr>
                  <w:tcW w:w="848" w:type="pct"/>
                  <w:tcBorders>
                    <w:top w:val="single" w:color="auto" w:sz="6" w:space="0"/>
                    <w:left w:val="single" w:color="auto" w:sz="6" w:space="0"/>
                    <w:bottom w:val="single" w:color="auto" w:sz="6" w:space="0"/>
                    <w:right w:val="single" w:color="auto" w:sz="6" w:space="0"/>
                  </w:tcBorders>
                  <w:noWrap w:val="0"/>
                  <w:vAlign w:val="center"/>
                </w:tcPr>
                <w:p w14:paraId="3914968E">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p>
              </w:tc>
              <w:tc>
                <w:tcPr>
                  <w:tcW w:w="788" w:type="pct"/>
                  <w:tcBorders>
                    <w:top w:val="single" w:color="auto" w:sz="6" w:space="0"/>
                    <w:left w:val="single" w:color="auto" w:sz="6" w:space="0"/>
                    <w:bottom w:val="single" w:color="auto" w:sz="6" w:space="0"/>
                    <w:right w:val="nil"/>
                  </w:tcBorders>
                  <w:noWrap w:val="0"/>
                  <w:vAlign w:val="center"/>
                </w:tcPr>
                <w:p w14:paraId="20351B7B">
                  <w:pPr>
                    <w:keepNext w:val="0"/>
                    <w:pageBreakBefore w:val="0"/>
                    <w:kinsoku/>
                    <w:wordWrap/>
                    <w:overflowPunct/>
                    <w:topLinePunct w:val="0"/>
                    <w:autoSpaceDE/>
                    <w:autoSpaceDN/>
                    <w:bidi w:val="0"/>
                    <w:spacing w:line="326" w:lineRule="atLeast"/>
                    <w:textAlignment w:val="auto"/>
                    <w:outlineLvl w:val="9"/>
                    <w:rPr>
                      <w:color w:val="auto"/>
                      <w:highlight w:val="none"/>
                      <w:lang w:val="en-GB"/>
                    </w:rPr>
                  </w:pPr>
                  <w:r>
                    <w:rPr>
                      <w:rFonts w:hint="eastAsia" w:eastAsia="宋体"/>
                      <w:color w:val="auto"/>
                      <w:highlight w:val="none"/>
                      <w:lang w:eastAsia="zh-CN"/>
                    </w:rPr>
                    <w:drawing>
                      <wp:inline distT="0" distB="0" distL="114300" distR="114300">
                        <wp:extent cx="660400" cy="600710"/>
                        <wp:effectExtent l="0" t="0" r="6350" b="8890"/>
                        <wp:docPr id="48" name="图片 27" descr="093c2d640a89c2c2fc565a102dcd8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descr="093c2d640a89c2c2fc565a102dcd89f"/>
                                <pic:cNvPicPr>
                                  <a:picLocks noChangeAspect="1"/>
                                </pic:cNvPicPr>
                              </pic:nvPicPr>
                              <pic:blipFill>
                                <a:blip r:embed="rId53"/>
                                <a:stretch>
                                  <a:fillRect/>
                                </a:stretch>
                              </pic:blipFill>
                              <pic:spPr>
                                <a:xfrm>
                                  <a:off x="0" y="0"/>
                                  <a:ext cx="660400" cy="600710"/>
                                </a:xfrm>
                                <a:prstGeom prst="rect">
                                  <a:avLst/>
                                </a:prstGeom>
                                <a:noFill/>
                                <a:ln>
                                  <a:noFill/>
                                </a:ln>
                              </pic:spPr>
                            </pic:pic>
                          </a:graphicData>
                        </a:graphic>
                      </wp:inline>
                    </w:drawing>
                  </w:r>
                </w:p>
              </w:tc>
            </w:tr>
            <w:tr w14:paraId="0E5C1E74">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3B7070A1">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形状</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2CEE6D0C">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正方形边框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5A07FF2C">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正方形边框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1B105740">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正方形边框</w:t>
                  </w:r>
                </w:p>
              </w:tc>
              <w:tc>
                <w:tcPr>
                  <w:tcW w:w="848" w:type="pct"/>
                  <w:tcBorders>
                    <w:top w:val="single" w:color="auto" w:sz="6" w:space="0"/>
                    <w:left w:val="single" w:color="auto" w:sz="6" w:space="0"/>
                    <w:bottom w:val="single" w:color="auto" w:sz="6" w:space="0"/>
                    <w:right w:val="single" w:color="auto" w:sz="6" w:space="0"/>
                  </w:tcBorders>
                  <w:noWrap w:val="0"/>
                  <w:vAlign w:val="center"/>
                </w:tcPr>
                <w:p w14:paraId="649DA8E0">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三角形边框</w:t>
                  </w:r>
                </w:p>
              </w:tc>
              <w:tc>
                <w:tcPr>
                  <w:tcW w:w="788" w:type="pct"/>
                  <w:tcBorders>
                    <w:top w:val="single" w:color="auto" w:sz="6" w:space="0"/>
                    <w:left w:val="single" w:color="auto" w:sz="6" w:space="0"/>
                    <w:bottom w:val="single" w:color="auto" w:sz="6" w:space="0"/>
                    <w:right w:val="nil"/>
                  </w:tcBorders>
                  <w:noWrap w:val="0"/>
                  <w:vAlign w:val="center"/>
                </w:tcPr>
                <w:p w14:paraId="0BF04B7D">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三角形边框</w:t>
                  </w:r>
                </w:p>
              </w:tc>
            </w:tr>
            <w:tr w14:paraId="76FD8845">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48C84D28">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背景颜色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270BF0EB">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7BD0E90C">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44781CE">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绿色</w:t>
                  </w:r>
                </w:p>
              </w:tc>
              <w:tc>
                <w:tcPr>
                  <w:tcW w:w="848" w:type="pct"/>
                  <w:tcBorders>
                    <w:top w:val="single" w:color="auto" w:sz="6" w:space="0"/>
                    <w:left w:val="single" w:color="auto" w:sz="6" w:space="0"/>
                    <w:bottom w:val="single" w:color="auto" w:sz="6" w:space="0"/>
                    <w:right w:val="single" w:color="auto" w:sz="6" w:space="0"/>
                  </w:tcBorders>
                  <w:noWrap w:val="0"/>
                  <w:vAlign w:val="center"/>
                </w:tcPr>
                <w:p w14:paraId="63EBC215">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黄色</w:t>
                  </w:r>
                </w:p>
              </w:tc>
              <w:tc>
                <w:tcPr>
                  <w:tcW w:w="788" w:type="pct"/>
                  <w:tcBorders>
                    <w:top w:val="single" w:color="auto" w:sz="6" w:space="0"/>
                    <w:left w:val="single" w:color="auto" w:sz="6" w:space="0"/>
                    <w:bottom w:val="single" w:color="auto" w:sz="6" w:space="0"/>
                    <w:right w:val="nil"/>
                  </w:tcBorders>
                  <w:noWrap w:val="0"/>
                  <w:vAlign w:val="center"/>
                </w:tcPr>
                <w:p w14:paraId="3562882A">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黄色</w:t>
                  </w:r>
                </w:p>
              </w:tc>
            </w:tr>
            <w:tr w14:paraId="44C3C5E6">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12" w:space="0"/>
                    <w:right w:val="single" w:color="auto" w:sz="6" w:space="0"/>
                  </w:tcBorders>
                  <w:noWrap w:val="0"/>
                  <w:vAlign w:val="center"/>
                </w:tcPr>
                <w:p w14:paraId="66BD09D5">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图形颜色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066C77A5">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白色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57D1DB09">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白色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51DB5FB9">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白色</w:t>
                  </w:r>
                </w:p>
              </w:tc>
              <w:tc>
                <w:tcPr>
                  <w:tcW w:w="848" w:type="pct"/>
                  <w:tcBorders>
                    <w:top w:val="single" w:color="auto" w:sz="6" w:space="0"/>
                    <w:left w:val="single" w:color="auto" w:sz="6" w:space="0"/>
                    <w:bottom w:val="single" w:color="auto" w:sz="12" w:space="0"/>
                    <w:right w:val="single" w:color="auto" w:sz="6" w:space="0"/>
                  </w:tcBorders>
                  <w:noWrap w:val="0"/>
                  <w:vAlign w:val="center"/>
                </w:tcPr>
                <w:p w14:paraId="0A7329CC">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黑色</w:t>
                  </w:r>
                </w:p>
              </w:tc>
              <w:tc>
                <w:tcPr>
                  <w:tcW w:w="788" w:type="pct"/>
                  <w:tcBorders>
                    <w:top w:val="single" w:color="auto" w:sz="6" w:space="0"/>
                    <w:left w:val="single" w:color="auto" w:sz="6" w:space="0"/>
                    <w:bottom w:val="single" w:color="auto" w:sz="12" w:space="0"/>
                    <w:right w:val="nil"/>
                  </w:tcBorders>
                  <w:noWrap w:val="0"/>
                  <w:vAlign w:val="center"/>
                </w:tcPr>
                <w:p w14:paraId="00A81685">
                  <w:pPr>
                    <w:pStyle w:val="64"/>
                    <w:keepNext w:val="0"/>
                    <w:pageBreakBefore w:val="0"/>
                    <w:kinsoku/>
                    <w:wordWrap/>
                    <w:overflowPunct/>
                    <w:topLinePunct w:val="0"/>
                    <w:autoSpaceDE/>
                    <w:autoSpaceDN/>
                    <w:bidi w:val="0"/>
                    <w:spacing w:line="326" w:lineRule="atLeast"/>
                    <w:textAlignment w:val="auto"/>
                    <w:outlineLvl w:val="9"/>
                    <w:rPr>
                      <w:color w:val="auto"/>
                      <w:sz w:val="21"/>
                      <w:highlight w:val="none"/>
                      <w:lang w:val="en-GB"/>
                    </w:rPr>
                  </w:pPr>
                  <w:r>
                    <w:rPr>
                      <w:color w:val="auto"/>
                      <w:sz w:val="21"/>
                      <w:highlight w:val="none"/>
                      <w:lang w:val="en-GB"/>
                    </w:rPr>
                    <w:t>黑色</w:t>
                  </w:r>
                </w:p>
              </w:tc>
            </w:tr>
          </w:tbl>
          <w:p w14:paraId="46DCDDC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9"/>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（2）排污申报</w:t>
            </w:r>
          </w:p>
          <w:p w14:paraId="66E260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根据《固定污染源排污许可分类管理名录</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2019年版</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生态环境部第11号</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可知，本项目实行</w:t>
            </w:r>
            <w:r>
              <w:rPr>
                <w:rFonts w:hint="default" w:ascii="Times New Roman" w:hAnsi="Times New Roman" w:eastAsia="宋体" w:cs="Times New Roman"/>
                <w:b/>
                <w:bCs/>
                <w:color w:val="auto"/>
                <w:kern w:val="2"/>
                <w:sz w:val="24"/>
                <w:szCs w:val="24"/>
                <w:highlight w:val="none"/>
                <w:lang w:val="en-US" w:eastAsia="zh-CN" w:bidi="ar-SA"/>
              </w:rPr>
              <w:t>排污许可</w:t>
            </w:r>
            <w:r>
              <w:rPr>
                <w:rFonts w:hint="eastAsia" w:eastAsia="宋体" w:cs="Times New Roman"/>
                <w:b/>
                <w:bCs/>
                <w:color w:val="auto"/>
                <w:kern w:val="2"/>
                <w:sz w:val="24"/>
                <w:szCs w:val="24"/>
                <w:highlight w:val="none"/>
                <w:lang w:val="en-US" w:eastAsia="zh-CN" w:bidi="ar-SA"/>
              </w:rPr>
              <w:t>登记</w:t>
            </w:r>
            <w:r>
              <w:rPr>
                <w:rFonts w:hint="default" w:ascii="Times New Roman" w:hAnsi="Times New Roman" w:eastAsia="宋体" w:cs="Times New Roman"/>
                <w:b/>
                <w:bCs/>
                <w:color w:val="auto"/>
                <w:kern w:val="2"/>
                <w:sz w:val="24"/>
                <w:szCs w:val="24"/>
                <w:highlight w:val="none"/>
                <w:lang w:val="en-US" w:eastAsia="zh-CN" w:bidi="ar-SA"/>
              </w:rPr>
              <w:t>管理</w:t>
            </w:r>
            <w:r>
              <w:rPr>
                <w:rFonts w:hint="eastAsia" w:ascii="Times New Roman" w:hAnsi="Times New Roman" w:eastAsia="宋体" w:cs="Times New Roman"/>
                <w:color w:val="auto"/>
                <w:kern w:val="2"/>
                <w:sz w:val="24"/>
                <w:szCs w:val="24"/>
                <w:highlight w:val="none"/>
                <w:lang w:val="en-US" w:eastAsia="zh-CN" w:bidi="ar-SA"/>
              </w:rPr>
              <w:t>（详见表5.1-2）</w:t>
            </w:r>
            <w:r>
              <w:rPr>
                <w:rFonts w:hint="default" w:ascii="Times New Roman" w:hAnsi="Times New Roman" w:eastAsia="宋体" w:cs="Times New Roman"/>
                <w:color w:val="auto"/>
                <w:kern w:val="2"/>
                <w:sz w:val="24"/>
                <w:szCs w:val="24"/>
                <w:highlight w:val="none"/>
                <w:lang w:val="en-US" w:eastAsia="zh-CN" w:bidi="ar-SA"/>
              </w:rPr>
              <w:t>；因此，建设单位应当在启动生产设施或者发生实际排污之前在全国排污许可证管理信息平台进行</w:t>
            </w:r>
            <w:r>
              <w:rPr>
                <w:rFonts w:hint="default" w:ascii="Times New Roman" w:hAnsi="Times New Roman" w:eastAsia="宋体" w:cs="Times New Roman"/>
                <w:b/>
                <w:bCs/>
                <w:color w:val="auto"/>
                <w:kern w:val="2"/>
                <w:sz w:val="24"/>
                <w:szCs w:val="24"/>
                <w:highlight w:val="none"/>
                <w:lang w:val="en-US" w:eastAsia="zh-CN" w:bidi="ar-SA"/>
              </w:rPr>
              <w:t>排污</w:t>
            </w:r>
            <w:r>
              <w:rPr>
                <w:rFonts w:hint="eastAsia" w:eastAsia="宋体" w:cs="Times New Roman"/>
                <w:b/>
                <w:bCs/>
                <w:color w:val="auto"/>
                <w:kern w:val="2"/>
                <w:sz w:val="24"/>
                <w:szCs w:val="24"/>
                <w:highlight w:val="none"/>
                <w:lang w:val="en-US" w:eastAsia="zh-CN" w:bidi="ar-SA"/>
              </w:rPr>
              <w:t>登记填</w:t>
            </w:r>
            <w:r>
              <w:rPr>
                <w:rFonts w:hint="eastAsia" w:ascii="Times New Roman" w:hAnsi="Times New Roman" w:eastAsia="宋体" w:cs="Times New Roman"/>
                <w:b/>
                <w:bCs/>
                <w:color w:val="auto"/>
                <w:kern w:val="2"/>
                <w:sz w:val="24"/>
                <w:szCs w:val="24"/>
                <w:highlight w:val="none"/>
                <w:lang w:val="en-US" w:eastAsia="zh-CN" w:bidi="ar-SA"/>
              </w:rPr>
              <w:t>报</w:t>
            </w:r>
            <w:r>
              <w:rPr>
                <w:rFonts w:hint="default" w:ascii="Times New Roman" w:hAnsi="Times New Roman" w:eastAsia="宋体" w:cs="Times New Roman"/>
                <w:color w:val="auto"/>
                <w:kern w:val="2"/>
                <w:sz w:val="24"/>
                <w:szCs w:val="24"/>
                <w:highlight w:val="none"/>
                <w:lang w:val="en-US" w:eastAsia="zh-CN" w:bidi="ar-SA"/>
              </w:rPr>
              <w:t>。</w:t>
            </w:r>
          </w:p>
          <w:p w14:paraId="1AC241BB">
            <w:pPr>
              <w:pStyle w:val="8"/>
              <w:keepNext w:val="0"/>
              <w:pageBreakBefore w:val="0"/>
              <w:kinsoku/>
              <w:wordWrap/>
              <w:overflowPunct/>
              <w:topLinePunct w:val="0"/>
              <w:autoSpaceDE/>
              <w:autoSpaceDN/>
              <w:bidi w:val="0"/>
              <w:spacing w:line="360" w:lineRule="auto"/>
              <w:jc w:val="center"/>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 xml:space="preserve">表 5.1-2 </w:t>
            </w:r>
            <w:r>
              <w:rPr>
                <w:rFonts w:hint="eastAsia" w:ascii="Times New Roman" w:hAnsi="Times New Roman" w:eastAsia="宋体" w:cs="Times New Roman"/>
                <w:b/>
                <w:bCs/>
                <w:color w:val="auto"/>
                <w:sz w:val="24"/>
                <w:szCs w:val="24"/>
                <w:highlight w:val="none"/>
                <w:lang w:val="en-US" w:eastAsia="zh-CN"/>
              </w:rPr>
              <w:t>固定</w:t>
            </w:r>
            <w:r>
              <w:rPr>
                <w:rFonts w:hint="default" w:ascii="Times New Roman" w:hAnsi="Times New Roman" w:eastAsia="宋体" w:cs="Times New Roman"/>
                <w:b/>
                <w:bCs/>
                <w:color w:val="auto"/>
                <w:sz w:val="24"/>
                <w:szCs w:val="24"/>
                <w:highlight w:val="none"/>
                <w:lang w:val="en-US" w:eastAsia="zh-CN"/>
              </w:rPr>
              <w:t>污染源排污许可分类管理名录</w:t>
            </w:r>
            <w:r>
              <w:rPr>
                <w:rFonts w:hint="eastAsia"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摘录</w:t>
            </w:r>
            <w:r>
              <w:rPr>
                <w:rFonts w:hint="eastAsia" w:ascii="Times New Roman" w:hAnsi="Times New Roman" w:eastAsia="宋体" w:cs="Times New Roman"/>
                <w:b/>
                <w:bCs/>
                <w:color w:val="auto"/>
                <w:sz w:val="24"/>
                <w:szCs w:val="24"/>
                <w:highlight w:val="none"/>
                <w:lang w:val="en-US" w:eastAsia="zh-CN"/>
              </w:rPr>
              <w:t>）</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2050"/>
              <w:gridCol w:w="1069"/>
              <w:gridCol w:w="4056"/>
              <w:gridCol w:w="924"/>
            </w:tblGrid>
            <w:tr w14:paraId="70D1D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248" w:type="pct"/>
                  <w:vAlign w:val="center"/>
                </w:tcPr>
                <w:p w14:paraId="38EE619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序号</w:t>
                  </w:r>
                </w:p>
              </w:tc>
              <w:tc>
                <w:tcPr>
                  <w:tcW w:w="1202" w:type="pct"/>
                  <w:vAlign w:val="center"/>
                </w:tcPr>
                <w:p w14:paraId="43B77FC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行业类别</w:t>
                  </w:r>
                </w:p>
              </w:tc>
              <w:tc>
                <w:tcPr>
                  <w:tcW w:w="627" w:type="pct"/>
                  <w:vAlign w:val="center"/>
                </w:tcPr>
                <w:p w14:paraId="6F59A0EB">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重点管理</w:t>
                  </w:r>
                </w:p>
              </w:tc>
              <w:tc>
                <w:tcPr>
                  <w:tcW w:w="2379" w:type="pct"/>
                  <w:vAlign w:val="center"/>
                </w:tcPr>
                <w:p w14:paraId="7837261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简化管理</w:t>
                  </w:r>
                </w:p>
              </w:tc>
              <w:tc>
                <w:tcPr>
                  <w:tcW w:w="542" w:type="pct"/>
                  <w:shd w:val="clear" w:color="auto" w:fill="CFCECE" w:themeFill="background2" w:themeFillShade="E5"/>
                  <w:vAlign w:val="center"/>
                </w:tcPr>
                <w:p w14:paraId="5217F0DF">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登记管理</w:t>
                  </w:r>
                </w:p>
              </w:tc>
            </w:tr>
            <w:tr w14:paraId="2F0E5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CFCECE" w:themeFill="background2" w:themeFillShade="E5"/>
                  <w:vAlign w:val="center"/>
                </w:tcPr>
                <w:p w14:paraId="18206B55">
                  <w:pPr>
                    <w:keepNext w:val="0"/>
                    <w:keepLines w:val="0"/>
                    <w:pageBreakBefore w:val="0"/>
                    <w:widowControl/>
                    <w:suppressLineNumbers w:val="0"/>
                    <w:kinsoku/>
                    <w:wordWrap/>
                    <w:overflowPunct/>
                    <w:topLinePunct w:val="0"/>
                    <w:autoSpaceDE/>
                    <w:autoSpaceDN/>
                    <w:bidi w:val="0"/>
                    <w:spacing w:line="240" w:lineRule="auto"/>
                    <w:jc w:val="left"/>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b/>
                      <w:bCs/>
                      <w:color w:val="000000"/>
                      <w:kern w:val="0"/>
                      <w:sz w:val="21"/>
                      <w:szCs w:val="21"/>
                      <w:lang w:val="en-US" w:eastAsia="zh-CN" w:bidi="ar"/>
                    </w:rPr>
                    <w:t>二十四、橡胶和塑料制品业 29</w:t>
                  </w:r>
                </w:p>
              </w:tc>
            </w:tr>
            <w:tr w14:paraId="66337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3ABB2CD8">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62</w:t>
                  </w:r>
                </w:p>
              </w:tc>
              <w:tc>
                <w:tcPr>
                  <w:tcW w:w="1202" w:type="pct"/>
                  <w:vAlign w:val="center"/>
                </w:tcPr>
                <w:p w14:paraId="077CE0CA">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kern w:val="0"/>
                      <w:sz w:val="21"/>
                      <w:szCs w:val="21"/>
                      <w:lang w:val="en-US" w:eastAsia="zh-CN" w:bidi="ar"/>
                    </w:rPr>
                    <w:t>塑料制品业 292</w:t>
                  </w:r>
                </w:p>
                <w:p w14:paraId="4D2356A0">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p>
              </w:tc>
              <w:tc>
                <w:tcPr>
                  <w:tcW w:w="627" w:type="pct"/>
                  <w:vAlign w:val="center"/>
                </w:tcPr>
                <w:p w14:paraId="6A22B258">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塑料人造革、合成革制造 2925</w:t>
                  </w:r>
                </w:p>
                <w:p w14:paraId="51511929">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p>
              </w:tc>
              <w:tc>
                <w:tcPr>
                  <w:tcW w:w="2379" w:type="pct"/>
                  <w:vAlign w:val="center"/>
                </w:tcPr>
                <w:p w14:paraId="6742799A">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年产1万吨及以上的泡沫塑料制造 2924，年产1万吨及以上涉及改性的塑料薄膜制造 2921、塑料板、管、型材制造 2922、塑料丝、绳和编织品制造 2923、塑料包装箱及容器制造 2926、日用塑料品制造 2927、人造草坪制造 2928、塑料零件及其他塑料制品制造 2929</w:t>
                  </w:r>
                </w:p>
              </w:tc>
              <w:tc>
                <w:tcPr>
                  <w:tcW w:w="542" w:type="pct"/>
                  <w:shd w:val="clear" w:color="auto" w:fill="CFCECE" w:themeFill="background2" w:themeFillShade="E5"/>
                  <w:vAlign w:val="center"/>
                </w:tcPr>
                <w:p w14:paraId="2C0FE69E">
                  <w:pPr>
                    <w:keepNext w:val="0"/>
                    <w:keepLines w:val="0"/>
                    <w:pageBreakBefore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262626"/>
                      <w:sz w:val="21"/>
                      <w:szCs w:val="21"/>
                      <w:vertAlign w:val="baseline"/>
                      <w:lang w:val="en-US" w:eastAsia="zh-CN"/>
                    </w:rPr>
                  </w:pPr>
                  <w:r>
                    <w:rPr>
                      <w:rFonts w:hint="default" w:ascii="Times New Roman" w:hAnsi="Times New Roman" w:eastAsia="宋体" w:cs="Times New Roman"/>
                      <w:color w:val="262626"/>
                      <w:sz w:val="21"/>
                      <w:szCs w:val="21"/>
                      <w:vertAlign w:val="baseline"/>
                      <w:lang w:val="en-US" w:eastAsia="zh-CN"/>
                    </w:rPr>
                    <w:t>其他</w:t>
                  </w:r>
                </w:p>
              </w:tc>
            </w:tr>
            <w:tr w14:paraId="61B10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CFCECE" w:themeFill="background2" w:themeFillShade="E5"/>
                  <w:vAlign w:val="center"/>
                </w:tcPr>
                <w:p w14:paraId="41613D2E">
                  <w:pPr>
                    <w:keepNext w:val="0"/>
                    <w:keepLines w:val="0"/>
                    <w:widowControl/>
                    <w:suppressLineNumbers w:val="0"/>
                    <w:jc w:val="left"/>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b/>
                      <w:bCs/>
                      <w:color w:val="000000"/>
                      <w:kern w:val="0"/>
                      <w:sz w:val="21"/>
                      <w:szCs w:val="21"/>
                      <w:lang w:val="en-US" w:eastAsia="zh-CN" w:bidi="ar"/>
                    </w:rPr>
                    <w:t>三十五、电气机械和器材制造业 38</w:t>
                  </w:r>
                </w:p>
              </w:tc>
            </w:tr>
            <w:tr w14:paraId="2BCF8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518F87E2">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77</w:t>
                  </w:r>
                </w:p>
              </w:tc>
              <w:tc>
                <w:tcPr>
                  <w:tcW w:w="1202" w:type="pct"/>
                  <w:vAlign w:val="center"/>
                </w:tcPr>
                <w:p w14:paraId="36A33842">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电机制造381;输配电及控制设备制造382;</w:t>
                  </w:r>
                  <w:r>
                    <w:rPr>
                      <w:rFonts w:hint="eastAsia" w:ascii="Times New Roman" w:hAnsi="Times New Roman" w:eastAsia="宋体" w:cs="Times New Roman"/>
                      <w:b/>
                      <w:bCs/>
                      <w:color w:val="000000"/>
                      <w:kern w:val="0"/>
                      <w:sz w:val="21"/>
                      <w:szCs w:val="21"/>
                      <w:lang w:val="en-US" w:eastAsia="zh-CN" w:bidi="ar"/>
                    </w:rPr>
                    <w:t>电线、电缆、光缆及电工器材制造383;</w:t>
                  </w:r>
                  <w:r>
                    <w:rPr>
                      <w:rFonts w:hint="eastAsia" w:ascii="Times New Roman" w:hAnsi="Times New Roman" w:eastAsia="宋体" w:cs="Times New Roman"/>
                      <w:color w:val="000000"/>
                      <w:kern w:val="0"/>
                      <w:sz w:val="21"/>
                      <w:szCs w:val="21"/>
                      <w:lang w:val="en-US" w:eastAsia="zh-CN" w:bidi="ar"/>
                    </w:rPr>
                    <w:t>电池制造384;家用电力器具制造385;非电力家用器具制造386;照明器具制造387;其他电气机械及器材制造389</w:t>
                  </w:r>
                </w:p>
              </w:tc>
              <w:tc>
                <w:tcPr>
                  <w:tcW w:w="627" w:type="pct"/>
                  <w:vAlign w:val="center"/>
                </w:tcPr>
                <w:p w14:paraId="3175A9DE">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铅蓄电池制造;太阳能电池片生产；有电镀工艺的；年用溶剂型涂料(含稀释剂)10吨及以上的</w:t>
                  </w:r>
                </w:p>
              </w:tc>
              <w:tc>
                <w:tcPr>
                  <w:tcW w:w="2379" w:type="pct"/>
                  <w:vAlign w:val="center"/>
                </w:tcPr>
                <w:p w14:paraId="1464C0DF">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其他(仅分割、焊接、组装的除外；年用非溶剂型低VOCs含量涂料10吨以下的除外)</w:t>
                  </w:r>
                </w:p>
              </w:tc>
              <w:tc>
                <w:tcPr>
                  <w:tcW w:w="542" w:type="pct"/>
                  <w:shd w:val="clear" w:color="auto" w:fill="CFCECE" w:themeFill="background2" w:themeFillShade="E5"/>
                  <w:vAlign w:val="center"/>
                </w:tcPr>
                <w:p w14:paraId="40F31484">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w:t>
                  </w:r>
                </w:p>
              </w:tc>
            </w:tr>
            <w:tr w14:paraId="2EC9E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CFCECE" w:themeFill="background2" w:themeFillShade="E5"/>
                  <w:vAlign w:val="center"/>
                </w:tcPr>
                <w:p w14:paraId="12CF8B2B">
                  <w:pPr>
                    <w:keepNext w:val="0"/>
                    <w:keepLines w:val="0"/>
                    <w:pageBreakBefore w:val="0"/>
                    <w:widowControl/>
                    <w:suppressLineNumbers w:val="0"/>
                    <w:kinsoku/>
                    <w:wordWrap/>
                    <w:overflowPunct/>
                    <w:topLinePunct w:val="0"/>
                    <w:autoSpaceDE/>
                    <w:autoSpaceDN/>
                    <w:bidi w:val="0"/>
                    <w:spacing w:line="240" w:lineRule="auto"/>
                    <w:jc w:val="left"/>
                    <w:textAlignment w:val="auto"/>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三十六、计算机、通信和其他电子设备制造业 39</w:t>
                  </w:r>
                </w:p>
              </w:tc>
            </w:tr>
            <w:tr w14:paraId="53232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vAlign w:val="center"/>
                </w:tcPr>
                <w:p w14:paraId="780A02FF">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81</w:t>
                  </w:r>
                </w:p>
              </w:tc>
              <w:tc>
                <w:tcPr>
                  <w:tcW w:w="1202" w:type="pct"/>
                  <w:vAlign w:val="center"/>
                </w:tcPr>
                <w:p w14:paraId="67AD365C">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b/>
                      <w:bCs/>
                      <w:color w:val="000000"/>
                      <w:kern w:val="0"/>
                      <w:sz w:val="21"/>
                      <w:szCs w:val="21"/>
                      <w:lang w:val="en-US" w:eastAsia="zh-CN" w:bidi="ar"/>
                    </w:rPr>
                    <w:t>电子元件及电子专用材料制造398</w:t>
                  </w:r>
                </w:p>
              </w:tc>
              <w:tc>
                <w:tcPr>
                  <w:tcW w:w="627" w:type="pct"/>
                  <w:vAlign w:val="center"/>
                </w:tcPr>
                <w:p w14:paraId="54A6EFE7">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半导体材料制造；电子化工材料制造</w:t>
                  </w:r>
                </w:p>
              </w:tc>
              <w:tc>
                <w:tcPr>
                  <w:tcW w:w="2379" w:type="pct"/>
                  <w:vAlign w:val="center"/>
                </w:tcPr>
                <w:p w14:paraId="7DB482B7">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印刷电路板制造；电子专用材料制造(电子化工材料制造除外)；使用有机溶剂的；有酸洗的以上均不含仅分割、焊接、组装的</w:t>
                  </w:r>
                </w:p>
              </w:tc>
              <w:tc>
                <w:tcPr>
                  <w:tcW w:w="542" w:type="pct"/>
                  <w:shd w:val="clear" w:color="auto" w:fill="CFCECE" w:themeFill="background2" w:themeFillShade="E5"/>
                  <w:vAlign w:val="center"/>
                </w:tcPr>
                <w:p w14:paraId="0BFDA8D8">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w:t>
                  </w:r>
                </w:p>
              </w:tc>
            </w:tr>
          </w:tbl>
          <w:p w14:paraId="18A82E0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9"/>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w:t>
            </w:r>
            <w:bookmarkEnd w:id="138"/>
            <w:bookmarkStart w:id="139" w:name="_Toc24814500"/>
            <w:r>
              <w:rPr>
                <w:rFonts w:hint="default" w:ascii="Times New Roman" w:hAnsi="Times New Roman" w:eastAsia="宋体" w:cs="Times New Roman"/>
                <w:b/>
                <w:bCs/>
                <w:color w:val="auto"/>
                <w:kern w:val="2"/>
                <w:sz w:val="24"/>
                <w:szCs w:val="24"/>
                <w:highlight w:val="none"/>
                <w:lang w:val="en-US" w:eastAsia="zh-CN" w:bidi="ar-SA"/>
              </w:rPr>
              <w:t>自主竣工环境保护验收要求</w:t>
            </w:r>
            <w:bookmarkEnd w:id="139"/>
          </w:p>
          <w:p w14:paraId="26AAFF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根据国务院【国令第682号】《建设项目环境保护管理条例》及《建设项目竣工环境保护验收暂行办法》（国环规环评</w:t>
            </w:r>
            <w:r>
              <w:rPr>
                <w:rFonts w:hint="eastAsia" w:ascii="Times New Roman" w:hAnsi="Times New Roman" w:eastAsia="宋体" w:cs="Times New Roman"/>
                <w:color w:val="auto"/>
                <w:kern w:val="2"/>
                <w:sz w:val="24"/>
                <w:szCs w:val="24"/>
                <w:highlight w:val="none"/>
                <w:lang w:val="en-US" w:eastAsia="zh-CN" w:bidi="ar-SA"/>
              </w:rPr>
              <w:t>〔2017〕4号</w:t>
            </w:r>
            <w:r>
              <w:rPr>
                <w:rFonts w:hint="default" w:ascii="Times New Roman" w:hAnsi="Times New Roman" w:eastAsia="宋体" w:cs="Times New Roman"/>
                <w:color w:val="auto"/>
                <w:kern w:val="2"/>
                <w:sz w:val="24"/>
                <w:szCs w:val="24"/>
                <w:highlight w:val="none"/>
                <w:lang w:val="en-US" w:eastAsia="zh-CN" w:bidi="ar-SA"/>
              </w:rPr>
              <w:t>），强化建设单位环境保护主体责任，落实建设项目环境保护</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三同时</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制度，规范建设项目竣工后建设单位自主开展环境保护验收的程序和标准。建设单位是建设项目竣工环境保护验收的责任主体。</w:t>
            </w:r>
          </w:p>
          <w:p w14:paraId="06BBF0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生态环境部</w:t>
            </w:r>
            <w:r>
              <w:rPr>
                <w:rFonts w:hint="default" w:ascii="Times New Roman" w:hAnsi="Times New Roman" w:eastAsia="宋体" w:cs="Times New Roman"/>
                <w:color w:val="auto"/>
                <w:kern w:val="2"/>
                <w:sz w:val="24"/>
                <w:szCs w:val="24"/>
                <w:highlight w:val="none"/>
                <w:lang w:val="en-US" w:eastAsia="zh-CN" w:bidi="ar-SA"/>
              </w:rPr>
              <w:t>《建设项目竣工环境保护验收技术指南 污染影响类》（公告2018年第9号）中有关要求：项目竣工后，建设单位应对该项目进行环保竣工验收，委托有资质的监测单位进行项目竣工环境保护验收监测，编制项目竣工环境保护验收监测报告。经验收合格，该建设项目方可正式投入生产或使用。</w:t>
            </w:r>
          </w:p>
        </w:tc>
      </w:tr>
    </w:tbl>
    <w:p w14:paraId="2BF16EAA">
      <w:r>
        <w:br w:type="page"/>
      </w:r>
    </w:p>
    <w:p w14:paraId="1C32D8D6">
      <w:pPr>
        <w:pStyle w:val="22"/>
        <w:jc w:val="center"/>
        <w:outlineLvl w:val="0"/>
        <w:rPr>
          <w:rFonts w:ascii="Times New Roman" w:hAnsi="Times New Roman" w:eastAsia="黑体"/>
          <w:snapToGrid w:val="0"/>
          <w:sz w:val="30"/>
          <w:szCs w:val="30"/>
        </w:rPr>
      </w:pPr>
      <w:bookmarkStart w:id="140" w:name="_Toc19634"/>
      <w:bookmarkStart w:id="141" w:name="_Toc4252"/>
      <w:r>
        <w:rPr>
          <w:rFonts w:ascii="Times New Roman" w:hAnsi="Times New Roman" w:eastAsia="黑体"/>
          <w:snapToGrid w:val="0"/>
          <w:sz w:val="30"/>
          <w:szCs w:val="30"/>
        </w:rPr>
        <w:drawing>
          <wp:anchor distT="0" distB="0" distL="114300" distR="114300" simplePos="0" relativeHeight="251664384" behindDoc="0" locked="0" layoutInCell="1" allowOverlap="1">
            <wp:simplePos x="0" y="0"/>
            <wp:positionH relativeFrom="column">
              <wp:posOffset>-440055</wp:posOffset>
            </wp:positionH>
            <wp:positionV relativeFrom="paragraph">
              <wp:posOffset>38100</wp:posOffset>
            </wp:positionV>
            <wp:extent cx="6431915" cy="8769350"/>
            <wp:effectExtent l="0" t="0" r="6985" b="12700"/>
            <wp:wrapNone/>
            <wp:docPr id="217" name="图片 217" descr="doc00514620251120170130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doc00514620251120170130_10(1)"/>
                    <pic:cNvPicPr>
                      <a:picLocks noChangeAspect="1"/>
                    </pic:cNvPicPr>
                  </pic:nvPicPr>
                  <pic:blipFill>
                    <a:blip r:embed="rId54"/>
                    <a:stretch>
                      <a:fillRect/>
                    </a:stretch>
                  </pic:blipFill>
                  <pic:spPr>
                    <a:xfrm>
                      <a:off x="0" y="0"/>
                      <a:ext cx="6431915" cy="8769350"/>
                    </a:xfrm>
                    <a:prstGeom prst="rect">
                      <a:avLst/>
                    </a:prstGeom>
                  </pic:spPr>
                </pic:pic>
              </a:graphicData>
            </a:graphic>
          </wp:anchor>
        </w:drawing>
      </w:r>
      <w:r>
        <w:rPr>
          <w:rFonts w:ascii="Times New Roman" w:hAnsi="Times New Roman" w:eastAsia="黑体"/>
          <w:snapToGrid w:val="0"/>
          <w:sz w:val="30"/>
          <w:szCs w:val="30"/>
        </w:rPr>
        <w:t>六、结论</w:t>
      </w:r>
      <w:bookmarkEnd w:id="140"/>
      <w:bookmarkEnd w:id="141"/>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69339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2ED0DDE2">
            <w:pPr>
              <w:spacing w:line="360" w:lineRule="auto"/>
              <w:rPr>
                <w:b/>
                <w:bCs/>
                <w:sz w:val="28"/>
                <w:szCs w:val="28"/>
              </w:rPr>
            </w:pPr>
            <w:r>
              <w:rPr>
                <w:b/>
                <w:bCs/>
                <w:sz w:val="28"/>
                <w:szCs w:val="28"/>
              </w:rPr>
              <w:t>6.1 总结论</w:t>
            </w:r>
          </w:p>
          <w:p w14:paraId="081D5EDC">
            <w:pPr>
              <w:spacing w:line="360" w:lineRule="auto"/>
              <w:ind w:firstLine="480" w:firstLineChars="200"/>
              <w:rPr>
                <w:rFonts w:ascii="Times New Roman" w:hAnsi="Times New Roman"/>
                <w:sz w:val="24"/>
                <w:szCs w:val="24"/>
              </w:rPr>
            </w:pPr>
            <w:r>
              <w:rPr>
                <w:rFonts w:hint="eastAsia"/>
                <w:sz w:val="24"/>
              </w:rPr>
              <w:t>本项目</w:t>
            </w:r>
            <w:r>
              <w:rPr>
                <w:rFonts w:hint="eastAsia"/>
                <w:sz w:val="24"/>
                <w:lang w:val="en-US" w:eastAsia="zh-CN"/>
              </w:rPr>
              <w:t>位于福建省福州市福清市阳下街道上亭村</w:t>
            </w:r>
            <w:r>
              <w:rPr>
                <w:rFonts w:hint="default"/>
                <w:sz w:val="24"/>
                <w:lang w:val="en-US" w:eastAsia="zh-CN"/>
              </w:rPr>
              <w:t>（</w:t>
            </w:r>
            <w:r>
              <w:rPr>
                <w:rFonts w:hint="eastAsia"/>
                <w:sz w:val="24"/>
                <w:lang w:val="en-US" w:eastAsia="zh-CN"/>
              </w:rPr>
              <w:t>福清市阳下街道均和云谷·福清科技港39号厂房），项目主要从事工业连接器和工业线缆制造，建设符合国家相关产业政策、符合《福清融侨经济技术开发区总体规划环境影响报告书（2018-2035年）》中的相关要求。符合“三线一单"以及生态分区管控控制要求，选址可行。经采取综合性、积极有效性的防治措施并确保污染物达标排放后，可避免或减少这些不利影响，使这些不利影响均在可接受范围内。</w:t>
            </w:r>
            <w:r>
              <w:rPr>
                <w:rFonts w:ascii="Times New Roman" w:hAnsi="Times New Roman"/>
                <w:sz w:val="24"/>
                <w:szCs w:val="24"/>
              </w:rPr>
              <w:t>通过对本项目的环境影响分析评价，项目运营过程中废水、废气、噪声、固废等污染物，对周围大气环境、水环境、声环境、土壤环境等造成一定不利影响，经采取综合性、积极有效的防治措施并确保污染物达标排放后，可避免或减少这些不利影响，影响均在环境可接受的范围内。</w:t>
            </w:r>
          </w:p>
          <w:p w14:paraId="3115E267">
            <w:pPr>
              <w:spacing w:line="360" w:lineRule="auto"/>
              <w:ind w:firstLine="480" w:firstLineChars="200"/>
              <w:rPr>
                <w:rFonts w:ascii="Times New Roman" w:hAnsi="Times New Roman" w:eastAsia="宋体" w:cs="Times New Roman"/>
                <w:sz w:val="24"/>
              </w:rPr>
            </w:pPr>
            <w:r>
              <w:rPr>
                <w:sz w:val="24"/>
              </w:rPr>
              <w:t>综上所述，在认真执行建设项目</w:t>
            </w:r>
            <w:r>
              <w:rPr>
                <w:rFonts w:hint="eastAsia"/>
                <w:sz w:val="24"/>
                <w:lang w:eastAsia="zh-CN"/>
              </w:rPr>
              <w:t>“</w:t>
            </w:r>
            <w:r>
              <w:rPr>
                <w:sz w:val="24"/>
              </w:rPr>
              <w:t>三同时</w:t>
            </w:r>
            <w:r>
              <w:rPr>
                <w:rFonts w:hint="eastAsia"/>
                <w:b w:val="0"/>
                <w:bCs w:val="0"/>
                <w:color w:val="auto"/>
                <w:sz w:val="24"/>
                <w:lang w:eastAsia="zh-CN"/>
              </w:rPr>
              <w:t>”</w:t>
            </w:r>
            <w:r>
              <w:rPr>
                <w:b w:val="0"/>
                <w:bCs w:val="0"/>
                <w:color w:val="auto"/>
                <w:sz w:val="24"/>
              </w:rPr>
              <w:t>制度，切实落实各项规划方案的要求，完成本次环境影响评价提出的各项污染防治措施</w:t>
            </w:r>
            <w:r>
              <w:rPr>
                <w:rFonts w:ascii="Times New Roman" w:hAnsi="Times New Roman" w:eastAsia="宋体" w:cs="Times New Roman"/>
                <w:b w:val="0"/>
                <w:bCs w:val="0"/>
                <w:color w:val="auto"/>
                <w:sz w:val="24"/>
              </w:rPr>
              <w:t>，严格落实</w:t>
            </w:r>
            <w:r>
              <w:rPr>
                <w:rFonts w:hint="eastAsia" w:ascii="Times New Roman" w:hAnsi="Times New Roman" w:eastAsia="宋体" w:cs="Times New Roman"/>
                <w:b w:val="0"/>
                <w:bCs w:val="0"/>
                <w:color w:val="auto"/>
                <w:sz w:val="24"/>
              </w:rPr>
              <w:t>各项生态环境保护和污染防治措施后，</w:t>
            </w:r>
            <w:r>
              <w:rPr>
                <w:rFonts w:ascii="Times New Roman" w:hAnsi="Times New Roman" w:eastAsia="宋体" w:cs="Times New Roman"/>
                <w:b w:val="0"/>
                <w:bCs w:val="0"/>
                <w:color w:val="auto"/>
                <w:sz w:val="24"/>
              </w:rPr>
              <w:t>确保各污染物达标排放，对周围的环境影响较小。从环</w:t>
            </w:r>
            <w:r>
              <w:rPr>
                <w:rFonts w:ascii="Times New Roman" w:hAnsi="Times New Roman" w:eastAsia="宋体" w:cs="Times New Roman"/>
                <w:sz w:val="24"/>
              </w:rPr>
              <w:t>境</w:t>
            </w:r>
            <w:r>
              <w:rPr>
                <w:rFonts w:hint="eastAsia" w:ascii="Times New Roman" w:hAnsi="Times New Roman" w:eastAsia="宋体" w:cs="Times New Roman"/>
                <w:sz w:val="24"/>
                <w:lang w:val="en-US" w:eastAsia="zh-CN"/>
              </w:rPr>
              <w:t>影响</w:t>
            </w:r>
            <w:r>
              <w:rPr>
                <w:rFonts w:ascii="Times New Roman" w:hAnsi="Times New Roman" w:eastAsia="宋体" w:cs="Times New Roman"/>
                <w:sz w:val="24"/>
              </w:rPr>
              <w:t>角度分析，该项目的建设是可行的。</w:t>
            </w:r>
          </w:p>
          <w:p w14:paraId="59467899">
            <w:pPr>
              <w:spacing w:line="360" w:lineRule="auto"/>
              <w:ind w:firstLine="482" w:firstLineChars="200"/>
              <w:rPr>
                <w:b/>
                <w:bCs/>
                <w:sz w:val="24"/>
              </w:rPr>
            </w:pPr>
          </w:p>
          <w:p w14:paraId="50D3A4FE">
            <w:pPr>
              <w:spacing w:line="360" w:lineRule="auto"/>
              <w:ind w:firstLine="482" w:firstLineChars="200"/>
              <w:jc w:val="right"/>
              <w:rPr>
                <w:rFonts w:hint="default" w:eastAsia="宋体"/>
                <w:b/>
                <w:bCs/>
                <w:sz w:val="24"/>
                <w:lang w:val="en-US" w:eastAsia="zh-CN"/>
              </w:rPr>
            </w:pPr>
          </w:p>
          <w:p w14:paraId="0721067D">
            <w:pPr>
              <w:keepNext w:val="0"/>
              <w:keepLines w:val="0"/>
              <w:pageBreakBefore w:val="0"/>
              <w:widowControl w:val="0"/>
              <w:kinsoku/>
              <w:wordWrap w:val="0"/>
              <w:overflowPunct/>
              <w:topLinePunct w:val="0"/>
              <w:autoSpaceDE/>
              <w:autoSpaceDN/>
              <w:bidi w:val="0"/>
              <w:adjustRightInd/>
              <w:snapToGrid/>
              <w:spacing w:line="480" w:lineRule="auto"/>
              <w:ind w:firstLine="480" w:firstLineChars="200"/>
              <w:jc w:val="right"/>
              <w:textAlignment w:val="auto"/>
              <w:rPr>
                <w:rFonts w:hint="default" w:eastAsia="宋体"/>
                <w:b w:val="0"/>
                <w:bCs w:val="0"/>
                <w:sz w:val="24"/>
                <w:highlight w:val="none"/>
                <w:lang w:val="en-US" w:eastAsia="zh-CN"/>
              </w:rPr>
            </w:pPr>
            <w:r>
              <w:rPr>
                <w:rFonts w:hint="eastAsia"/>
                <w:b w:val="0"/>
                <w:bCs w:val="0"/>
                <w:sz w:val="24"/>
                <w:highlight w:val="none"/>
                <w:lang w:val="en-US" w:eastAsia="zh-CN"/>
              </w:rPr>
              <w:t>福州朴诚至信环保科技有限公司</w:t>
            </w:r>
          </w:p>
          <w:p w14:paraId="6FF708AF">
            <w:pPr>
              <w:keepNext w:val="0"/>
              <w:keepLines w:val="0"/>
              <w:pageBreakBefore w:val="0"/>
              <w:widowControl w:val="0"/>
              <w:kinsoku/>
              <w:wordWrap w:val="0"/>
              <w:overflowPunct/>
              <w:topLinePunct w:val="0"/>
              <w:autoSpaceDE/>
              <w:autoSpaceDN/>
              <w:bidi w:val="0"/>
              <w:adjustRightInd/>
              <w:snapToGrid/>
              <w:spacing w:line="480" w:lineRule="auto"/>
              <w:ind w:firstLine="480" w:firstLineChars="200"/>
              <w:jc w:val="right"/>
              <w:textAlignment w:val="auto"/>
              <w:rPr>
                <w:rFonts w:hint="default" w:eastAsia="宋体"/>
                <w:b w:val="0"/>
                <w:bCs w:val="0"/>
                <w:sz w:val="24"/>
                <w:highlight w:val="none"/>
                <w:lang w:val="en-US" w:eastAsia="zh-CN"/>
              </w:rPr>
            </w:pPr>
            <w:r>
              <w:rPr>
                <w:b w:val="0"/>
                <w:bCs w:val="0"/>
                <w:sz w:val="24"/>
                <w:highlight w:val="none"/>
              </w:rPr>
              <w:t>202</w:t>
            </w:r>
            <w:r>
              <w:rPr>
                <w:rFonts w:hint="eastAsia"/>
                <w:b w:val="0"/>
                <w:bCs w:val="0"/>
                <w:sz w:val="24"/>
                <w:highlight w:val="none"/>
                <w:lang w:val="en-US" w:eastAsia="zh-CN"/>
              </w:rPr>
              <w:t>5</w:t>
            </w:r>
            <w:r>
              <w:rPr>
                <w:b w:val="0"/>
                <w:bCs w:val="0"/>
                <w:sz w:val="24"/>
                <w:highlight w:val="none"/>
              </w:rPr>
              <w:t>年</w:t>
            </w:r>
            <w:r>
              <w:rPr>
                <w:rFonts w:hint="eastAsia"/>
                <w:b w:val="0"/>
                <w:bCs w:val="0"/>
                <w:sz w:val="24"/>
                <w:highlight w:val="none"/>
                <w:lang w:val="en-US" w:eastAsia="zh-CN"/>
              </w:rPr>
              <w:t>11</w:t>
            </w:r>
            <w:r>
              <w:rPr>
                <w:b w:val="0"/>
                <w:bCs w:val="0"/>
                <w:sz w:val="24"/>
                <w:highlight w:val="none"/>
              </w:rPr>
              <w:t>月</w:t>
            </w:r>
          </w:p>
          <w:p w14:paraId="4DAC92D2">
            <w:pPr>
              <w:keepNext w:val="0"/>
              <w:keepLines w:val="0"/>
              <w:pageBreakBefore w:val="0"/>
              <w:widowControl w:val="0"/>
              <w:kinsoku/>
              <w:overflowPunct/>
              <w:topLinePunct w:val="0"/>
              <w:autoSpaceDE/>
              <w:autoSpaceDN/>
              <w:bidi w:val="0"/>
              <w:adjustRightInd/>
              <w:snapToGrid/>
              <w:spacing w:line="480" w:lineRule="auto"/>
              <w:ind w:firstLine="482" w:firstLineChars="200"/>
              <w:textAlignment w:val="auto"/>
              <w:rPr>
                <w:b/>
                <w:bCs/>
                <w:sz w:val="24"/>
                <w:highlight w:val="none"/>
              </w:rPr>
            </w:pPr>
          </w:p>
          <w:p w14:paraId="79F02346">
            <w:pPr>
              <w:spacing w:line="360" w:lineRule="auto"/>
              <w:ind w:firstLine="482" w:firstLineChars="200"/>
              <w:rPr>
                <w:b/>
                <w:bCs/>
                <w:sz w:val="24"/>
              </w:rPr>
            </w:pPr>
          </w:p>
          <w:p w14:paraId="5909E627">
            <w:pPr>
              <w:spacing w:line="360" w:lineRule="auto"/>
              <w:ind w:firstLine="482" w:firstLineChars="200"/>
              <w:rPr>
                <w:b/>
                <w:bCs/>
                <w:sz w:val="24"/>
              </w:rPr>
            </w:pPr>
          </w:p>
          <w:p w14:paraId="79602A53">
            <w:pPr>
              <w:spacing w:line="360" w:lineRule="auto"/>
              <w:ind w:firstLine="482" w:firstLineChars="200"/>
              <w:rPr>
                <w:b/>
                <w:bCs/>
                <w:sz w:val="24"/>
              </w:rPr>
            </w:pPr>
          </w:p>
          <w:p w14:paraId="0C2399D6">
            <w:pPr>
              <w:spacing w:line="360" w:lineRule="auto"/>
              <w:ind w:firstLine="482" w:firstLineChars="200"/>
              <w:rPr>
                <w:b/>
                <w:bCs/>
                <w:sz w:val="24"/>
              </w:rPr>
            </w:pPr>
          </w:p>
          <w:p w14:paraId="4D547767">
            <w:pPr>
              <w:spacing w:line="360" w:lineRule="auto"/>
              <w:rPr>
                <w:sz w:val="24"/>
              </w:rPr>
            </w:pPr>
          </w:p>
        </w:tc>
      </w:tr>
    </w:tbl>
    <w:p w14:paraId="53B1D257">
      <w:pPr>
        <w:rPr>
          <w:rFonts w:hint="eastAsia"/>
          <w:b/>
          <w:bCs/>
          <w:lang w:val="en-US" w:eastAsia="zh-CN"/>
        </w:rPr>
        <w:sectPr>
          <w:pgSz w:w="11906" w:h="16838"/>
          <w:pgMar w:top="1587" w:right="1417" w:bottom="1587" w:left="1417" w:header="851" w:footer="992" w:gutter="0"/>
          <w:pgBorders>
            <w:top w:val="none" w:sz="0" w:space="0"/>
            <w:left w:val="none" w:sz="0" w:space="0"/>
            <w:bottom w:val="none" w:sz="0" w:space="0"/>
            <w:right w:val="none" w:sz="0" w:space="0"/>
          </w:pgBorders>
          <w:pgNumType w:fmt="decimal"/>
          <w:cols w:space="0" w:num="1"/>
          <w:rtlGutter w:val="0"/>
          <w:docGrid w:type="lines" w:linePitch="324" w:charSpace="0"/>
        </w:sectPr>
      </w:pPr>
    </w:p>
    <w:p w14:paraId="6037D73A">
      <w:pPr>
        <w:pStyle w:val="22"/>
        <w:adjustRightInd w:val="0"/>
        <w:snapToGrid w:val="0"/>
        <w:spacing w:before="120" w:beforeLines="50" w:beforeAutospacing="0" w:after="0" w:afterAutospacing="0"/>
        <w:jc w:val="both"/>
        <w:outlineLvl w:val="0"/>
        <w:rPr>
          <w:rFonts w:ascii="Times New Roman" w:hAnsi="Times New Roman" w:eastAsia="方正小标宋_GBK"/>
          <w:snapToGrid w:val="0"/>
          <w:sz w:val="38"/>
          <w:szCs w:val="38"/>
        </w:rPr>
      </w:pPr>
      <w:bookmarkStart w:id="142" w:name="_Toc16366"/>
      <w:bookmarkStart w:id="143" w:name="_Toc7093"/>
      <w:r>
        <w:rPr>
          <w:rFonts w:ascii="Times New Roman" w:hAnsi="Times New Roman" w:eastAsia="方正小标宋_GBK"/>
          <w:b/>
          <w:bCs/>
          <w:snapToGrid w:val="0"/>
          <w:sz w:val="38"/>
          <w:szCs w:val="38"/>
        </w:rPr>
        <w:t>附</w:t>
      </w:r>
      <w:r>
        <w:rPr>
          <w:rFonts w:ascii="Times New Roman" w:hAnsi="Times New Roman" w:eastAsia="方正小标宋_GBK" w:cs="Times New Roman"/>
          <w:b/>
          <w:bCs/>
          <w:snapToGrid w:val="0"/>
          <w:sz w:val="38"/>
          <w:szCs w:val="38"/>
        </w:rPr>
        <w:t>表</w:t>
      </w:r>
      <w:bookmarkEnd w:id="142"/>
      <w:bookmarkEnd w:id="143"/>
    </w:p>
    <w:p w14:paraId="47BBF350">
      <w:pPr>
        <w:pStyle w:val="22"/>
        <w:adjustRightInd w:val="0"/>
        <w:snapToGrid w:val="0"/>
        <w:spacing w:before="0" w:beforeLines="0" w:beforeAutospacing="0" w:after="0" w:afterLines="0" w:afterAutospacing="0"/>
        <w:jc w:val="center"/>
        <w:outlineLvl w:val="0"/>
        <w:rPr>
          <w:rFonts w:ascii="Times New Roman" w:hAnsi="Times New Roman" w:eastAsia="方正小标宋_GBK"/>
          <w:snapToGrid w:val="0"/>
          <w:color w:val="auto"/>
          <w:sz w:val="38"/>
          <w:szCs w:val="38"/>
        </w:rPr>
      </w:pPr>
      <w:bookmarkStart w:id="144" w:name="_Toc96"/>
      <w:bookmarkStart w:id="145" w:name="_Toc13889"/>
      <w:bookmarkStart w:id="146" w:name="_Toc13012"/>
      <w:r>
        <w:rPr>
          <w:rFonts w:ascii="Times New Roman" w:hAnsi="Times New Roman" w:eastAsia="方正小标宋_GBK"/>
          <w:snapToGrid w:val="0"/>
          <w:color w:val="auto"/>
          <w:sz w:val="38"/>
          <w:szCs w:val="38"/>
        </w:rPr>
        <w:t>建设项目污染物排放量汇总表</w:t>
      </w:r>
      <w:bookmarkEnd w:id="144"/>
      <w:bookmarkEnd w:id="145"/>
      <w:bookmarkEnd w:id="146"/>
    </w:p>
    <w:tbl>
      <w:tblPr>
        <w:tblStyle w:val="23"/>
        <w:tblW w:w="1408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2145"/>
        <w:gridCol w:w="1332"/>
        <w:gridCol w:w="1276"/>
        <w:gridCol w:w="1701"/>
        <w:gridCol w:w="1559"/>
        <w:gridCol w:w="1761"/>
        <w:gridCol w:w="1959"/>
        <w:gridCol w:w="1122"/>
      </w:tblGrid>
      <w:tr w14:paraId="0279C6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tcBorders>
              <w:tl2br w:val="single" w:color="auto" w:sz="4" w:space="0"/>
            </w:tcBorders>
            <w:noWrap w:val="0"/>
            <w:tcMar>
              <w:left w:w="28" w:type="dxa"/>
              <w:right w:w="28" w:type="dxa"/>
            </w:tcMar>
            <w:vAlign w:val="center"/>
          </w:tcPr>
          <w:p w14:paraId="6EEC77B8">
            <w:pPr>
              <w:pStyle w:val="77"/>
              <w:bidi w:val="0"/>
              <w:jc w:val="right"/>
              <w:rPr>
                <w:color w:val="auto"/>
              </w:rPr>
            </w:pPr>
            <w:r>
              <w:rPr>
                <w:color w:val="auto"/>
              </w:rPr>
              <w:t>项目</w:t>
            </w:r>
          </w:p>
          <w:p w14:paraId="44653EB8">
            <w:pPr>
              <w:pStyle w:val="77"/>
              <w:bidi w:val="0"/>
              <w:jc w:val="left"/>
              <w:rPr>
                <w:color w:val="auto"/>
              </w:rPr>
            </w:pPr>
            <w:r>
              <w:rPr>
                <w:color w:val="auto"/>
              </w:rPr>
              <w:t>分类</w:t>
            </w:r>
          </w:p>
        </w:tc>
        <w:tc>
          <w:tcPr>
            <w:tcW w:w="2145" w:type="dxa"/>
            <w:noWrap w:val="0"/>
            <w:tcMar>
              <w:left w:w="28" w:type="dxa"/>
              <w:right w:w="28" w:type="dxa"/>
            </w:tcMar>
            <w:vAlign w:val="center"/>
          </w:tcPr>
          <w:p w14:paraId="020E018E">
            <w:pPr>
              <w:pStyle w:val="77"/>
              <w:bidi w:val="0"/>
              <w:rPr>
                <w:color w:val="auto"/>
              </w:rPr>
            </w:pPr>
            <w:r>
              <w:rPr>
                <w:color w:val="auto"/>
              </w:rPr>
              <w:t>污染物名称</w:t>
            </w:r>
          </w:p>
        </w:tc>
        <w:tc>
          <w:tcPr>
            <w:tcW w:w="1332" w:type="dxa"/>
            <w:noWrap w:val="0"/>
            <w:tcMar>
              <w:left w:w="28" w:type="dxa"/>
              <w:right w:w="28" w:type="dxa"/>
            </w:tcMar>
            <w:vAlign w:val="center"/>
          </w:tcPr>
          <w:p w14:paraId="52B22978">
            <w:pPr>
              <w:pStyle w:val="77"/>
              <w:bidi w:val="0"/>
              <w:rPr>
                <w:color w:val="auto"/>
              </w:rPr>
            </w:pPr>
            <w:r>
              <w:rPr>
                <w:color w:val="auto"/>
              </w:rPr>
              <w:t>现有工程</w:t>
            </w:r>
          </w:p>
          <w:p w14:paraId="43E656A1">
            <w:pPr>
              <w:pStyle w:val="77"/>
              <w:bidi w:val="0"/>
              <w:rPr>
                <w:color w:val="auto"/>
              </w:rPr>
            </w:pPr>
            <w:r>
              <w:rPr>
                <w:color w:val="auto"/>
              </w:rPr>
              <w:t>排放量（固体废物产生量）</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p>
        </w:tc>
        <w:tc>
          <w:tcPr>
            <w:tcW w:w="1276" w:type="dxa"/>
            <w:noWrap w:val="0"/>
            <w:tcMar>
              <w:left w:w="28" w:type="dxa"/>
              <w:right w:w="28" w:type="dxa"/>
            </w:tcMar>
            <w:vAlign w:val="center"/>
          </w:tcPr>
          <w:p w14:paraId="5A777679">
            <w:pPr>
              <w:pStyle w:val="77"/>
              <w:bidi w:val="0"/>
              <w:rPr>
                <w:color w:val="auto"/>
              </w:rPr>
            </w:pPr>
            <w:r>
              <w:rPr>
                <w:color w:val="auto"/>
              </w:rPr>
              <w:t>现有工程</w:t>
            </w:r>
          </w:p>
          <w:p w14:paraId="0F69E4D3">
            <w:pPr>
              <w:pStyle w:val="77"/>
              <w:bidi w:val="0"/>
              <w:rPr>
                <w:color w:val="auto"/>
              </w:rPr>
            </w:pPr>
            <w:r>
              <w:rPr>
                <w:color w:val="auto"/>
              </w:rPr>
              <w:t>许可排放量</w:t>
            </w:r>
          </w:p>
          <w:p w14:paraId="5629ECB7">
            <w:pPr>
              <w:pStyle w:val="77"/>
              <w:bidi w:val="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p>
        </w:tc>
        <w:tc>
          <w:tcPr>
            <w:tcW w:w="1701" w:type="dxa"/>
            <w:noWrap w:val="0"/>
            <w:tcMar>
              <w:left w:w="28" w:type="dxa"/>
              <w:right w:w="28" w:type="dxa"/>
            </w:tcMar>
            <w:vAlign w:val="center"/>
          </w:tcPr>
          <w:p w14:paraId="13CE313C">
            <w:pPr>
              <w:pStyle w:val="77"/>
              <w:bidi w:val="0"/>
              <w:rPr>
                <w:color w:val="auto"/>
              </w:rPr>
            </w:pPr>
            <w:r>
              <w:rPr>
                <w:color w:val="auto"/>
              </w:rPr>
              <w:t>在建工程</w:t>
            </w:r>
          </w:p>
          <w:p w14:paraId="31C266A4">
            <w:pPr>
              <w:pStyle w:val="77"/>
              <w:bidi w:val="0"/>
              <w:rPr>
                <w:color w:val="auto"/>
              </w:rPr>
            </w:pPr>
            <w:r>
              <w:rPr>
                <w:color w:val="auto"/>
              </w:rPr>
              <w:t>排放量（固体废物产生量）</w:t>
            </w: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p>
        </w:tc>
        <w:tc>
          <w:tcPr>
            <w:tcW w:w="1559" w:type="dxa"/>
            <w:noWrap w:val="0"/>
            <w:tcMar>
              <w:left w:w="28" w:type="dxa"/>
              <w:right w:w="28" w:type="dxa"/>
            </w:tcMar>
            <w:vAlign w:val="center"/>
          </w:tcPr>
          <w:p w14:paraId="31DEE739">
            <w:pPr>
              <w:pStyle w:val="77"/>
              <w:bidi w:val="0"/>
              <w:rPr>
                <w:color w:val="auto"/>
              </w:rPr>
            </w:pPr>
            <w:r>
              <w:rPr>
                <w:color w:val="auto"/>
              </w:rPr>
              <w:t>本项目</w:t>
            </w:r>
          </w:p>
          <w:p w14:paraId="57D9B791">
            <w:pPr>
              <w:pStyle w:val="77"/>
              <w:bidi w:val="0"/>
              <w:rPr>
                <w:color w:val="auto"/>
              </w:rPr>
            </w:pPr>
            <w:r>
              <w:rPr>
                <w:color w:val="auto"/>
              </w:rPr>
              <w:t>排放量（固体废物产生量）</w:t>
            </w: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p>
        </w:tc>
        <w:tc>
          <w:tcPr>
            <w:tcW w:w="1761" w:type="dxa"/>
            <w:noWrap w:val="0"/>
            <w:tcMar>
              <w:left w:w="28" w:type="dxa"/>
              <w:right w:w="28" w:type="dxa"/>
            </w:tcMar>
            <w:vAlign w:val="center"/>
          </w:tcPr>
          <w:p w14:paraId="6FA71E6A">
            <w:pPr>
              <w:pStyle w:val="77"/>
              <w:bidi w:val="0"/>
              <w:rPr>
                <w:color w:val="auto"/>
              </w:rPr>
            </w:pPr>
            <w:r>
              <w:rPr>
                <w:color w:val="auto"/>
              </w:rPr>
              <w:t>以新带老削减量</w:t>
            </w:r>
          </w:p>
          <w:p w14:paraId="0D788B36">
            <w:pPr>
              <w:pStyle w:val="77"/>
              <w:bidi w:val="0"/>
              <w:rPr>
                <w:color w:val="auto"/>
              </w:rPr>
            </w:pPr>
            <w:r>
              <w:rPr>
                <w:color w:val="auto"/>
              </w:rPr>
              <w:t>（新建项目不填）</w:t>
            </w:r>
            <w:r>
              <w:rPr>
                <w:color w:val="auto"/>
              </w:rPr>
              <w:fldChar w:fldCharType="begin"/>
            </w:r>
            <w:r>
              <w:rPr>
                <w:color w:val="auto"/>
              </w:rPr>
              <w:instrText xml:space="preserve"> = 5 \* GB3 \* MERGEFORMAT </w:instrText>
            </w:r>
            <w:r>
              <w:rPr>
                <w:color w:val="auto"/>
              </w:rPr>
              <w:fldChar w:fldCharType="separate"/>
            </w:r>
            <w:r>
              <w:rPr>
                <w:color w:val="auto"/>
              </w:rPr>
              <w:t>⑤</w:t>
            </w:r>
            <w:r>
              <w:rPr>
                <w:color w:val="auto"/>
              </w:rPr>
              <w:fldChar w:fldCharType="end"/>
            </w:r>
          </w:p>
        </w:tc>
        <w:tc>
          <w:tcPr>
            <w:tcW w:w="1959" w:type="dxa"/>
            <w:noWrap w:val="0"/>
            <w:tcMar>
              <w:left w:w="28" w:type="dxa"/>
              <w:right w:w="28" w:type="dxa"/>
            </w:tcMar>
            <w:vAlign w:val="center"/>
          </w:tcPr>
          <w:p w14:paraId="1DE2B617">
            <w:pPr>
              <w:pStyle w:val="77"/>
              <w:bidi w:val="0"/>
              <w:rPr>
                <w:color w:val="auto"/>
              </w:rPr>
            </w:pPr>
            <w:r>
              <w:rPr>
                <w:color w:val="auto"/>
              </w:rPr>
              <w:t>本项目建成后</w:t>
            </w:r>
          </w:p>
          <w:p w14:paraId="3120F9C0">
            <w:pPr>
              <w:pStyle w:val="77"/>
              <w:bidi w:val="0"/>
              <w:rPr>
                <w:color w:val="auto"/>
              </w:rPr>
            </w:pPr>
            <w:r>
              <w:rPr>
                <w:color w:val="auto"/>
              </w:rPr>
              <w:t>全厂排放量（固体废物产生量）</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p>
        </w:tc>
        <w:tc>
          <w:tcPr>
            <w:tcW w:w="1122" w:type="dxa"/>
            <w:noWrap w:val="0"/>
            <w:tcMar>
              <w:left w:w="28" w:type="dxa"/>
              <w:right w:w="28" w:type="dxa"/>
            </w:tcMar>
            <w:vAlign w:val="center"/>
          </w:tcPr>
          <w:p w14:paraId="4E651958">
            <w:pPr>
              <w:pStyle w:val="77"/>
              <w:bidi w:val="0"/>
              <w:rPr>
                <w:color w:val="auto"/>
              </w:rPr>
            </w:pPr>
            <w:r>
              <w:rPr>
                <w:color w:val="auto"/>
              </w:rPr>
              <w:t>变化量</w:t>
            </w:r>
          </w:p>
          <w:p w14:paraId="19B0FAAC">
            <w:pPr>
              <w:pStyle w:val="77"/>
              <w:bidi w:val="0"/>
              <w:rPr>
                <w:color w:val="auto"/>
              </w:rPr>
            </w:pPr>
            <w:r>
              <w:rPr>
                <w:color w:val="auto"/>
              </w:rPr>
              <w:fldChar w:fldCharType="begin"/>
            </w:r>
            <w:r>
              <w:rPr>
                <w:color w:val="auto"/>
              </w:rPr>
              <w:instrText xml:space="preserve"> = 7 \* GB3 \* MERGEFORMAT </w:instrText>
            </w:r>
            <w:r>
              <w:rPr>
                <w:color w:val="auto"/>
              </w:rPr>
              <w:fldChar w:fldCharType="separate"/>
            </w:r>
            <w:r>
              <w:rPr>
                <w:color w:val="auto"/>
              </w:rPr>
              <w:t>⑦</w:t>
            </w:r>
            <w:r>
              <w:rPr>
                <w:color w:val="auto"/>
              </w:rPr>
              <w:fldChar w:fldCharType="end"/>
            </w:r>
          </w:p>
        </w:tc>
      </w:tr>
      <w:tr w14:paraId="5AC763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restart"/>
            <w:noWrap w:val="0"/>
            <w:vAlign w:val="center"/>
          </w:tcPr>
          <w:p w14:paraId="65D0A567">
            <w:pPr>
              <w:pStyle w:val="77"/>
              <w:bidi w:val="0"/>
              <w:rPr>
                <w:rFonts w:hint="eastAsia"/>
                <w:color w:val="auto"/>
                <w:lang w:val="en-US" w:eastAsia="zh-CN"/>
              </w:rPr>
            </w:pPr>
            <w:r>
              <w:rPr>
                <w:rFonts w:hint="eastAsia"/>
                <w:color w:val="auto"/>
                <w:lang w:val="en-US" w:eastAsia="zh-CN"/>
              </w:rPr>
              <w:t>废气</w:t>
            </w:r>
          </w:p>
        </w:tc>
        <w:tc>
          <w:tcPr>
            <w:tcW w:w="2145" w:type="dxa"/>
            <w:noWrap w:val="0"/>
            <w:vAlign w:val="center"/>
          </w:tcPr>
          <w:p w14:paraId="239E0B45">
            <w:pPr>
              <w:pStyle w:val="77"/>
              <w:bidi w:val="0"/>
              <w:rPr>
                <w:rFonts w:hint="eastAsia" w:eastAsia="宋体"/>
                <w:color w:val="auto"/>
                <w:lang w:eastAsia="zh-CN"/>
              </w:rPr>
            </w:pPr>
            <w:r>
              <w:rPr>
                <w:color w:val="auto"/>
              </w:rPr>
              <w:t>非甲烷总烃</w:t>
            </w:r>
            <w:r>
              <w:rPr>
                <w:rFonts w:hint="eastAsia"/>
                <w:color w:val="auto"/>
                <w:lang w:eastAsia="zh-CN"/>
              </w:rPr>
              <w:t>（</w:t>
            </w:r>
            <w:r>
              <w:rPr>
                <w:color w:val="auto"/>
              </w:rPr>
              <w:t>t/a</w:t>
            </w:r>
            <w:r>
              <w:rPr>
                <w:rFonts w:hint="eastAsia"/>
                <w:color w:val="auto"/>
                <w:lang w:eastAsia="zh-CN"/>
              </w:rPr>
              <w:t>）</w:t>
            </w:r>
          </w:p>
        </w:tc>
        <w:tc>
          <w:tcPr>
            <w:tcW w:w="1332" w:type="dxa"/>
            <w:noWrap w:val="0"/>
            <w:vAlign w:val="center"/>
          </w:tcPr>
          <w:p w14:paraId="0BB767D1">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5AAFA5A3">
            <w:pPr>
              <w:pStyle w:val="77"/>
              <w:bidi w:val="0"/>
              <w:rPr>
                <w:rFonts w:hint="default"/>
                <w:color w:val="auto"/>
                <w:lang w:val="en-US" w:eastAsia="zh-CN"/>
              </w:rPr>
            </w:pPr>
            <w:r>
              <w:rPr>
                <w:rFonts w:hint="eastAsia"/>
                <w:color w:val="auto"/>
                <w:lang w:val="en-US" w:eastAsia="zh-CN"/>
              </w:rPr>
              <w:t>/</w:t>
            </w:r>
          </w:p>
        </w:tc>
        <w:tc>
          <w:tcPr>
            <w:tcW w:w="1701" w:type="dxa"/>
            <w:noWrap w:val="0"/>
            <w:vAlign w:val="center"/>
          </w:tcPr>
          <w:p w14:paraId="0E7982D7">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147CDBAE">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0.0179</w:t>
            </w:r>
          </w:p>
        </w:tc>
        <w:tc>
          <w:tcPr>
            <w:tcW w:w="1761" w:type="dxa"/>
            <w:noWrap w:val="0"/>
            <w:vAlign w:val="center"/>
          </w:tcPr>
          <w:p w14:paraId="178D5B03">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27B8F2DE">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0.0179</w:t>
            </w:r>
          </w:p>
        </w:tc>
        <w:tc>
          <w:tcPr>
            <w:tcW w:w="1122" w:type="dxa"/>
            <w:shd w:val="clear" w:color="auto" w:fill="auto"/>
            <w:noWrap w:val="0"/>
            <w:vAlign w:val="center"/>
          </w:tcPr>
          <w:p w14:paraId="21702D2F">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+0.0179</w:t>
            </w:r>
          </w:p>
        </w:tc>
      </w:tr>
      <w:tr w14:paraId="5DB842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2B95DBE0">
            <w:pPr>
              <w:pStyle w:val="77"/>
              <w:bidi w:val="0"/>
              <w:rPr>
                <w:rFonts w:hint="eastAsia"/>
                <w:color w:val="auto"/>
                <w:lang w:val="en-US" w:eastAsia="zh-CN"/>
              </w:rPr>
            </w:pPr>
          </w:p>
        </w:tc>
        <w:tc>
          <w:tcPr>
            <w:tcW w:w="2145" w:type="dxa"/>
            <w:noWrap w:val="0"/>
            <w:vAlign w:val="center"/>
          </w:tcPr>
          <w:p w14:paraId="72BF5518">
            <w:pPr>
              <w:pStyle w:val="77"/>
              <w:bidi w:val="0"/>
              <w:rPr>
                <w:rFonts w:hint="default" w:eastAsia="宋体"/>
                <w:color w:val="auto"/>
                <w:lang w:val="en-US" w:eastAsia="zh-CN"/>
              </w:rPr>
            </w:pPr>
            <w:r>
              <w:rPr>
                <w:rFonts w:hint="eastAsia"/>
                <w:color w:val="auto"/>
                <w:lang w:val="en-US" w:eastAsia="zh-CN"/>
              </w:rPr>
              <w:t>颗粒物（kg/a）</w:t>
            </w:r>
          </w:p>
        </w:tc>
        <w:tc>
          <w:tcPr>
            <w:tcW w:w="1332" w:type="dxa"/>
            <w:noWrap w:val="0"/>
            <w:vAlign w:val="center"/>
          </w:tcPr>
          <w:p w14:paraId="70B42863">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246B79DE">
            <w:pPr>
              <w:pStyle w:val="77"/>
              <w:bidi w:val="0"/>
              <w:rPr>
                <w:rFonts w:hint="default"/>
                <w:color w:val="auto"/>
                <w:lang w:val="en-US" w:eastAsia="zh-CN"/>
              </w:rPr>
            </w:pPr>
            <w:r>
              <w:rPr>
                <w:rFonts w:hint="eastAsia"/>
                <w:color w:val="auto"/>
                <w:lang w:val="en-US" w:eastAsia="zh-CN"/>
              </w:rPr>
              <w:t>/</w:t>
            </w:r>
          </w:p>
        </w:tc>
        <w:tc>
          <w:tcPr>
            <w:tcW w:w="1701" w:type="dxa"/>
            <w:noWrap w:val="0"/>
            <w:vAlign w:val="center"/>
          </w:tcPr>
          <w:p w14:paraId="4CC4D7A3">
            <w:pPr>
              <w:pStyle w:val="77"/>
              <w:bidi w:val="0"/>
              <w:rPr>
                <w:rFonts w:hint="default"/>
                <w:color w:val="auto"/>
                <w:lang w:val="en-US" w:eastAsia="zh-CN"/>
              </w:rPr>
            </w:pPr>
            <w:r>
              <w:rPr>
                <w:rFonts w:hint="eastAsia"/>
                <w:color w:val="auto"/>
                <w:lang w:val="en-US" w:eastAsia="zh-CN"/>
              </w:rPr>
              <w:t>/</w:t>
            </w:r>
          </w:p>
        </w:tc>
        <w:tc>
          <w:tcPr>
            <w:tcW w:w="1559" w:type="dxa"/>
            <w:shd w:val="clear" w:color="auto" w:fill="auto"/>
            <w:noWrap w:val="0"/>
            <w:vAlign w:val="center"/>
          </w:tcPr>
          <w:p w14:paraId="25D4AE08">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0.405</w:t>
            </w:r>
          </w:p>
        </w:tc>
        <w:tc>
          <w:tcPr>
            <w:tcW w:w="1761" w:type="dxa"/>
            <w:noWrap w:val="0"/>
            <w:vAlign w:val="center"/>
          </w:tcPr>
          <w:p w14:paraId="2D8840C8">
            <w:pPr>
              <w:pStyle w:val="77"/>
              <w:bidi w:val="0"/>
              <w:rPr>
                <w:rFonts w:hint="default"/>
                <w:color w:val="auto"/>
                <w:lang w:val="en-US" w:eastAsia="zh-CN"/>
              </w:rPr>
            </w:pPr>
            <w:r>
              <w:rPr>
                <w:rFonts w:hint="eastAsia"/>
                <w:color w:val="auto"/>
                <w:lang w:val="en-US" w:eastAsia="zh-CN"/>
              </w:rPr>
              <w:t>/</w:t>
            </w:r>
          </w:p>
        </w:tc>
        <w:tc>
          <w:tcPr>
            <w:tcW w:w="1959" w:type="dxa"/>
            <w:shd w:val="clear" w:color="auto" w:fill="auto"/>
            <w:noWrap w:val="0"/>
            <w:vAlign w:val="center"/>
          </w:tcPr>
          <w:p w14:paraId="5A4AF4A3">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0.405</w:t>
            </w:r>
          </w:p>
        </w:tc>
        <w:tc>
          <w:tcPr>
            <w:tcW w:w="1122" w:type="dxa"/>
            <w:shd w:val="clear" w:color="auto" w:fill="auto"/>
            <w:noWrap w:val="0"/>
            <w:vAlign w:val="center"/>
          </w:tcPr>
          <w:p w14:paraId="531362CA">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+0.405</w:t>
            </w:r>
          </w:p>
        </w:tc>
      </w:tr>
      <w:tr w14:paraId="0EDF30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restart"/>
            <w:noWrap w:val="0"/>
            <w:vAlign w:val="center"/>
          </w:tcPr>
          <w:p w14:paraId="2C95F53B">
            <w:pPr>
              <w:pStyle w:val="77"/>
              <w:bidi w:val="0"/>
              <w:rPr>
                <w:color w:val="auto"/>
              </w:rPr>
            </w:pPr>
            <w:r>
              <w:rPr>
                <w:color w:val="auto"/>
              </w:rPr>
              <w:t>废水</w:t>
            </w:r>
          </w:p>
        </w:tc>
        <w:tc>
          <w:tcPr>
            <w:tcW w:w="2145" w:type="dxa"/>
            <w:noWrap w:val="0"/>
            <w:vAlign w:val="center"/>
          </w:tcPr>
          <w:p w14:paraId="64C6403F">
            <w:pPr>
              <w:pStyle w:val="77"/>
              <w:bidi w:val="0"/>
              <w:rPr>
                <w:rFonts w:hint="eastAsia" w:eastAsia="宋体"/>
                <w:color w:val="auto"/>
                <w:lang w:eastAsia="zh-CN"/>
              </w:rPr>
            </w:pPr>
            <w:r>
              <w:rPr>
                <w:color w:val="auto"/>
              </w:rPr>
              <w:t>COD</w:t>
            </w:r>
            <w:r>
              <w:rPr>
                <w:rFonts w:hint="eastAsia"/>
                <w:color w:val="auto"/>
                <w:lang w:eastAsia="zh-CN"/>
              </w:rPr>
              <w:t>(</w:t>
            </w:r>
            <w:r>
              <w:rPr>
                <w:color w:val="auto"/>
              </w:rPr>
              <w:t>t/a</w:t>
            </w:r>
            <w:r>
              <w:rPr>
                <w:rFonts w:hint="eastAsia"/>
                <w:color w:val="auto"/>
                <w:lang w:eastAsia="zh-CN"/>
              </w:rPr>
              <w:t>)</w:t>
            </w:r>
          </w:p>
        </w:tc>
        <w:tc>
          <w:tcPr>
            <w:tcW w:w="1332" w:type="dxa"/>
            <w:noWrap w:val="0"/>
            <w:vAlign w:val="center"/>
          </w:tcPr>
          <w:p w14:paraId="7DFD111E">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7FAA1A17">
            <w:pPr>
              <w:pStyle w:val="77"/>
              <w:bidi w:val="0"/>
              <w:rPr>
                <w:color w:val="auto"/>
              </w:rPr>
            </w:pPr>
            <w:r>
              <w:rPr>
                <w:rFonts w:hint="eastAsia"/>
                <w:color w:val="auto"/>
                <w:lang w:val="en-US" w:eastAsia="zh-CN"/>
              </w:rPr>
              <w:t>/</w:t>
            </w:r>
          </w:p>
        </w:tc>
        <w:tc>
          <w:tcPr>
            <w:tcW w:w="1701" w:type="dxa"/>
            <w:noWrap w:val="0"/>
            <w:vAlign w:val="center"/>
          </w:tcPr>
          <w:p w14:paraId="3F37E464">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40A13BCA">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0.204</w:t>
            </w:r>
          </w:p>
        </w:tc>
        <w:tc>
          <w:tcPr>
            <w:tcW w:w="1761" w:type="dxa"/>
            <w:noWrap w:val="0"/>
            <w:vAlign w:val="center"/>
          </w:tcPr>
          <w:p w14:paraId="34F8C3C6">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5889401D">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0.204</w:t>
            </w:r>
          </w:p>
        </w:tc>
        <w:tc>
          <w:tcPr>
            <w:tcW w:w="1122" w:type="dxa"/>
            <w:shd w:val="clear" w:color="auto" w:fill="auto"/>
            <w:noWrap w:val="0"/>
            <w:vAlign w:val="center"/>
          </w:tcPr>
          <w:p w14:paraId="7B2D8EA4">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+0.204</w:t>
            </w:r>
          </w:p>
        </w:tc>
      </w:tr>
      <w:tr w14:paraId="6A4EBB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1AD69EDD">
            <w:pPr>
              <w:pStyle w:val="77"/>
              <w:bidi w:val="0"/>
              <w:rPr>
                <w:color w:val="auto"/>
              </w:rPr>
            </w:pPr>
          </w:p>
        </w:tc>
        <w:tc>
          <w:tcPr>
            <w:tcW w:w="2145" w:type="dxa"/>
            <w:noWrap w:val="0"/>
            <w:vAlign w:val="center"/>
          </w:tcPr>
          <w:p w14:paraId="129D1AE0">
            <w:pPr>
              <w:pStyle w:val="77"/>
              <w:bidi w:val="0"/>
              <w:rPr>
                <w:rFonts w:hint="eastAsia" w:eastAsia="宋体"/>
                <w:color w:val="auto"/>
                <w:lang w:eastAsia="zh-CN"/>
              </w:rPr>
            </w:pPr>
            <w:r>
              <w:rPr>
                <w:color w:val="auto"/>
              </w:rPr>
              <w:t>BOD</w:t>
            </w:r>
            <w:r>
              <w:rPr>
                <w:color w:val="auto"/>
                <w:vertAlign w:val="subscript"/>
              </w:rPr>
              <w:t>5</w:t>
            </w:r>
            <w:r>
              <w:rPr>
                <w:rFonts w:hint="eastAsia"/>
                <w:color w:val="auto"/>
                <w:vertAlign w:val="subscript"/>
                <w:lang w:eastAsia="zh-CN"/>
              </w:rPr>
              <w:t>(</w:t>
            </w:r>
            <w:r>
              <w:rPr>
                <w:color w:val="auto"/>
              </w:rPr>
              <w:t>t/a</w:t>
            </w:r>
            <w:r>
              <w:rPr>
                <w:rFonts w:hint="eastAsia"/>
                <w:color w:val="auto"/>
                <w:lang w:eastAsia="zh-CN"/>
              </w:rPr>
              <w:t>)</w:t>
            </w:r>
          </w:p>
        </w:tc>
        <w:tc>
          <w:tcPr>
            <w:tcW w:w="1332" w:type="dxa"/>
            <w:noWrap w:val="0"/>
            <w:vAlign w:val="center"/>
          </w:tcPr>
          <w:p w14:paraId="27E82DD2">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406433B1">
            <w:pPr>
              <w:pStyle w:val="77"/>
              <w:bidi w:val="0"/>
              <w:rPr>
                <w:color w:val="auto"/>
              </w:rPr>
            </w:pPr>
            <w:r>
              <w:rPr>
                <w:rFonts w:hint="eastAsia"/>
                <w:color w:val="auto"/>
                <w:lang w:val="en-US" w:eastAsia="zh-CN"/>
              </w:rPr>
              <w:t>/</w:t>
            </w:r>
          </w:p>
        </w:tc>
        <w:tc>
          <w:tcPr>
            <w:tcW w:w="1701" w:type="dxa"/>
            <w:noWrap w:val="0"/>
            <w:vAlign w:val="center"/>
          </w:tcPr>
          <w:p w14:paraId="6DF704A9">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2EE0215B">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0.096</w:t>
            </w:r>
          </w:p>
        </w:tc>
        <w:tc>
          <w:tcPr>
            <w:tcW w:w="1761" w:type="dxa"/>
            <w:noWrap w:val="0"/>
            <w:vAlign w:val="center"/>
          </w:tcPr>
          <w:p w14:paraId="42302DED">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71F80EB3">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0.096</w:t>
            </w:r>
          </w:p>
        </w:tc>
        <w:tc>
          <w:tcPr>
            <w:tcW w:w="1122" w:type="dxa"/>
            <w:shd w:val="clear" w:color="auto" w:fill="auto"/>
            <w:noWrap w:val="0"/>
            <w:vAlign w:val="center"/>
          </w:tcPr>
          <w:p w14:paraId="64D6BA15">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+0.096</w:t>
            </w:r>
          </w:p>
        </w:tc>
      </w:tr>
      <w:tr w14:paraId="540A1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1A3A9702">
            <w:pPr>
              <w:pStyle w:val="77"/>
              <w:bidi w:val="0"/>
              <w:rPr>
                <w:color w:val="auto"/>
              </w:rPr>
            </w:pPr>
          </w:p>
        </w:tc>
        <w:tc>
          <w:tcPr>
            <w:tcW w:w="2145" w:type="dxa"/>
            <w:noWrap w:val="0"/>
            <w:vAlign w:val="center"/>
          </w:tcPr>
          <w:p w14:paraId="2342D640">
            <w:pPr>
              <w:pStyle w:val="77"/>
              <w:bidi w:val="0"/>
              <w:rPr>
                <w:rFonts w:hint="eastAsia" w:eastAsia="宋体"/>
                <w:color w:val="auto"/>
                <w:lang w:eastAsia="zh-CN"/>
              </w:rPr>
            </w:pPr>
            <w:r>
              <w:rPr>
                <w:color w:val="auto"/>
              </w:rPr>
              <w:t>SS</w:t>
            </w:r>
            <w:r>
              <w:rPr>
                <w:rFonts w:hint="eastAsia"/>
                <w:color w:val="auto"/>
                <w:lang w:eastAsia="zh-CN"/>
              </w:rPr>
              <w:t>(</w:t>
            </w:r>
            <w:r>
              <w:rPr>
                <w:color w:val="auto"/>
              </w:rPr>
              <w:t>t/a</w:t>
            </w:r>
            <w:r>
              <w:rPr>
                <w:rFonts w:hint="eastAsia"/>
                <w:color w:val="auto"/>
                <w:lang w:eastAsia="zh-CN"/>
              </w:rPr>
              <w:t>)</w:t>
            </w:r>
          </w:p>
        </w:tc>
        <w:tc>
          <w:tcPr>
            <w:tcW w:w="1332" w:type="dxa"/>
            <w:noWrap w:val="0"/>
            <w:vAlign w:val="center"/>
          </w:tcPr>
          <w:p w14:paraId="62AAF00E">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5574E194">
            <w:pPr>
              <w:pStyle w:val="77"/>
              <w:bidi w:val="0"/>
              <w:rPr>
                <w:color w:val="auto"/>
              </w:rPr>
            </w:pPr>
            <w:r>
              <w:rPr>
                <w:rFonts w:hint="eastAsia"/>
                <w:color w:val="auto"/>
                <w:lang w:val="en-US" w:eastAsia="zh-CN"/>
              </w:rPr>
              <w:t>/</w:t>
            </w:r>
          </w:p>
        </w:tc>
        <w:tc>
          <w:tcPr>
            <w:tcW w:w="1701" w:type="dxa"/>
            <w:noWrap w:val="0"/>
            <w:vAlign w:val="center"/>
          </w:tcPr>
          <w:p w14:paraId="06359B49">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629A9455">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0.072</w:t>
            </w:r>
          </w:p>
        </w:tc>
        <w:tc>
          <w:tcPr>
            <w:tcW w:w="1761" w:type="dxa"/>
            <w:noWrap w:val="0"/>
            <w:vAlign w:val="center"/>
          </w:tcPr>
          <w:p w14:paraId="5163B8D5">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457EC4E0">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0.072</w:t>
            </w:r>
          </w:p>
        </w:tc>
        <w:tc>
          <w:tcPr>
            <w:tcW w:w="1122" w:type="dxa"/>
            <w:shd w:val="clear" w:color="auto" w:fill="auto"/>
            <w:noWrap w:val="0"/>
            <w:vAlign w:val="center"/>
          </w:tcPr>
          <w:p w14:paraId="67C2696E">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+0.072</w:t>
            </w:r>
          </w:p>
        </w:tc>
      </w:tr>
      <w:tr w14:paraId="649108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229" w:type="dxa"/>
            <w:vMerge w:val="continue"/>
            <w:noWrap w:val="0"/>
            <w:vAlign w:val="center"/>
          </w:tcPr>
          <w:p w14:paraId="7F8DF448">
            <w:pPr>
              <w:pStyle w:val="77"/>
              <w:bidi w:val="0"/>
              <w:rPr>
                <w:color w:val="auto"/>
              </w:rPr>
            </w:pPr>
          </w:p>
        </w:tc>
        <w:tc>
          <w:tcPr>
            <w:tcW w:w="2145" w:type="dxa"/>
            <w:noWrap w:val="0"/>
            <w:vAlign w:val="center"/>
          </w:tcPr>
          <w:p w14:paraId="3DEAE997">
            <w:pPr>
              <w:pStyle w:val="77"/>
              <w:bidi w:val="0"/>
              <w:rPr>
                <w:rFonts w:hint="eastAsia" w:eastAsia="宋体"/>
                <w:color w:val="auto"/>
                <w:lang w:eastAsia="zh-CN"/>
              </w:rPr>
            </w:pPr>
            <w:r>
              <w:rPr>
                <w:color w:val="auto"/>
              </w:rPr>
              <w:t>NH</w:t>
            </w:r>
            <w:r>
              <w:rPr>
                <w:color w:val="auto"/>
                <w:vertAlign w:val="subscript"/>
              </w:rPr>
              <w:t>3</w:t>
            </w:r>
            <w:r>
              <w:rPr>
                <w:color w:val="auto"/>
              </w:rPr>
              <w:t>-N</w:t>
            </w:r>
            <w:r>
              <w:rPr>
                <w:rFonts w:hint="eastAsia"/>
                <w:color w:val="auto"/>
                <w:lang w:eastAsia="zh-CN"/>
              </w:rPr>
              <w:t>(</w:t>
            </w:r>
            <w:r>
              <w:rPr>
                <w:color w:val="auto"/>
              </w:rPr>
              <w:t>t/a</w:t>
            </w:r>
            <w:r>
              <w:rPr>
                <w:rFonts w:hint="eastAsia"/>
                <w:color w:val="auto"/>
                <w:lang w:eastAsia="zh-CN"/>
              </w:rPr>
              <w:t>)</w:t>
            </w:r>
          </w:p>
        </w:tc>
        <w:tc>
          <w:tcPr>
            <w:tcW w:w="1332" w:type="dxa"/>
            <w:noWrap w:val="0"/>
            <w:vAlign w:val="center"/>
          </w:tcPr>
          <w:p w14:paraId="4C82A0F4">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02FD6125">
            <w:pPr>
              <w:pStyle w:val="77"/>
              <w:bidi w:val="0"/>
              <w:rPr>
                <w:color w:val="auto"/>
              </w:rPr>
            </w:pPr>
            <w:r>
              <w:rPr>
                <w:rFonts w:hint="eastAsia"/>
                <w:color w:val="auto"/>
                <w:lang w:val="en-US" w:eastAsia="zh-CN"/>
              </w:rPr>
              <w:t>/</w:t>
            </w:r>
          </w:p>
        </w:tc>
        <w:tc>
          <w:tcPr>
            <w:tcW w:w="1701" w:type="dxa"/>
            <w:noWrap w:val="0"/>
            <w:vAlign w:val="center"/>
          </w:tcPr>
          <w:p w14:paraId="492AD782">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04F56B2D">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0.025</w:t>
            </w:r>
          </w:p>
        </w:tc>
        <w:tc>
          <w:tcPr>
            <w:tcW w:w="1761" w:type="dxa"/>
            <w:noWrap w:val="0"/>
            <w:vAlign w:val="center"/>
          </w:tcPr>
          <w:p w14:paraId="65C65FDD">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032EE34B">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0.025</w:t>
            </w:r>
          </w:p>
        </w:tc>
        <w:tc>
          <w:tcPr>
            <w:tcW w:w="1122" w:type="dxa"/>
            <w:shd w:val="clear" w:color="auto" w:fill="auto"/>
            <w:noWrap w:val="0"/>
            <w:vAlign w:val="center"/>
          </w:tcPr>
          <w:p w14:paraId="242B46CE">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+0.025</w:t>
            </w:r>
          </w:p>
        </w:tc>
      </w:tr>
      <w:tr w14:paraId="657AC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restart"/>
            <w:noWrap w:val="0"/>
            <w:vAlign w:val="center"/>
          </w:tcPr>
          <w:p w14:paraId="173ED7BE">
            <w:pPr>
              <w:pStyle w:val="77"/>
              <w:bidi w:val="0"/>
              <w:rPr>
                <w:color w:val="auto"/>
              </w:rPr>
            </w:pPr>
            <w:r>
              <w:rPr>
                <w:color w:val="auto"/>
              </w:rPr>
              <w:t>一般工业</w:t>
            </w:r>
          </w:p>
          <w:p w14:paraId="4146D966">
            <w:pPr>
              <w:pStyle w:val="77"/>
              <w:bidi w:val="0"/>
              <w:rPr>
                <w:color w:val="auto"/>
              </w:rPr>
            </w:pPr>
            <w:r>
              <w:rPr>
                <w:color w:val="auto"/>
              </w:rPr>
              <w:t>固体废物</w:t>
            </w:r>
          </w:p>
        </w:tc>
        <w:tc>
          <w:tcPr>
            <w:tcW w:w="2145" w:type="dxa"/>
            <w:noWrap w:val="0"/>
            <w:vAlign w:val="center"/>
          </w:tcPr>
          <w:p w14:paraId="3D587CBB">
            <w:pPr>
              <w:pStyle w:val="77"/>
              <w:bidi w:val="0"/>
              <w:rPr>
                <w:rFonts w:hint="default"/>
                <w:color w:val="auto"/>
                <w:lang w:val="en-US" w:eastAsia="zh-CN"/>
              </w:rPr>
            </w:pPr>
            <w:r>
              <w:rPr>
                <w:rFonts w:hint="eastAsia"/>
                <w:color w:val="auto"/>
                <w:lang w:val="en-US" w:eastAsia="zh-CN"/>
              </w:rPr>
              <w:t>塑料边角料及不合格产品（t/a）</w:t>
            </w:r>
          </w:p>
        </w:tc>
        <w:tc>
          <w:tcPr>
            <w:tcW w:w="1332" w:type="dxa"/>
            <w:noWrap w:val="0"/>
            <w:vAlign w:val="center"/>
          </w:tcPr>
          <w:p w14:paraId="1890CA1C">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3AECA964">
            <w:pPr>
              <w:pStyle w:val="77"/>
              <w:bidi w:val="0"/>
              <w:rPr>
                <w:rFonts w:hint="default"/>
                <w:color w:val="auto"/>
                <w:lang w:val="en-US" w:eastAsia="zh-CN"/>
              </w:rPr>
            </w:pPr>
            <w:r>
              <w:rPr>
                <w:rFonts w:hint="eastAsia"/>
                <w:color w:val="auto"/>
                <w:lang w:val="en-US" w:eastAsia="zh-CN"/>
              </w:rPr>
              <w:t>/</w:t>
            </w:r>
          </w:p>
        </w:tc>
        <w:tc>
          <w:tcPr>
            <w:tcW w:w="1701" w:type="dxa"/>
            <w:noWrap w:val="0"/>
            <w:vAlign w:val="center"/>
          </w:tcPr>
          <w:p w14:paraId="0C7BA6F9">
            <w:pPr>
              <w:pStyle w:val="77"/>
              <w:bidi w:val="0"/>
              <w:rPr>
                <w:rFonts w:hint="default"/>
                <w:color w:val="auto"/>
                <w:lang w:val="en-US" w:eastAsia="zh-CN"/>
              </w:rPr>
            </w:pPr>
            <w:r>
              <w:rPr>
                <w:rFonts w:hint="eastAsia"/>
                <w:color w:val="auto"/>
                <w:lang w:val="en-US" w:eastAsia="zh-CN"/>
              </w:rPr>
              <w:t>/</w:t>
            </w:r>
          </w:p>
        </w:tc>
        <w:tc>
          <w:tcPr>
            <w:tcW w:w="1559" w:type="dxa"/>
            <w:shd w:val="clear" w:color="auto" w:fill="auto"/>
            <w:noWrap w:val="0"/>
            <w:vAlign w:val="center"/>
          </w:tcPr>
          <w:p w14:paraId="15FBA85D">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5.2</w:t>
            </w:r>
          </w:p>
        </w:tc>
        <w:tc>
          <w:tcPr>
            <w:tcW w:w="1761" w:type="dxa"/>
            <w:noWrap w:val="0"/>
            <w:vAlign w:val="center"/>
          </w:tcPr>
          <w:p w14:paraId="1104E2E9">
            <w:pPr>
              <w:pStyle w:val="77"/>
              <w:bidi w:val="0"/>
              <w:rPr>
                <w:rFonts w:hint="default"/>
                <w:color w:val="auto"/>
                <w:lang w:val="en-US" w:eastAsia="zh-CN"/>
              </w:rPr>
            </w:pPr>
            <w:r>
              <w:rPr>
                <w:rFonts w:hint="eastAsia"/>
                <w:color w:val="auto"/>
                <w:lang w:val="en-US" w:eastAsia="zh-CN"/>
              </w:rPr>
              <w:t>/</w:t>
            </w:r>
          </w:p>
        </w:tc>
        <w:tc>
          <w:tcPr>
            <w:tcW w:w="1959" w:type="dxa"/>
            <w:shd w:val="clear" w:color="auto" w:fill="auto"/>
            <w:noWrap w:val="0"/>
            <w:vAlign w:val="center"/>
          </w:tcPr>
          <w:p w14:paraId="344E62A7">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5.2</w:t>
            </w:r>
          </w:p>
        </w:tc>
        <w:tc>
          <w:tcPr>
            <w:tcW w:w="1122" w:type="dxa"/>
            <w:shd w:val="clear" w:color="auto" w:fill="auto"/>
            <w:noWrap w:val="0"/>
            <w:vAlign w:val="center"/>
          </w:tcPr>
          <w:p w14:paraId="19AD01EB">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+5.2</w:t>
            </w:r>
          </w:p>
        </w:tc>
      </w:tr>
      <w:tr w14:paraId="4D424A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7DCB407A">
            <w:pPr>
              <w:pStyle w:val="77"/>
              <w:bidi w:val="0"/>
              <w:rPr>
                <w:color w:val="auto"/>
              </w:rPr>
            </w:pPr>
          </w:p>
        </w:tc>
        <w:tc>
          <w:tcPr>
            <w:tcW w:w="2145" w:type="dxa"/>
            <w:noWrap w:val="0"/>
            <w:vAlign w:val="center"/>
          </w:tcPr>
          <w:p w14:paraId="0BF48AC1">
            <w:pPr>
              <w:pStyle w:val="77"/>
              <w:bidi w:val="0"/>
              <w:rPr>
                <w:rFonts w:hint="default"/>
                <w:color w:val="auto"/>
                <w:lang w:val="en-US" w:eastAsia="zh-CN"/>
              </w:rPr>
            </w:pPr>
            <w:r>
              <w:rPr>
                <w:rFonts w:hint="eastAsia"/>
                <w:color w:val="auto"/>
                <w:lang w:val="en-US" w:eastAsia="zh-CN"/>
              </w:rPr>
              <w:t>废包装材料（t/a）</w:t>
            </w:r>
          </w:p>
        </w:tc>
        <w:tc>
          <w:tcPr>
            <w:tcW w:w="1332" w:type="dxa"/>
            <w:noWrap w:val="0"/>
            <w:vAlign w:val="center"/>
          </w:tcPr>
          <w:p w14:paraId="0ED781AA">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2F32DB3C">
            <w:pPr>
              <w:pStyle w:val="77"/>
              <w:bidi w:val="0"/>
              <w:rPr>
                <w:rFonts w:hint="default"/>
                <w:color w:val="auto"/>
                <w:lang w:val="en-US" w:eastAsia="zh-CN"/>
              </w:rPr>
            </w:pPr>
            <w:r>
              <w:rPr>
                <w:rFonts w:hint="eastAsia"/>
                <w:color w:val="auto"/>
                <w:lang w:val="en-US" w:eastAsia="zh-CN"/>
              </w:rPr>
              <w:t>/</w:t>
            </w:r>
          </w:p>
        </w:tc>
        <w:tc>
          <w:tcPr>
            <w:tcW w:w="1701" w:type="dxa"/>
            <w:noWrap w:val="0"/>
            <w:vAlign w:val="center"/>
          </w:tcPr>
          <w:p w14:paraId="332D5BD5">
            <w:pPr>
              <w:pStyle w:val="77"/>
              <w:bidi w:val="0"/>
              <w:rPr>
                <w:rFonts w:hint="default"/>
                <w:color w:val="auto"/>
                <w:lang w:val="en-US" w:eastAsia="zh-CN"/>
              </w:rPr>
            </w:pPr>
            <w:r>
              <w:rPr>
                <w:rFonts w:hint="eastAsia"/>
                <w:color w:val="auto"/>
                <w:lang w:val="en-US" w:eastAsia="zh-CN"/>
              </w:rPr>
              <w:t>/</w:t>
            </w:r>
          </w:p>
        </w:tc>
        <w:tc>
          <w:tcPr>
            <w:tcW w:w="1559" w:type="dxa"/>
            <w:shd w:val="clear" w:color="auto" w:fill="auto"/>
            <w:noWrap w:val="0"/>
            <w:vAlign w:val="center"/>
          </w:tcPr>
          <w:p w14:paraId="655868D0">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0.018</w:t>
            </w:r>
          </w:p>
        </w:tc>
        <w:tc>
          <w:tcPr>
            <w:tcW w:w="1761" w:type="dxa"/>
            <w:noWrap w:val="0"/>
            <w:vAlign w:val="center"/>
          </w:tcPr>
          <w:p w14:paraId="05BA9F7E">
            <w:pPr>
              <w:pStyle w:val="77"/>
              <w:bidi w:val="0"/>
              <w:rPr>
                <w:rFonts w:hint="default"/>
                <w:color w:val="auto"/>
                <w:lang w:val="en-US" w:eastAsia="zh-CN"/>
              </w:rPr>
            </w:pPr>
            <w:r>
              <w:rPr>
                <w:rFonts w:hint="eastAsia"/>
                <w:color w:val="auto"/>
                <w:lang w:val="en-US" w:eastAsia="zh-CN"/>
              </w:rPr>
              <w:t>/</w:t>
            </w:r>
          </w:p>
        </w:tc>
        <w:tc>
          <w:tcPr>
            <w:tcW w:w="1959" w:type="dxa"/>
            <w:shd w:val="clear" w:color="auto" w:fill="auto"/>
            <w:noWrap w:val="0"/>
            <w:vAlign w:val="center"/>
          </w:tcPr>
          <w:p w14:paraId="3162F7AD">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0.018</w:t>
            </w:r>
          </w:p>
        </w:tc>
        <w:tc>
          <w:tcPr>
            <w:tcW w:w="1122" w:type="dxa"/>
            <w:shd w:val="clear" w:color="auto" w:fill="auto"/>
            <w:noWrap w:val="0"/>
            <w:vAlign w:val="center"/>
          </w:tcPr>
          <w:p w14:paraId="7EC39E08">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+0.018</w:t>
            </w:r>
          </w:p>
        </w:tc>
      </w:tr>
      <w:tr w14:paraId="65E94A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3DF68B2A">
            <w:pPr>
              <w:pStyle w:val="77"/>
              <w:bidi w:val="0"/>
              <w:rPr>
                <w:color w:val="auto"/>
              </w:rPr>
            </w:pPr>
          </w:p>
        </w:tc>
        <w:tc>
          <w:tcPr>
            <w:tcW w:w="2145" w:type="dxa"/>
            <w:noWrap w:val="0"/>
            <w:vAlign w:val="center"/>
          </w:tcPr>
          <w:p w14:paraId="61C9250B">
            <w:pPr>
              <w:pStyle w:val="77"/>
              <w:bidi w:val="0"/>
              <w:rPr>
                <w:rFonts w:hint="default"/>
                <w:color w:val="auto"/>
                <w:lang w:val="en-US" w:eastAsia="zh-CN"/>
              </w:rPr>
            </w:pPr>
            <w:r>
              <w:rPr>
                <w:rFonts w:hint="eastAsia"/>
                <w:color w:val="auto"/>
                <w:lang w:val="en-US" w:eastAsia="zh-CN"/>
              </w:rPr>
              <w:t>收集粉尘</w:t>
            </w:r>
          </w:p>
        </w:tc>
        <w:tc>
          <w:tcPr>
            <w:tcW w:w="1332" w:type="dxa"/>
            <w:shd w:val="clear" w:color="auto" w:fill="auto"/>
            <w:noWrap w:val="0"/>
            <w:vAlign w:val="center"/>
          </w:tcPr>
          <w:p w14:paraId="76C98485">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w:t>
            </w:r>
          </w:p>
        </w:tc>
        <w:tc>
          <w:tcPr>
            <w:tcW w:w="1276" w:type="dxa"/>
            <w:shd w:val="clear" w:color="auto" w:fill="auto"/>
            <w:noWrap w:val="0"/>
            <w:vAlign w:val="center"/>
          </w:tcPr>
          <w:p w14:paraId="4E02D031">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w:t>
            </w:r>
          </w:p>
        </w:tc>
        <w:tc>
          <w:tcPr>
            <w:tcW w:w="1701" w:type="dxa"/>
            <w:shd w:val="clear" w:color="auto" w:fill="auto"/>
            <w:noWrap w:val="0"/>
            <w:vAlign w:val="center"/>
          </w:tcPr>
          <w:p w14:paraId="560B5866">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w:t>
            </w:r>
          </w:p>
        </w:tc>
        <w:tc>
          <w:tcPr>
            <w:tcW w:w="1559" w:type="dxa"/>
            <w:shd w:val="clear" w:color="auto" w:fill="auto"/>
            <w:noWrap w:val="0"/>
            <w:vAlign w:val="center"/>
          </w:tcPr>
          <w:p w14:paraId="374629D6">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0.000048</w:t>
            </w:r>
          </w:p>
        </w:tc>
        <w:tc>
          <w:tcPr>
            <w:tcW w:w="1761" w:type="dxa"/>
            <w:shd w:val="clear" w:color="auto" w:fill="auto"/>
            <w:noWrap w:val="0"/>
            <w:vAlign w:val="center"/>
          </w:tcPr>
          <w:p w14:paraId="10B0714A">
            <w:pPr>
              <w:pStyle w:val="77"/>
              <w:bidi w:val="0"/>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w:t>
            </w:r>
          </w:p>
        </w:tc>
        <w:tc>
          <w:tcPr>
            <w:tcW w:w="1959" w:type="dxa"/>
            <w:shd w:val="clear" w:color="auto" w:fill="auto"/>
            <w:noWrap w:val="0"/>
            <w:vAlign w:val="center"/>
          </w:tcPr>
          <w:p w14:paraId="3400C546">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0.000048</w:t>
            </w:r>
          </w:p>
        </w:tc>
        <w:tc>
          <w:tcPr>
            <w:tcW w:w="1122" w:type="dxa"/>
            <w:shd w:val="clear" w:color="auto" w:fill="auto"/>
            <w:noWrap w:val="0"/>
            <w:vAlign w:val="center"/>
          </w:tcPr>
          <w:p w14:paraId="13F0F646">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+0.000048</w:t>
            </w:r>
          </w:p>
        </w:tc>
      </w:tr>
      <w:tr w14:paraId="73450C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restart"/>
            <w:noWrap w:val="0"/>
            <w:vAlign w:val="center"/>
          </w:tcPr>
          <w:p w14:paraId="5DE319EA">
            <w:pPr>
              <w:pStyle w:val="77"/>
              <w:bidi w:val="0"/>
              <w:rPr>
                <w:color w:val="auto"/>
              </w:rPr>
            </w:pPr>
            <w:r>
              <w:rPr>
                <w:color w:val="auto"/>
              </w:rPr>
              <w:t>危险废物</w:t>
            </w:r>
          </w:p>
        </w:tc>
        <w:tc>
          <w:tcPr>
            <w:tcW w:w="2145" w:type="dxa"/>
            <w:noWrap w:val="0"/>
            <w:vAlign w:val="center"/>
          </w:tcPr>
          <w:p w14:paraId="22EB6F7B">
            <w:pPr>
              <w:pStyle w:val="77"/>
              <w:bidi w:val="0"/>
              <w:rPr>
                <w:color w:val="auto"/>
                <w:lang w:val="en-US" w:eastAsia="zh-CN"/>
              </w:rPr>
            </w:pPr>
            <w:r>
              <w:rPr>
                <w:rFonts w:hint="eastAsia"/>
                <w:color w:val="auto"/>
                <w:lang w:val="en-US" w:eastAsia="zh-CN"/>
              </w:rPr>
              <w:t>废活性炭（t/a）</w:t>
            </w:r>
          </w:p>
        </w:tc>
        <w:tc>
          <w:tcPr>
            <w:tcW w:w="1332" w:type="dxa"/>
            <w:noWrap w:val="0"/>
            <w:vAlign w:val="center"/>
          </w:tcPr>
          <w:p w14:paraId="701C19CF">
            <w:pPr>
              <w:pStyle w:val="77"/>
              <w:bidi w:val="0"/>
              <w:rPr>
                <w:rFonts w:hint="eastAsia"/>
                <w:color w:val="auto"/>
                <w:lang w:eastAsia="zh-CN"/>
              </w:rPr>
            </w:pPr>
            <w:r>
              <w:rPr>
                <w:rFonts w:hint="eastAsia"/>
                <w:color w:val="auto"/>
                <w:lang w:val="en-US" w:eastAsia="zh-CN"/>
              </w:rPr>
              <w:t>/</w:t>
            </w:r>
          </w:p>
        </w:tc>
        <w:tc>
          <w:tcPr>
            <w:tcW w:w="1276" w:type="dxa"/>
            <w:noWrap w:val="0"/>
            <w:vAlign w:val="center"/>
          </w:tcPr>
          <w:p w14:paraId="14AB3B43">
            <w:pPr>
              <w:pStyle w:val="77"/>
              <w:bidi w:val="0"/>
              <w:rPr>
                <w:color w:val="auto"/>
              </w:rPr>
            </w:pPr>
            <w:r>
              <w:rPr>
                <w:rFonts w:hint="eastAsia"/>
                <w:color w:val="auto"/>
                <w:lang w:val="en-US" w:eastAsia="zh-CN"/>
              </w:rPr>
              <w:t>/</w:t>
            </w:r>
          </w:p>
        </w:tc>
        <w:tc>
          <w:tcPr>
            <w:tcW w:w="1701" w:type="dxa"/>
            <w:noWrap w:val="0"/>
            <w:vAlign w:val="center"/>
          </w:tcPr>
          <w:p w14:paraId="4E4F8D4D">
            <w:pPr>
              <w:pStyle w:val="77"/>
              <w:bidi w:val="0"/>
              <w:rPr>
                <w:rFonts w:hint="eastAsia"/>
                <w:color w:val="auto"/>
                <w:lang w:eastAsia="zh-CN"/>
              </w:rPr>
            </w:pPr>
            <w:r>
              <w:rPr>
                <w:rFonts w:hint="eastAsia"/>
                <w:color w:val="auto"/>
                <w:lang w:val="en-US" w:eastAsia="zh-CN"/>
              </w:rPr>
              <w:t>/</w:t>
            </w:r>
          </w:p>
        </w:tc>
        <w:tc>
          <w:tcPr>
            <w:tcW w:w="1559" w:type="dxa"/>
            <w:shd w:val="clear" w:color="auto" w:fill="auto"/>
            <w:noWrap w:val="0"/>
            <w:vAlign w:val="center"/>
          </w:tcPr>
          <w:p w14:paraId="4F579546">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0.2962</w:t>
            </w:r>
          </w:p>
        </w:tc>
        <w:tc>
          <w:tcPr>
            <w:tcW w:w="1761" w:type="dxa"/>
            <w:noWrap w:val="0"/>
            <w:vAlign w:val="center"/>
          </w:tcPr>
          <w:p w14:paraId="7D0DB365">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6E00E9E0">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2.7967</w:t>
            </w:r>
          </w:p>
        </w:tc>
        <w:tc>
          <w:tcPr>
            <w:tcW w:w="1122" w:type="dxa"/>
            <w:shd w:val="clear" w:color="auto" w:fill="auto"/>
            <w:noWrap w:val="0"/>
            <w:vAlign w:val="center"/>
          </w:tcPr>
          <w:p w14:paraId="01D6F24A">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+2.7967</w:t>
            </w:r>
          </w:p>
        </w:tc>
      </w:tr>
      <w:tr w14:paraId="3221D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38C021F0">
            <w:pPr>
              <w:pStyle w:val="77"/>
              <w:bidi w:val="0"/>
              <w:rPr>
                <w:color w:val="auto"/>
              </w:rPr>
            </w:pPr>
          </w:p>
        </w:tc>
        <w:tc>
          <w:tcPr>
            <w:tcW w:w="2145" w:type="dxa"/>
            <w:noWrap w:val="0"/>
            <w:vAlign w:val="center"/>
          </w:tcPr>
          <w:p w14:paraId="08C996F0">
            <w:pPr>
              <w:pStyle w:val="54"/>
              <w:bidi w:val="0"/>
              <w:rPr>
                <w:rFonts w:hint="eastAsia"/>
                <w:color w:val="auto"/>
                <w:lang w:val="en-US" w:eastAsia="zh-CN"/>
              </w:rPr>
            </w:pPr>
            <w:r>
              <w:rPr>
                <w:rFonts w:hint="eastAsia"/>
                <w:color w:val="auto"/>
                <w:lang w:val="en-US" w:eastAsia="zh-CN"/>
              </w:rPr>
              <w:t>废机油（t/a）</w:t>
            </w:r>
          </w:p>
        </w:tc>
        <w:tc>
          <w:tcPr>
            <w:tcW w:w="1332" w:type="dxa"/>
            <w:noWrap w:val="0"/>
            <w:vAlign w:val="center"/>
          </w:tcPr>
          <w:p w14:paraId="7B198C5A">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6BAD7C13">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613EA760">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79AEA46C">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0.12</w:t>
            </w:r>
          </w:p>
        </w:tc>
        <w:tc>
          <w:tcPr>
            <w:tcW w:w="1761" w:type="dxa"/>
            <w:noWrap w:val="0"/>
            <w:vAlign w:val="center"/>
          </w:tcPr>
          <w:p w14:paraId="19D0F543">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4D5726CF">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0.12</w:t>
            </w:r>
          </w:p>
        </w:tc>
        <w:tc>
          <w:tcPr>
            <w:tcW w:w="1122" w:type="dxa"/>
            <w:shd w:val="clear" w:color="auto" w:fill="auto"/>
            <w:noWrap w:val="0"/>
            <w:vAlign w:val="center"/>
          </w:tcPr>
          <w:p w14:paraId="39D2CF15">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+0.12</w:t>
            </w:r>
          </w:p>
        </w:tc>
      </w:tr>
      <w:tr w14:paraId="191FDF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28A1AA50">
            <w:pPr>
              <w:pStyle w:val="77"/>
              <w:bidi w:val="0"/>
              <w:rPr>
                <w:color w:val="auto"/>
              </w:rPr>
            </w:pPr>
          </w:p>
        </w:tc>
        <w:tc>
          <w:tcPr>
            <w:tcW w:w="2145" w:type="dxa"/>
            <w:noWrap w:val="0"/>
            <w:vAlign w:val="center"/>
          </w:tcPr>
          <w:p w14:paraId="5B1DEEB7">
            <w:pPr>
              <w:pStyle w:val="54"/>
              <w:bidi w:val="0"/>
              <w:rPr>
                <w:rFonts w:hint="default"/>
                <w:color w:val="auto"/>
                <w:lang w:val="en-US" w:eastAsia="zh-CN"/>
              </w:rPr>
            </w:pPr>
            <w:r>
              <w:rPr>
                <w:rFonts w:hint="eastAsia"/>
                <w:color w:val="auto"/>
                <w:lang w:val="en-US" w:eastAsia="zh-CN"/>
              </w:rPr>
              <w:t>除油废液</w:t>
            </w:r>
          </w:p>
        </w:tc>
        <w:tc>
          <w:tcPr>
            <w:tcW w:w="1332" w:type="dxa"/>
            <w:noWrap w:val="0"/>
            <w:vAlign w:val="center"/>
          </w:tcPr>
          <w:p w14:paraId="026938AD">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2332F7B5">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27F56A4C">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00458025">
            <w:pPr>
              <w:pStyle w:val="77"/>
              <w:bidi w:val="0"/>
              <w:rPr>
                <w:rFonts w:hint="default"/>
                <w:color w:val="auto"/>
                <w:lang w:val="en-US" w:eastAsia="zh-CN"/>
              </w:rPr>
            </w:pPr>
            <w:r>
              <w:rPr>
                <w:rFonts w:hint="eastAsia"/>
                <w:color w:val="auto"/>
                <w:lang w:val="en-US" w:eastAsia="zh-CN"/>
              </w:rPr>
              <w:t>0.48</w:t>
            </w:r>
          </w:p>
        </w:tc>
        <w:tc>
          <w:tcPr>
            <w:tcW w:w="1761" w:type="dxa"/>
            <w:noWrap w:val="0"/>
            <w:vAlign w:val="center"/>
          </w:tcPr>
          <w:p w14:paraId="1DAC5078">
            <w:pPr>
              <w:pStyle w:val="77"/>
              <w:bidi w:val="0"/>
              <w:rPr>
                <w:rFonts w:hint="eastAsia"/>
                <w:color w:val="auto"/>
                <w:lang w:val="en-US" w:eastAsia="zh-CN"/>
              </w:rPr>
            </w:pPr>
            <w:r>
              <w:rPr>
                <w:rFonts w:hint="eastAsia"/>
                <w:color w:val="auto"/>
                <w:lang w:val="en-US" w:eastAsia="zh-CN"/>
              </w:rPr>
              <w:t>/</w:t>
            </w:r>
          </w:p>
        </w:tc>
        <w:tc>
          <w:tcPr>
            <w:tcW w:w="1959" w:type="dxa"/>
            <w:shd w:val="clear" w:color="auto" w:fill="auto"/>
            <w:noWrap w:val="0"/>
            <w:vAlign w:val="center"/>
          </w:tcPr>
          <w:p w14:paraId="5C0E383B">
            <w:pPr>
              <w:pStyle w:val="77"/>
              <w:bidi w:val="0"/>
              <w:rPr>
                <w:rFonts w:hint="eastAsia"/>
                <w:color w:val="auto"/>
                <w:lang w:val="en-US" w:eastAsia="zh-CN"/>
              </w:rPr>
            </w:pPr>
            <w:r>
              <w:rPr>
                <w:rFonts w:hint="eastAsia"/>
                <w:color w:val="auto"/>
                <w:lang w:val="en-US" w:eastAsia="zh-CN"/>
              </w:rPr>
              <w:t>0.48</w:t>
            </w:r>
          </w:p>
        </w:tc>
        <w:tc>
          <w:tcPr>
            <w:tcW w:w="1122" w:type="dxa"/>
            <w:shd w:val="clear" w:color="auto" w:fill="auto"/>
            <w:noWrap w:val="0"/>
            <w:vAlign w:val="center"/>
          </w:tcPr>
          <w:p w14:paraId="0E2269D9">
            <w:pPr>
              <w:pStyle w:val="77"/>
              <w:bidi w:val="0"/>
              <w:rPr>
                <w:rFonts w:hint="eastAsia"/>
                <w:color w:val="auto"/>
                <w:lang w:val="en-US" w:eastAsia="zh-CN"/>
              </w:rPr>
            </w:pPr>
            <w:r>
              <w:rPr>
                <w:rFonts w:hint="eastAsia"/>
                <w:color w:val="auto"/>
                <w:lang w:val="en-US" w:eastAsia="zh-CN"/>
              </w:rPr>
              <w:t>+0.48</w:t>
            </w:r>
          </w:p>
        </w:tc>
      </w:tr>
      <w:tr w14:paraId="1F0611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64BB540F">
            <w:pPr>
              <w:pStyle w:val="77"/>
              <w:bidi w:val="0"/>
              <w:rPr>
                <w:color w:val="auto"/>
              </w:rPr>
            </w:pPr>
          </w:p>
        </w:tc>
        <w:tc>
          <w:tcPr>
            <w:tcW w:w="2145" w:type="dxa"/>
            <w:noWrap w:val="0"/>
            <w:vAlign w:val="center"/>
          </w:tcPr>
          <w:p w14:paraId="7A1B651F">
            <w:pPr>
              <w:pStyle w:val="54"/>
              <w:bidi w:val="0"/>
              <w:rPr>
                <w:rFonts w:hint="default"/>
                <w:color w:val="auto"/>
                <w:lang w:val="en-US" w:eastAsia="zh-CN"/>
              </w:rPr>
            </w:pPr>
            <w:r>
              <w:rPr>
                <w:rFonts w:hint="eastAsia"/>
                <w:color w:val="auto"/>
                <w:lang w:val="en-US" w:eastAsia="zh-CN"/>
              </w:rPr>
              <w:t>钝化废液</w:t>
            </w:r>
          </w:p>
        </w:tc>
        <w:tc>
          <w:tcPr>
            <w:tcW w:w="1332" w:type="dxa"/>
            <w:noWrap w:val="0"/>
            <w:vAlign w:val="center"/>
          </w:tcPr>
          <w:p w14:paraId="5BDBB288">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5799E812">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79A2BFF7">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65A73534">
            <w:pPr>
              <w:pStyle w:val="77"/>
              <w:bidi w:val="0"/>
              <w:rPr>
                <w:rFonts w:hint="default"/>
                <w:color w:val="auto"/>
                <w:lang w:val="en-US" w:eastAsia="zh-CN"/>
              </w:rPr>
            </w:pPr>
            <w:r>
              <w:rPr>
                <w:rFonts w:hint="eastAsia"/>
                <w:color w:val="auto"/>
                <w:lang w:val="en-US" w:eastAsia="zh-CN"/>
              </w:rPr>
              <w:t>0.48</w:t>
            </w:r>
          </w:p>
        </w:tc>
        <w:tc>
          <w:tcPr>
            <w:tcW w:w="1761" w:type="dxa"/>
            <w:noWrap w:val="0"/>
            <w:vAlign w:val="center"/>
          </w:tcPr>
          <w:p w14:paraId="44694901">
            <w:pPr>
              <w:pStyle w:val="77"/>
              <w:bidi w:val="0"/>
              <w:rPr>
                <w:rFonts w:hint="eastAsia"/>
                <w:color w:val="auto"/>
                <w:lang w:val="en-US" w:eastAsia="zh-CN"/>
              </w:rPr>
            </w:pPr>
            <w:r>
              <w:rPr>
                <w:rFonts w:hint="eastAsia"/>
                <w:color w:val="auto"/>
                <w:lang w:val="en-US" w:eastAsia="zh-CN"/>
              </w:rPr>
              <w:t>/</w:t>
            </w:r>
          </w:p>
        </w:tc>
        <w:tc>
          <w:tcPr>
            <w:tcW w:w="1959" w:type="dxa"/>
            <w:shd w:val="clear" w:color="auto" w:fill="auto"/>
            <w:noWrap w:val="0"/>
            <w:vAlign w:val="center"/>
          </w:tcPr>
          <w:p w14:paraId="4D90D8A3">
            <w:pPr>
              <w:pStyle w:val="77"/>
              <w:bidi w:val="0"/>
              <w:rPr>
                <w:rFonts w:hint="eastAsia"/>
                <w:color w:val="auto"/>
                <w:lang w:val="en-US" w:eastAsia="zh-CN"/>
              </w:rPr>
            </w:pPr>
            <w:r>
              <w:rPr>
                <w:rFonts w:hint="eastAsia"/>
                <w:color w:val="auto"/>
                <w:lang w:val="en-US" w:eastAsia="zh-CN"/>
              </w:rPr>
              <w:t>0.48</w:t>
            </w:r>
          </w:p>
        </w:tc>
        <w:tc>
          <w:tcPr>
            <w:tcW w:w="1122" w:type="dxa"/>
            <w:shd w:val="clear" w:color="auto" w:fill="auto"/>
            <w:noWrap w:val="0"/>
            <w:vAlign w:val="center"/>
          </w:tcPr>
          <w:p w14:paraId="3F2A6925">
            <w:pPr>
              <w:pStyle w:val="77"/>
              <w:bidi w:val="0"/>
              <w:rPr>
                <w:rFonts w:hint="eastAsia"/>
                <w:color w:val="auto"/>
                <w:lang w:val="en-US" w:eastAsia="zh-CN"/>
              </w:rPr>
            </w:pPr>
            <w:r>
              <w:rPr>
                <w:rFonts w:hint="eastAsia"/>
                <w:color w:val="auto"/>
                <w:lang w:val="en-US" w:eastAsia="zh-CN"/>
              </w:rPr>
              <w:t>+0.48</w:t>
            </w:r>
          </w:p>
        </w:tc>
      </w:tr>
      <w:tr w14:paraId="387AB2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1030EC28">
            <w:pPr>
              <w:pStyle w:val="77"/>
              <w:bidi w:val="0"/>
              <w:rPr>
                <w:color w:val="auto"/>
              </w:rPr>
            </w:pPr>
          </w:p>
        </w:tc>
        <w:tc>
          <w:tcPr>
            <w:tcW w:w="2145" w:type="dxa"/>
            <w:noWrap w:val="0"/>
            <w:vAlign w:val="center"/>
          </w:tcPr>
          <w:p w14:paraId="77F65195">
            <w:pPr>
              <w:pStyle w:val="54"/>
              <w:bidi w:val="0"/>
              <w:rPr>
                <w:rFonts w:hint="default"/>
                <w:color w:val="auto"/>
                <w:lang w:val="en-US" w:eastAsia="zh-CN"/>
              </w:rPr>
            </w:pPr>
            <w:r>
              <w:rPr>
                <w:rFonts w:hint="eastAsia"/>
                <w:color w:val="auto"/>
                <w:lang w:val="en-US" w:eastAsia="zh-CN"/>
              </w:rPr>
              <w:t>废水处理污泥</w:t>
            </w:r>
          </w:p>
        </w:tc>
        <w:tc>
          <w:tcPr>
            <w:tcW w:w="1332" w:type="dxa"/>
            <w:noWrap w:val="0"/>
            <w:vAlign w:val="center"/>
          </w:tcPr>
          <w:p w14:paraId="019B7CA0">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3039C756">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343629BA">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035552A5">
            <w:pPr>
              <w:pStyle w:val="77"/>
              <w:bidi w:val="0"/>
              <w:rPr>
                <w:rFonts w:hint="default"/>
                <w:color w:val="auto"/>
                <w:lang w:val="en-US" w:eastAsia="zh-CN"/>
              </w:rPr>
            </w:pPr>
            <w:r>
              <w:rPr>
                <w:rFonts w:hint="eastAsia"/>
                <w:color w:val="auto"/>
                <w:lang w:val="en-US" w:eastAsia="zh-CN"/>
              </w:rPr>
              <w:t>0.236</w:t>
            </w:r>
          </w:p>
        </w:tc>
        <w:tc>
          <w:tcPr>
            <w:tcW w:w="1761" w:type="dxa"/>
            <w:noWrap w:val="0"/>
            <w:vAlign w:val="center"/>
          </w:tcPr>
          <w:p w14:paraId="5ED4B9FC">
            <w:pPr>
              <w:pStyle w:val="77"/>
              <w:bidi w:val="0"/>
              <w:rPr>
                <w:rFonts w:hint="eastAsia"/>
                <w:color w:val="auto"/>
                <w:lang w:val="en-US" w:eastAsia="zh-CN"/>
              </w:rPr>
            </w:pPr>
            <w:r>
              <w:rPr>
                <w:rFonts w:hint="eastAsia"/>
                <w:color w:val="auto"/>
                <w:lang w:val="en-US" w:eastAsia="zh-CN"/>
              </w:rPr>
              <w:t>/</w:t>
            </w:r>
          </w:p>
        </w:tc>
        <w:tc>
          <w:tcPr>
            <w:tcW w:w="1959" w:type="dxa"/>
            <w:shd w:val="clear" w:color="auto" w:fill="auto"/>
            <w:noWrap w:val="0"/>
            <w:vAlign w:val="center"/>
          </w:tcPr>
          <w:p w14:paraId="2C5D8F69">
            <w:pPr>
              <w:pStyle w:val="77"/>
              <w:bidi w:val="0"/>
              <w:rPr>
                <w:rFonts w:hint="eastAsia"/>
                <w:color w:val="auto"/>
                <w:lang w:val="en-US" w:eastAsia="zh-CN"/>
              </w:rPr>
            </w:pPr>
            <w:r>
              <w:rPr>
                <w:rFonts w:hint="eastAsia"/>
                <w:color w:val="auto"/>
                <w:lang w:val="en-US" w:eastAsia="zh-CN"/>
              </w:rPr>
              <w:t>0.236</w:t>
            </w:r>
          </w:p>
        </w:tc>
        <w:tc>
          <w:tcPr>
            <w:tcW w:w="1122" w:type="dxa"/>
            <w:shd w:val="clear" w:color="auto" w:fill="auto"/>
            <w:noWrap w:val="0"/>
            <w:vAlign w:val="center"/>
          </w:tcPr>
          <w:p w14:paraId="39C1D3B4">
            <w:pPr>
              <w:pStyle w:val="77"/>
              <w:bidi w:val="0"/>
              <w:rPr>
                <w:rFonts w:hint="eastAsia"/>
                <w:color w:val="auto"/>
                <w:lang w:val="en-US" w:eastAsia="zh-CN"/>
              </w:rPr>
            </w:pPr>
            <w:r>
              <w:rPr>
                <w:rFonts w:hint="eastAsia"/>
                <w:color w:val="auto"/>
                <w:lang w:val="en-US" w:eastAsia="zh-CN"/>
              </w:rPr>
              <w:t>+0.236</w:t>
            </w:r>
          </w:p>
        </w:tc>
      </w:tr>
      <w:tr w14:paraId="79B41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3066AB17">
            <w:pPr>
              <w:pStyle w:val="77"/>
              <w:bidi w:val="0"/>
              <w:rPr>
                <w:color w:val="auto"/>
              </w:rPr>
            </w:pPr>
          </w:p>
        </w:tc>
        <w:tc>
          <w:tcPr>
            <w:tcW w:w="2145" w:type="dxa"/>
            <w:noWrap w:val="0"/>
            <w:vAlign w:val="center"/>
          </w:tcPr>
          <w:p w14:paraId="384B9B26">
            <w:pPr>
              <w:pStyle w:val="54"/>
              <w:bidi w:val="0"/>
              <w:rPr>
                <w:rFonts w:hint="default"/>
                <w:color w:val="auto"/>
                <w:lang w:val="en-US" w:eastAsia="zh-CN"/>
              </w:rPr>
            </w:pPr>
            <w:r>
              <w:rPr>
                <w:rFonts w:hint="eastAsia"/>
                <w:color w:val="auto"/>
                <w:lang w:val="en-US" w:eastAsia="zh-CN"/>
              </w:rPr>
              <w:t>槽渣</w:t>
            </w:r>
          </w:p>
        </w:tc>
        <w:tc>
          <w:tcPr>
            <w:tcW w:w="1332" w:type="dxa"/>
            <w:noWrap w:val="0"/>
            <w:vAlign w:val="center"/>
          </w:tcPr>
          <w:p w14:paraId="030FB1AB">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107499A8">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0F18DE04">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07B4D5FD">
            <w:pPr>
              <w:pStyle w:val="77"/>
              <w:bidi w:val="0"/>
              <w:rPr>
                <w:rFonts w:hint="default"/>
                <w:color w:val="auto"/>
                <w:lang w:val="en-US" w:eastAsia="zh-CN"/>
              </w:rPr>
            </w:pPr>
            <w:r>
              <w:rPr>
                <w:rFonts w:hint="eastAsia"/>
                <w:color w:val="auto"/>
                <w:lang w:val="en-US" w:eastAsia="zh-CN"/>
              </w:rPr>
              <w:t>1.6</w:t>
            </w:r>
          </w:p>
        </w:tc>
        <w:tc>
          <w:tcPr>
            <w:tcW w:w="1761" w:type="dxa"/>
            <w:noWrap w:val="0"/>
            <w:vAlign w:val="center"/>
          </w:tcPr>
          <w:p w14:paraId="0E5FA5A6">
            <w:pPr>
              <w:pStyle w:val="77"/>
              <w:bidi w:val="0"/>
              <w:rPr>
                <w:rFonts w:hint="eastAsia"/>
                <w:color w:val="auto"/>
                <w:lang w:val="en-US" w:eastAsia="zh-CN"/>
              </w:rPr>
            </w:pPr>
            <w:r>
              <w:rPr>
                <w:rFonts w:hint="eastAsia"/>
                <w:color w:val="auto"/>
                <w:lang w:val="en-US" w:eastAsia="zh-CN"/>
              </w:rPr>
              <w:t>/</w:t>
            </w:r>
          </w:p>
        </w:tc>
        <w:tc>
          <w:tcPr>
            <w:tcW w:w="1959" w:type="dxa"/>
            <w:shd w:val="clear" w:color="auto" w:fill="auto"/>
            <w:noWrap w:val="0"/>
            <w:vAlign w:val="center"/>
          </w:tcPr>
          <w:p w14:paraId="56B9C97F">
            <w:pPr>
              <w:pStyle w:val="77"/>
              <w:bidi w:val="0"/>
              <w:rPr>
                <w:rFonts w:hint="eastAsia"/>
                <w:color w:val="auto"/>
                <w:lang w:val="en-US" w:eastAsia="zh-CN"/>
              </w:rPr>
            </w:pPr>
            <w:r>
              <w:rPr>
                <w:rFonts w:hint="eastAsia"/>
                <w:color w:val="auto"/>
                <w:lang w:val="en-US" w:eastAsia="zh-CN"/>
              </w:rPr>
              <w:t>1.6</w:t>
            </w:r>
          </w:p>
        </w:tc>
        <w:tc>
          <w:tcPr>
            <w:tcW w:w="1122" w:type="dxa"/>
            <w:shd w:val="clear" w:color="auto" w:fill="auto"/>
            <w:noWrap w:val="0"/>
            <w:vAlign w:val="center"/>
          </w:tcPr>
          <w:p w14:paraId="0D8ABE7F">
            <w:pPr>
              <w:pStyle w:val="77"/>
              <w:bidi w:val="0"/>
              <w:rPr>
                <w:rFonts w:hint="eastAsia"/>
                <w:color w:val="auto"/>
                <w:lang w:val="en-US" w:eastAsia="zh-CN"/>
              </w:rPr>
            </w:pPr>
            <w:r>
              <w:rPr>
                <w:rFonts w:hint="eastAsia"/>
                <w:color w:val="auto"/>
                <w:lang w:val="en-US" w:eastAsia="zh-CN"/>
              </w:rPr>
              <w:t>+1.6</w:t>
            </w:r>
          </w:p>
        </w:tc>
      </w:tr>
      <w:tr w14:paraId="5F7644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vMerge w:val="continue"/>
            <w:noWrap w:val="0"/>
            <w:vAlign w:val="center"/>
          </w:tcPr>
          <w:p w14:paraId="5B18A456">
            <w:pPr>
              <w:pStyle w:val="77"/>
              <w:bidi w:val="0"/>
              <w:rPr>
                <w:color w:val="auto"/>
              </w:rPr>
            </w:pPr>
          </w:p>
        </w:tc>
        <w:tc>
          <w:tcPr>
            <w:tcW w:w="2145" w:type="dxa"/>
            <w:noWrap w:val="0"/>
            <w:vAlign w:val="center"/>
          </w:tcPr>
          <w:p w14:paraId="7DD424E0">
            <w:pPr>
              <w:pStyle w:val="54"/>
              <w:bidi w:val="0"/>
              <w:rPr>
                <w:rFonts w:hint="default"/>
                <w:color w:val="auto"/>
                <w:lang w:val="en-US" w:eastAsia="zh-CN"/>
              </w:rPr>
            </w:pPr>
            <w:r>
              <w:rPr>
                <w:rFonts w:hint="eastAsia"/>
                <w:color w:val="auto"/>
                <w:lang w:val="en-US" w:eastAsia="zh-CN"/>
              </w:rPr>
              <w:t>滤筒滤芯</w:t>
            </w:r>
          </w:p>
        </w:tc>
        <w:tc>
          <w:tcPr>
            <w:tcW w:w="1332" w:type="dxa"/>
            <w:noWrap w:val="0"/>
            <w:vAlign w:val="center"/>
          </w:tcPr>
          <w:p w14:paraId="1160995F">
            <w:pPr>
              <w:pStyle w:val="77"/>
              <w:bidi w:val="0"/>
              <w:rPr>
                <w:rFonts w:hint="eastAsia"/>
                <w:color w:val="auto"/>
                <w:lang w:val="en-US" w:eastAsia="zh-CN"/>
              </w:rPr>
            </w:pPr>
            <w:r>
              <w:rPr>
                <w:rFonts w:hint="eastAsia"/>
                <w:color w:val="auto"/>
                <w:lang w:val="en-US" w:eastAsia="zh-CN"/>
              </w:rPr>
              <w:t>/</w:t>
            </w:r>
          </w:p>
        </w:tc>
        <w:tc>
          <w:tcPr>
            <w:tcW w:w="1276" w:type="dxa"/>
            <w:noWrap w:val="0"/>
            <w:vAlign w:val="center"/>
          </w:tcPr>
          <w:p w14:paraId="3DDC9D75">
            <w:pPr>
              <w:pStyle w:val="77"/>
              <w:bidi w:val="0"/>
              <w:rPr>
                <w:rFonts w:hint="eastAsia"/>
                <w:color w:val="auto"/>
                <w:lang w:val="en-US" w:eastAsia="zh-CN"/>
              </w:rPr>
            </w:pPr>
            <w:r>
              <w:rPr>
                <w:rFonts w:hint="eastAsia"/>
                <w:color w:val="auto"/>
                <w:lang w:val="en-US" w:eastAsia="zh-CN"/>
              </w:rPr>
              <w:t>/</w:t>
            </w:r>
          </w:p>
        </w:tc>
        <w:tc>
          <w:tcPr>
            <w:tcW w:w="1701" w:type="dxa"/>
            <w:noWrap w:val="0"/>
            <w:vAlign w:val="center"/>
          </w:tcPr>
          <w:p w14:paraId="23F00CB4">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2B389A8E">
            <w:pPr>
              <w:pStyle w:val="77"/>
              <w:bidi w:val="0"/>
              <w:rPr>
                <w:rFonts w:hint="default"/>
                <w:color w:val="auto"/>
                <w:lang w:val="en-US" w:eastAsia="zh-CN"/>
              </w:rPr>
            </w:pPr>
            <w:r>
              <w:rPr>
                <w:rFonts w:hint="eastAsia"/>
                <w:color w:val="auto"/>
                <w:lang w:val="en-US" w:eastAsia="zh-CN"/>
              </w:rPr>
              <w:t>2.01</w:t>
            </w:r>
          </w:p>
        </w:tc>
        <w:tc>
          <w:tcPr>
            <w:tcW w:w="1761" w:type="dxa"/>
            <w:noWrap w:val="0"/>
            <w:vAlign w:val="center"/>
          </w:tcPr>
          <w:p w14:paraId="37D3B8A7">
            <w:pPr>
              <w:pStyle w:val="77"/>
              <w:bidi w:val="0"/>
              <w:rPr>
                <w:rFonts w:hint="eastAsia"/>
                <w:color w:val="auto"/>
                <w:lang w:val="en-US" w:eastAsia="zh-CN"/>
              </w:rPr>
            </w:pPr>
            <w:r>
              <w:rPr>
                <w:rFonts w:hint="eastAsia"/>
                <w:color w:val="auto"/>
                <w:lang w:val="en-US" w:eastAsia="zh-CN"/>
              </w:rPr>
              <w:t>/</w:t>
            </w:r>
          </w:p>
        </w:tc>
        <w:tc>
          <w:tcPr>
            <w:tcW w:w="1959" w:type="dxa"/>
            <w:shd w:val="clear" w:color="auto" w:fill="auto"/>
            <w:noWrap w:val="0"/>
            <w:vAlign w:val="center"/>
          </w:tcPr>
          <w:p w14:paraId="774213CE">
            <w:pPr>
              <w:pStyle w:val="77"/>
              <w:bidi w:val="0"/>
              <w:rPr>
                <w:rFonts w:hint="eastAsia"/>
                <w:color w:val="auto"/>
                <w:lang w:val="en-US" w:eastAsia="zh-CN"/>
              </w:rPr>
            </w:pPr>
            <w:r>
              <w:rPr>
                <w:rFonts w:hint="eastAsia"/>
                <w:color w:val="auto"/>
                <w:lang w:val="en-US" w:eastAsia="zh-CN"/>
              </w:rPr>
              <w:t>2.01</w:t>
            </w:r>
          </w:p>
        </w:tc>
        <w:tc>
          <w:tcPr>
            <w:tcW w:w="1122" w:type="dxa"/>
            <w:shd w:val="clear" w:color="auto" w:fill="auto"/>
            <w:noWrap w:val="0"/>
            <w:vAlign w:val="center"/>
          </w:tcPr>
          <w:p w14:paraId="379460E8">
            <w:pPr>
              <w:pStyle w:val="77"/>
              <w:bidi w:val="0"/>
              <w:rPr>
                <w:rFonts w:hint="eastAsia"/>
                <w:color w:val="auto"/>
                <w:lang w:val="en-US" w:eastAsia="zh-CN"/>
              </w:rPr>
            </w:pPr>
            <w:r>
              <w:rPr>
                <w:rFonts w:hint="eastAsia"/>
                <w:color w:val="auto"/>
                <w:lang w:val="en-US" w:eastAsia="zh-CN"/>
              </w:rPr>
              <w:t>+2.01</w:t>
            </w:r>
          </w:p>
        </w:tc>
      </w:tr>
      <w:tr w14:paraId="0876DF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29" w:type="dxa"/>
            <w:noWrap w:val="0"/>
            <w:vAlign w:val="center"/>
          </w:tcPr>
          <w:p w14:paraId="60037590">
            <w:pPr>
              <w:pStyle w:val="77"/>
              <w:bidi w:val="0"/>
              <w:rPr>
                <w:rFonts w:hint="eastAsia"/>
                <w:color w:val="auto"/>
                <w:lang w:val="en-US" w:eastAsia="zh-CN"/>
              </w:rPr>
            </w:pPr>
            <w:r>
              <w:rPr>
                <w:rFonts w:hint="eastAsia"/>
                <w:color w:val="auto"/>
                <w:lang w:val="en-US" w:eastAsia="zh-CN"/>
              </w:rPr>
              <w:t>生活垃圾</w:t>
            </w:r>
          </w:p>
        </w:tc>
        <w:tc>
          <w:tcPr>
            <w:tcW w:w="2145" w:type="dxa"/>
            <w:noWrap w:val="0"/>
            <w:vAlign w:val="center"/>
          </w:tcPr>
          <w:p w14:paraId="38B8BB9D">
            <w:pPr>
              <w:pStyle w:val="77"/>
              <w:bidi w:val="0"/>
              <w:rPr>
                <w:rFonts w:hint="eastAsia"/>
                <w:color w:val="auto"/>
                <w:lang w:val="en-US" w:eastAsia="zh-CN"/>
              </w:rPr>
            </w:pPr>
            <w:r>
              <w:rPr>
                <w:rFonts w:hint="eastAsia"/>
                <w:color w:val="auto"/>
                <w:lang w:val="en-US" w:eastAsia="zh-CN"/>
              </w:rPr>
              <w:t>生活垃圾</w:t>
            </w:r>
          </w:p>
        </w:tc>
        <w:tc>
          <w:tcPr>
            <w:tcW w:w="1332" w:type="dxa"/>
            <w:noWrap w:val="0"/>
            <w:vAlign w:val="center"/>
          </w:tcPr>
          <w:p w14:paraId="72B402E3">
            <w:pPr>
              <w:pStyle w:val="77"/>
              <w:bidi w:val="0"/>
              <w:rPr>
                <w:rFonts w:hint="default"/>
                <w:color w:val="auto"/>
                <w:lang w:val="en-US" w:eastAsia="zh-CN"/>
              </w:rPr>
            </w:pPr>
            <w:r>
              <w:rPr>
                <w:rFonts w:hint="eastAsia"/>
                <w:color w:val="auto"/>
                <w:lang w:val="en-US" w:eastAsia="zh-CN"/>
              </w:rPr>
              <w:t>/</w:t>
            </w:r>
          </w:p>
        </w:tc>
        <w:tc>
          <w:tcPr>
            <w:tcW w:w="1276" w:type="dxa"/>
            <w:noWrap w:val="0"/>
            <w:vAlign w:val="center"/>
          </w:tcPr>
          <w:p w14:paraId="3027CEEB">
            <w:pPr>
              <w:pStyle w:val="77"/>
              <w:bidi w:val="0"/>
              <w:rPr>
                <w:rFonts w:hint="eastAsia"/>
                <w:color w:val="auto"/>
              </w:rPr>
            </w:pPr>
            <w:r>
              <w:rPr>
                <w:rFonts w:hint="eastAsia"/>
                <w:color w:val="auto"/>
                <w:lang w:val="en-US" w:eastAsia="zh-CN"/>
              </w:rPr>
              <w:t>/</w:t>
            </w:r>
          </w:p>
        </w:tc>
        <w:tc>
          <w:tcPr>
            <w:tcW w:w="1701" w:type="dxa"/>
            <w:noWrap w:val="0"/>
            <w:vAlign w:val="center"/>
          </w:tcPr>
          <w:p w14:paraId="243BBAC8">
            <w:pPr>
              <w:pStyle w:val="77"/>
              <w:bidi w:val="0"/>
              <w:rPr>
                <w:rFonts w:hint="eastAsia"/>
                <w:color w:val="auto"/>
                <w:lang w:val="en-US" w:eastAsia="zh-CN"/>
              </w:rPr>
            </w:pPr>
            <w:r>
              <w:rPr>
                <w:rFonts w:hint="eastAsia"/>
                <w:color w:val="auto"/>
                <w:lang w:val="en-US" w:eastAsia="zh-CN"/>
              </w:rPr>
              <w:t>/</w:t>
            </w:r>
          </w:p>
        </w:tc>
        <w:tc>
          <w:tcPr>
            <w:tcW w:w="1559" w:type="dxa"/>
            <w:shd w:val="clear" w:color="auto" w:fill="auto"/>
            <w:noWrap w:val="0"/>
            <w:vAlign w:val="center"/>
          </w:tcPr>
          <w:p w14:paraId="5052D42B">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10.5</w:t>
            </w:r>
          </w:p>
        </w:tc>
        <w:tc>
          <w:tcPr>
            <w:tcW w:w="1761" w:type="dxa"/>
            <w:noWrap w:val="0"/>
            <w:vAlign w:val="center"/>
          </w:tcPr>
          <w:p w14:paraId="104D1B3D">
            <w:pPr>
              <w:pStyle w:val="77"/>
              <w:bidi w:val="0"/>
              <w:rPr>
                <w:rFonts w:hint="eastAsia"/>
                <w:color w:val="auto"/>
              </w:rPr>
            </w:pPr>
            <w:r>
              <w:rPr>
                <w:rFonts w:hint="eastAsia"/>
                <w:color w:val="auto"/>
                <w:lang w:val="en-US" w:eastAsia="zh-CN"/>
              </w:rPr>
              <w:t>/</w:t>
            </w:r>
          </w:p>
        </w:tc>
        <w:tc>
          <w:tcPr>
            <w:tcW w:w="1959" w:type="dxa"/>
            <w:shd w:val="clear" w:color="auto" w:fill="auto"/>
            <w:noWrap w:val="0"/>
            <w:vAlign w:val="center"/>
          </w:tcPr>
          <w:p w14:paraId="0CCE8DAD">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10.5</w:t>
            </w:r>
          </w:p>
        </w:tc>
        <w:tc>
          <w:tcPr>
            <w:tcW w:w="1122" w:type="dxa"/>
            <w:shd w:val="clear" w:color="auto" w:fill="auto"/>
            <w:noWrap w:val="0"/>
            <w:vAlign w:val="center"/>
          </w:tcPr>
          <w:p w14:paraId="6046A677">
            <w:pPr>
              <w:pStyle w:val="77"/>
              <w:bidi w:val="0"/>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+10.5</w:t>
            </w:r>
          </w:p>
        </w:tc>
      </w:tr>
    </w:tbl>
    <w:p w14:paraId="589CDF38">
      <w:pPr>
        <w:pStyle w:val="12"/>
        <w:bidi w:val="0"/>
        <w:rPr>
          <w:color w:val="auto"/>
        </w:rPr>
        <w:sectPr>
          <w:footerReference r:id="rId5" w:type="default"/>
          <w:pgSz w:w="16838" w:h="11906" w:orient="landscape"/>
          <w:pgMar w:top="1417" w:right="1417"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t>注：</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color w:val="auto"/>
        </w:rPr>
        <w:t>+</w:t>
      </w: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r>
        <w:rPr>
          <w:color w:val="auto"/>
        </w:rPr>
        <w:t>+</w:t>
      </w: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color w:val="auto"/>
        </w:rPr>
        <w:t>-</w:t>
      </w:r>
      <w:r>
        <w:rPr>
          <w:color w:val="auto"/>
        </w:rPr>
        <w:fldChar w:fldCharType="begin"/>
      </w:r>
      <w:r>
        <w:rPr>
          <w:color w:val="auto"/>
        </w:rPr>
        <w:instrText xml:space="preserve"> = 5 \* GB3 \* MERGEFORMAT </w:instrText>
      </w:r>
      <w:r>
        <w:rPr>
          <w:color w:val="auto"/>
        </w:rPr>
        <w:fldChar w:fldCharType="separate"/>
      </w:r>
      <w:r>
        <w:rPr>
          <w:color w:val="auto"/>
        </w:rPr>
        <w:t>⑤</w:t>
      </w:r>
      <w:r>
        <w:rPr>
          <w:color w:val="auto"/>
        </w:rPr>
        <w:fldChar w:fldCharType="end"/>
      </w:r>
      <w:r>
        <w:rPr>
          <w:color w:val="auto"/>
        </w:rPr>
        <w:t>；</w:t>
      </w:r>
      <w:r>
        <w:rPr>
          <w:color w:val="auto"/>
        </w:rPr>
        <w:fldChar w:fldCharType="begin"/>
      </w:r>
      <w:r>
        <w:rPr>
          <w:color w:val="auto"/>
        </w:rPr>
        <w:instrText xml:space="preserve"> = 7 \* GB3 \* MERGEFORMAT </w:instrText>
      </w:r>
      <w:r>
        <w:rPr>
          <w:color w:val="auto"/>
        </w:rPr>
        <w:fldChar w:fldCharType="separate"/>
      </w:r>
      <w:r>
        <w:rPr>
          <w:color w:val="auto"/>
        </w:rPr>
        <w:t>⑦</w:t>
      </w:r>
      <w:r>
        <w:rPr>
          <w:color w:val="auto"/>
        </w:rPr>
        <w:fldChar w:fldCharType="end"/>
      </w:r>
      <w:r>
        <w:rPr>
          <w:color w:val="auto"/>
        </w:rPr>
        <w:t>=</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p>
    <w:p w14:paraId="4E84E39D">
      <w:pPr>
        <w:bidi w:val="0"/>
        <w:rPr>
          <w:rFonts w:hint="eastAsia"/>
          <w:lang w:val="en-US" w:eastAsia="zh-CN"/>
        </w:rPr>
      </w:pPr>
    </w:p>
    <w:p w14:paraId="5992B0F5">
      <w:pPr>
        <w:rPr>
          <w:rFonts w:hint="eastAsia" w:ascii="Times New Roman" w:hAnsi="Times New Roman" w:eastAsia="宋体" w:cs="Times New Roman"/>
          <w:b/>
          <w:bCs/>
          <w:kern w:val="2"/>
          <w:sz w:val="24"/>
          <w:szCs w:val="32"/>
          <w:lang w:val="en-US" w:eastAsia="zh-CN" w:bidi="ar-SA"/>
        </w:rPr>
      </w:pPr>
      <w:r>
        <w:rPr>
          <w:rFonts w:hint="eastAsia" w:ascii="Times New Roman" w:hAnsi="Times New Roman" w:eastAsia="宋体" w:cs="Times New Roman"/>
          <w:b/>
          <w:bCs/>
          <w:kern w:val="2"/>
          <w:sz w:val="24"/>
          <w:szCs w:val="32"/>
          <w:lang w:val="en-US" w:eastAsia="zh-CN" w:bidi="ar-SA"/>
        </w:rPr>
        <w:t>附件：关于环评文件公开文本涉密删除依据和说明</w:t>
      </w:r>
    </w:p>
    <w:p w14:paraId="24D0EC42">
      <w:pPr>
        <w:bidi w:val="0"/>
        <w:rPr>
          <w:rFonts w:hint="default"/>
          <w:lang w:val="en-US" w:eastAsia="zh-CN"/>
        </w:rPr>
      </w:pPr>
      <w:r>
        <w:rPr>
          <w:rFonts w:hint="default"/>
          <w:lang w:val="en-US" w:eastAsia="zh-CN"/>
        </w:rPr>
        <w:drawing>
          <wp:inline distT="0" distB="0" distL="114300" distR="114300">
            <wp:extent cx="5757545" cy="8208645"/>
            <wp:effectExtent l="0" t="0" r="14605" b="1905"/>
            <wp:docPr id="198" name="图片 198" descr="扫描_20251120_00393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扫描_20251120_003930_05"/>
                    <pic:cNvPicPr>
                      <a:picLocks noChangeAspect="1"/>
                    </pic:cNvPicPr>
                  </pic:nvPicPr>
                  <pic:blipFill>
                    <a:blip r:embed="rId55"/>
                    <a:stretch>
                      <a:fillRect/>
                    </a:stretch>
                  </pic:blipFill>
                  <pic:spPr>
                    <a:xfrm>
                      <a:off x="0" y="0"/>
                      <a:ext cx="5757545" cy="8208645"/>
                    </a:xfrm>
                    <a:prstGeom prst="rect">
                      <a:avLst/>
                    </a:prstGeom>
                  </pic:spPr>
                </pic:pic>
              </a:graphicData>
            </a:graphic>
          </wp:inline>
        </w:drawing>
      </w:r>
    </w:p>
    <w:p w14:paraId="71C5E829">
      <w:pPr>
        <w:rPr>
          <w:rFonts w:hint="default" w:ascii="Times New Roman" w:hAnsi="Times New Roman" w:eastAsia="宋体" w:cs="Times New Roman"/>
          <w:b/>
          <w:bCs/>
          <w:kern w:val="2"/>
          <w:sz w:val="24"/>
          <w:szCs w:val="32"/>
          <w:lang w:val="en-US" w:eastAsia="zh-CN" w:bidi="ar-SA"/>
        </w:rPr>
      </w:pPr>
      <w:r>
        <w:rPr>
          <w:rFonts w:hint="default" w:ascii="Times New Roman" w:hAnsi="Times New Roman" w:eastAsia="宋体" w:cs="Times New Roman"/>
          <w:b/>
          <w:bCs/>
          <w:kern w:val="2"/>
          <w:sz w:val="24"/>
          <w:szCs w:val="32"/>
          <w:lang w:val="en-US" w:eastAsia="zh-CN" w:bidi="ar-SA"/>
        </w:rPr>
        <w:br w:type="page"/>
      </w:r>
    </w:p>
    <w:p w14:paraId="6FB01D9F">
      <w:pPr>
        <w:bidi w:val="0"/>
        <w:rPr>
          <w:rFonts w:hint="default"/>
          <w:lang w:val="en-US" w:eastAsia="zh-CN"/>
        </w:rPr>
      </w:pPr>
      <w:r>
        <w:rPr>
          <w:rFonts w:hint="default"/>
          <w:lang w:val="en-US" w:eastAsia="zh-CN"/>
        </w:rPr>
        <w:drawing>
          <wp:inline distT="0" distB="0" distL="114300" distR="114300">
            <wp:extent cx="5757545" cy="8208645"/>
            <wp:effectExtent l="0" t="0" r="14605" b="1905"/>
            <wp:docPr id="199" name="图片 199" descr="扫描_20251120_00393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扫描_20251120_003930_06"/>
                    <pic:cNvPicPr>
                      <a:picLocks noChangeAspect="1"/>
                    </pic:cNvPicPr>
                  </pic:nvPicPr>
                  <pic:blipFill>
                    <a:blip r:embed="rId56"/>
                    <a:stretch>
                      <a:fillRect/>
                    </a:stretch>
                  </pic:blipFill>
                  <pic:spPr>
                    <a:xfrm>
                      <a:off x="0" y="0"/>
                      <a:ext cx="5757545" cy="8208645"/>
                    </a:xfrm>
                    <a:prstGeom prst="rect">
                      <a:avLst/>
                    </a:prstGeom>
                  </pic:spPr>
                </pic:pic>
              </a:graphicData>
            </a:graphic>
          </wp:inline>
        </w:drawing>
      </w:r>
    </w:p>
    <w:p w14:paraId="275DF05F">
      <w:pPr>
        <w:rPr>
          <w:rFonts w:hint="default" w:ascii="Times New Roman" w:hAnsi="Times New Roman" w:eastAsia="宋体" w:cs="Times New Roman"/>
          <w:b/>
          <w:bCs/>
          <w:kern w:val="2"/>
          <w:sz w:val="24"/>
          <w:szCs w:val="32"/>
          <w:lang w:val="en-US" w:eastAsia="zh-CN" w:bidi="ar-SA"/>
        </w:rPr>
      </w:pPr>
    </w:p>
    <w:sectPr>
      <w:footerReference r:id="rId6" w:type="default"/>
      <w:pgSz w:w="11906" w:h="16838"/>
      <w:pgMar w:top="1587" w:right="1417" w:bottom="1587" w:left="1417" w:header="851" w:footer="992" w:gutter="0"/>
      <w:pgBorders>
        <w:top w:val="none" w:sz="0" w:space="0"/>
        <w:left w:val="none" w:sz="0" w:space="0"/>
        <w:bottom w:val="none" w:sz="0" w:space="0"/>
        <w:right w:val="none" w:sz="0" w:space="0"/>
      </w:pgBorders>
      <w:pgNumType w:fmt="decimal"/>
      <w:cols w:space="0" w:num="1"/>
      <w:rtlGutter w:val="0"/>
      <w:docGrid w:type="lines" w:linePitch="32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方正小标宋_GBK">
    <w:altName w:val="微软雅黑"/>
    <w:panose1 w:val="02000000000000000000"/>
    <w:charset w:val="86"/>
    <w:family w:val="script"/>
    <w:pitch w:val="default"/>
    <w:sig w:usb0="00000000" w:usb1="00000000" w:usb2="00082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7D79C0">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2FBBC">
    <w:pPr>
      <w:pStyle w:val="17"/>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666FC9">
                          <w:pPr>
                            <w:pStyle w:val="1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f0x7BNAIAAGUEAAAOAAAAAAAAAAEAIAAAAB8BAABkcnMvZTJvRG9jLnhtbFBL&#10;BQYAAAAABgAGAFkBAADFBQAAAAA=&#10;">
              <v:fill on="f" focussize="0,0"/>
              <v:stroke on="f" weight="0.5pt"/>
              <v:imagedata o:title=""/>
              <o:lock v:ext="edit" aspectratio="f"/>
              <v:textbox inset="0mm,0mm,0mm,0mm" style="mso-fit-shape-to-text:t;">
                <w:txbxContent>
                  <w:p w14:paraId="00666FC9">
                    <w:pPr>
                      <w:pStyle w:val="1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3E6530">
    <w:pPr>
      <w:pStyle w:val="17"/>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422BE">
                          <w:pPr>
                            <w:pStyle w:val="17"/>
                          </w:pPr>
                          <w:r>
                            <w:fldChar w:fldCharType="begin"/>
                          </w:r>
                          <w:r>
                            <w:instrText xml:space="preserve"> PAGE  \* MERGEFORMAT </w:instrText>
                          </w:r>
                          <w:r>
                            <w:fldChar w:fldCharType="separate"/>
                          </w:r>
                          <w:r>
                            <w:t>LXXXVII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RzL80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jEcy/NAIAAGUEAAAOAAAAAAAAAAEAIAAAAB8BAABkcnMvZTJvRG9jLnhtbFBL&#10;BQYAAAAABgAGAFkBAADFBQAAAAA=&#10;">
              <v:fill on="f" focussize="0,0"/>
              <v:stroke on="f" weight="0.5pt"/>
              <v:imagedata o:title=""/>
              <o:lock v:ext="edit" aspectratio="f"/>
              <v:textbox inset="0mm,0mm,0mm,0mm" style="mso-fit-shape-to-text:t;">
                <w:txbxContent>
                  <w:p w14:paraId="330422BE">
                    <w:pPr>
                      <w:pStyle w:val="17"/>
                    </w:pPr>
                    <w:r>
                      <w:fldChar w:fldCharType="begin"/>
                    </w:r>
                    <w:r>
                      <w:instrText xml:space="preserve"> PAGE  \* MERGEFORMAT </w:instrText>
                    </w:r>
                    <w:r>
                      <w:fldChar w:fldCharType="separate"/>
                    </w:r>
                    <w:r>
                      <w:t>LXXXVII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96088">
    <w:pPr>
      <w:pStyle w:val="17"/>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990D46">
                          <w:pPr>
                            <w:pStyle w:val="17"/>
                          </w:pPr>
                          <w:r>
                            <w:fldChar w:fldCharType="begin"/>
                          </w:r>
                          <w:r>
                            <w:instrText xml:space="preserve"> PAGE  \* MERGEFORMAT </w:instrText>
                          </w:r>
                          <w:r>
                            <w:fldChar w:fldCharType="separate"/>
                          </w:r>
                          <w:r>
                            <w:t>CI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iun0zAgAAZ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Viun0zAgAAZQQAAA4AAAAAAAAAAQAgAAAAHwEAAGRycy9lMm9Eb2MueG1sUEsF&#10;BgAAAAAGAAYAWQEAAMQFAAAAAA==&#10;">
              <v:fill on="f" focussize="0,0"/>
              <v:stroke on="f" weight="0.5pt"/>
              <v:imagedata o:title=""/>
              <o:lock v:ext="edit" aspectratio="f"/>
              <v:textbox inset="0mm,0mm,0mm,0mm" style="mso-fit-shape-to-text:t;">
                <w:txbxContent>
                  <w:p w14:paraId="77990D46">
                    <w:pPr>
                      <w:pStyle w:val="17"/>
                    </w:pPr>
                    <w:r>
                      <w:fldChar w:fldCharType="begin"/>
                    </w:r>
                    <w:r>
                      <w:instrText xml:space="preserve"> PAGE  \* MERGEFORMAT </w:instrText>
                    </w:r>
                    <w:r>
                      <w:fldChar w:fldCharType="separate"/>
                    </w:r>
                    <w:r>
                      <w:t>CI</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46ACC"/>
    <w:multiLevelType w:val="singleLevel"/>
    <w:tmpl w:val="89B46ACC"/>
    <w:lvl w:ilvl="0" w:tentative="0">
      <w:start w:val="2"/>
      <w:numFmt w:val="chineseCounting"/>
      <w:suff w:val="nothing"/>
      <w:lvlText w:val="%1、"/>
      <w:lvlJc w:val="left"/>
      <w:rPr>
        <w:rFonts w:hint="eastAsia"/>
      </w:rPr>
    </w:lvl>
  </w:abstractNum>
  <w:abstractNum w:abstractNumId="1">
    <w:nsid w:val="8A89E824"/>
    <w:multiLevelType w:val="singleLevel"/>
    <w:tmpl w:val="8A89E824"/>
    <w:lvl w:ilvl="0" w:tentative="0">
      <w:start w:val="2"/>
      <w:numFmt w:val="chineseCounting"/>
      <w:suff w:val="nothing"/>
      <w:lvlText w:val="（%1）"/>
      <w:lvlJc w:val="left"/>
      <w:rPr>
        <w:rFonts w:hint="eastAsia"/>
      </w:rPr>
    </w:lvl>
  </w:abstractNum>
  <w:abstractNum w:abstractNumId="2">
    <w:nsid w:val="E17324D8"/>
    <w:multiLevelType w:val="singleLevel"/>
    <w:tmpl w:val="E17324D8"/>
    <w:lvl w:ilvl="0" w:tentative="0">
      <w:start w:val="1"/>
      <w:numFmt w:val="decimal"/>
      <w:lvlText w:val="(%1)"/>
      <w:lvlJc w:val="left"/>
      <w:pPr>
        <w:ind w:left="425" w:hanging="425"/>
      </w:pPr>
      <w:rPr>
        <w:rFonts w:hint="default"/>
      </w:rPr>
    </w:lvl>
  </w:abstractNum>
  <w:abstractNum w:abstractNumId="3">
    <w:nsid w:val="002B350F"/>
    <w:multiLevelType w:val="singleLevel"/>
    <w:tmpl w:val="002B350F"/>
    <w:lvl w:ilvl="0" w:tentative="0">
      <w:start w:val="1"/>
      <w:numFmt w:val="decimal"/>
      <w:suff w:val="nothing"/>
      <w:lvlText w:val="%1、"/>
      <w:lvlJc w:val="left"/>
    </w:lvl>
  </w:abstractNum>
  <w:abstractNum w:abstractNumId="4">
    <w:nsid w:val="5A7818EA"/>
    <w:multiLevelType w:val="multilevel"/>
    <w:tmpl w:val="5A7818EA"/>
    <w:lvl w:ilvl="0" w:tentative="0">
      <w:start w:val="1"/>
      <w:numFmt w:val="decimal"/>
      <w:lvlText w:val="%1."/>
      <w:lvlJc w:val="left"/>
      <w:pPr>
        <w:tabs>
          <w:tab w:val="left" w:pos="1567"/>
        </w:tabs>
        <w:ind w:left="1567"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5"/>
      <w:lvlText w:val="%1.%2.%3.%4"/>
      <w:lvlJc w:val="left"/>
      <w:pPr>
        <w:tabs>
          <w:tab w:val="left" w:pos="1574"/>
        </w:tabs>
        <w:ind w:left="157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6833FA05"/>
    <w:multiLevelType w:val="singleLevel"/>
    <w:tmpl w:val="6833FA05"/>
    <w:lvl w:ilvl="0" w:tentative="0">
      <w:start w:val="1"/>
      <w:numFmt w:val="decimal"/>
      <w:suff w:val="nothing"/>
      <w:lvlText w:val="%1、"/>
      <w:lvlJc w:val="left"/>
    </w:lvl>
  </w:abstractNum>
  <w:abstractNum w:abstractNumId="6">
    <w:nsid w:val="76E68910"/>
    <w:multiLevelType w:val="singleLevel"/>
    <w:tmpl w:val="76E68910"/>
    <w:lvl w:ilvl="0" w:tentative="0">
      <w:start w:val="1"/>
      <w:numFmt w:val="decimal"/>
      <w:suff w:val="nothing"/>
      <w:lvlText w:val="（%1）"/>
      <w:lvlJc w:val="left"/>
    </w:lvl>
  </w:abstractNum>
  <w:abstractNum w:abstractNumId="7">
    <w:nsid w:val="7E752F05"/>
    <w:multiLevelType w:val="singleLevel"/>
    <w:tmpl w:val="7E752F05"/>
    <w:lvl w:ilvl="0" w:tentative="0">
      <w:start w:val="1"/>
      <w:numFmt w:val="decimal"/>
      <w:suff w:val="nothing"/>
      <w:lvlText w:val="%1、"/>
      <w:lvlJc w:val="left"/>
    </w:lvl>
  </w:abstractNum>
  <w:num w:numId="1">
    <w:abstractNumId w:val="4"/>
  </w:num>
  <w:num w:numId="2">
    <w:abstractNumId w:val="0"/>
  </w:num>
  <w:num w:numId="3">
    <w:abstractNumId w:val="3"/>
  </w:num>
  <w:num w:numId="4">
    <w:abstractNumId w:val="7"/>
  </w:num>
  <w:num w:numId="5">
    <w:abstractNumId w:val="5"/>
  </w:num>
  <w:num w:numId="6">
    <w:abstractNumId w:val="6"/>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210"/>
  <w:drawingGridVerticalSpacing w:val="162"/>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U1MDYyMDI5MmUxMWQ1MWU2OWQzMjM3NzU0YjVkY2EifQ=="/>
  </w:docVars>
  <w:rsids>
    <w:rsidRoot w:val="00000000"/>
    <w:rsid w:val="0075388E"/>
    <w:rsid w:val="008E39B3"/>
    <w:rsid w:val="00B65805"/>
    <w:rsid w:val="012855CE"/>
    <w:rsid w:val="01312D03"/>
    <w:rsid w:val="016C7A79"/>
    <w:rsid w:val="03501EED"/>
    <w:rsid w:val="035A6E90"/>
    <w:rsid w:val="03B373C8"/>
    <w:rsid w:val="03F434D0"/>
    <w:rsid w:val="04E11367"/>
    <w:rsid w:val="05467935"/>
    <w:rsid w:val="0599625C"/>
    <w:rsid w:val="05B16FE4"/>
    <w:rsid w:val="060F45F1"/>
    <w:rsid w:val="06D60D20"/>
    <w:rsid w:val="06FE0CEC"/>
    <w:rsid w:val="074F7AC9"/>
    <w:rsid w:val="08506999"/>
    <w:rsid w:val="09704E33"/>
    <w:rsid w:val="09BB5BCC"/>
    <w:rsid w:val="0B431F62"/>
    <w:rsid w:val="0C14470F"/>
    <w:rsid w:val="0CD658CB"/>
    <w:rsid w:val="0DC962E6"/>
    <w:rsid w:val="0E94387A"/>
    <w:rsid w:val="0F005480"/>
    <w:rsid w:val="0F27519E"/>
    <w:rsid w:val="0F2B709E"/>
    <w:rsid w:val="0F947289"/>
    <w:rsid w:val="0FB3423F"/>
    <w:rsid w:val="10686559"/>
    <w:rsid w:val="10FE0470"/>
    <w:rsid w:val="114762E6"/>
    <w:rsid w:val="119E6CF5"/>
    <w:rsid w:val="11C67CFA"/>
    <w:rsid w:val="12320CA3"/>
    <w:rsid w:val="12396910"/>
    <w:rsid w:val="123C2076"/>
    <w:rsid w:val="125B4B29"/>
    <w:rsid w:val="12E2773F"/>
    <w:rsid w:val="12EB50C2"/>
    <w:rsid w:val="12F21BA5"/>
    <w:rsid w:val="130A6291"/>
    <w:rsid w:val="13DB3C17"/>
    <w:rsid w:val="142976A3"/>
    <w:rsid w:val="143B75BD"/>
    <w:rsid w:val="14ED0523"/>
    <w:rsid w:val="15447000"/>
    <w:rsid w:val="15E440F6"/>
    <w:rsid w:val="16016621"/>
    <w:rsid w:val="17E70DF8"/>
    <w:rsid w:val="184077D8"/>
    <w:rsid w:val="19392E3F"/>
    <w:rsid w:val="195065E6"/>
    <w:rsid w:val="19AF5431"/>
    <w:rsid w:val="1A9611D4"/>
    <w:rsid w:val="1AEF1640"/>
    <w:rsid w:val="1B0678E6"/>
    <w:rsid w:val="1B0B1E56"/>
    <w:rsid w:val="1B20658C"/>
    <w:rsid w:val="1B9D1ACE"/>
    <w:rsid w:val="1C136A38"/>
    <w:rsid w:val="1C723D3B"/>
    <w:rsid w:val="1CC34BB0"/>
    <w:rsid w:val="1D1D0F4A"/>
    <w:rsid w:val="1D7644E2"/>
    <w:rsid w:val="1E7855D7"/>
    <w:rsid w:val="1E9B481C"/>
    <w:rsid w:val="1ED50A3D"/>
    <w:rsid w:val="1F6C1AC3"/>
    <w:rsid w:val="21652233"/>
    <w:rsid w:val="21AF526A"/>
    <w:rsid w:val="21E872AF"/>
    <w:rsid w:val="224A458F"/>
    <w:rsid w:val="22796B9E"/>
    <w:rsid w:val="22F97F47"/>
    <w:rsid w:val="24000D54"/>
    <w:rsid w:val="24423C0B"/>
    <w:rsid w:val="246E3BEE"/>
    <w:rsid w:val="24B148C0"/>
    <w:rsid w:val="268D24CB"/>
    <w:rsid w:val="26FF1810"/>
    <w:rsid w:val="26FF2560"/>
    <w:rsid w:val="27E762EC"/>
    <w:rsid w:val="27F645D9"/>
    <w:rsid w:val="28897B1C"/>
    <w:rsid w:val="28A12B3E"/>
    <w:rsid w:val="29035282"/>
    <w:rsid w:val="2A1803B1"/>
    <w:rsid w:val="2A701750"/>
    <w:rsid w:val="2B536BAA"/>
    <w:rsid w:val="2C0F4FCD"/>
    <w:rsid w:val="2D81692A"/>
    <w:rsid w:val="2D984ECD"/>
    <w:rsid w:val="2E183793"/>
    <w:rsid w:val="2E250044"/>
    <w:rsid w:val="2E4647A4"/>
    <w:rsid w:val="2E717347"/>
    <w:rsid w:val="2ECE4F81"/>
    <w:rsid w:val="2F511D30"/>
    <w:rsid w:val="2F686C4D"/>
    <w:rsid w:val="305D5210"/>
    <w:rsid w:val="321F5BEE"/>
    <w:rsid w:val="32405F41"/>
    <w:rsid w:val="327D450D"/>
    <w:rsid w:val="331E49BC"/>
    <w:rsid w:val="332E2F85"/>
    <w:rsid w:val="34DF5D43"/>
    <w:rsid w:val="350F349A"/>
    <w:rsid w:val="353636EA"/>
    <w:rsid w:val="35CA5CBB"/>
    <w:rsid w:val="362C2FB9"/>
    <w:rsid w:val="36632AEA"/>
    <w:rsid w:val="368B560A"/>
    <w:rsid w:val="36B77716"/>
    <w:rsid w:val="36EE057B"/>
    <w:rsid w:val="36F46607"/>
    <w:rsid w:val="3716170E"/>
    <w:rsid w:val="372D2697"/>
    <w:rsid w:val="37BC5AD7"/>
    <w:rsid w:val="37CF2348"/>
    <w:rsid w:val="38062414"/>
    <w:rsid w:val="38CA5FD2"/>
    <w:rsid w:val="38DC3EDC"/>
    <w:rsid w:val="39721E98"/>
    <w:rsid w:val="3A0D43C8"/>
    <w:rsid w:val="3A2A31D8"/>
    <w:rsid w:val="3A7B3269"/>
    <w:rsid w:val="3B5F50F7"/>
    <w:rsid w:val="3BDE2BA6"/>
    <w:rsid w:val="3C8E01DC"/>
    <w:rsid w:val="3CCE564F"/>
    <w:rsid w:val="3CE45C48"/>
    <w:rsid w:val="3CF86493"/>
    <w:rsid w:val="3D962E9A"/>
    <w:rsid w:val="3EAA56FE"/>
    <w:rsid w:val="3F0F1503"/>
    <w:rsid w:val="3F127E08"/>
    <w:rsid w:val="3FB633FB"/>
    <w:rsid w:val="3FB9596C"/>
    <w:rsid w:val="40FD5B5C"/>
    <w:rsid w:val="4186530E"/>
    <w:rsid w:val="41E756B8"/>
    <w:rsid w:val="426024C3"/>
    <w:rsid w:val="42644CFC"/>
    <w:rsid w:val="42712D90"/>
    <w:rsid w:val="428E37C9"/>
    <w:rsid w:val="431557C4"/>
    <w:rsid w:val="43250271"/>
    <w:rsid w:val="438A7C97"/>
    <w:rsid w:val="43D43925"/>
    <w:rsid w:val="43D852A4"/>
    <w:rsid w:val="441F174E"/>
    <w:rsid w:val="44647233"/>
    <w:rsid w:val="449657A6"/>
    <w:rsid w:val="45EF24D9"/>
    <w:rsid w:val="46084AF2"/>
    <w:rsid w:val="47B257FA"/>
    <w:rsid w:val="48B545A9"/>
    <w:rsid w:val="48C14817"/>
    <w:rsid w:val="4933371F"/>
    <w:rsid w:val="49460182"/>
    <w:rsid w:val="4972249A"/>
    <w:rsid w:val="4A430135"/>
    <w:rsid w:val="4B517646"/>
    <w:rsid w:val="4C44431E"/>
    <w:rsid w:val="4CBC43F6"/>
    <w:rsid w:val="4DAD76E3"/>
    <w:rsid w:val="4E453CD9"/>
    <w:rsid w:val="4E761BF7"/>
    <w:rsid w:val="4E82361F"/>
    <w:rsid w:val="4EA73979"/>
    <w:rsid w:val="4EBB3F9B"/>
    <w:rsid w:val="4F2A1121"/>
    <w:rsid w:val="4F457D08"/>
    <w:rsid w:val="4F7C26F1"/>
    <w:rsid w:val="4F7C6D36"/>
    <w:rsid w:val="506D7517"/>
    <w:rsid w:val="50F41DB2"/>
    <w:rsid w:val="51052079"/>
    <w:rsid w:val="51152D85"/>
    <w:rsid w:val="5288019F"/>
    <w:rsid w:val="52AD5CF4"/>
    <w:rsid w:val="53ED7E15"/>
    <w:rsid w:val="54092EF7"/>
    <w:rsid w:val="561C01EA"/>
    <w:rsid w:val="562464C8"/>
    <w:rsid w:val="56856B80"/>
    <w:rsid w:val="56D219CC"/>
    <w:rsid w:val="59854F6F"/>
    <w:rsid w:val="598F6523"/>
    <w:rsid w:val="59931BA0"/>
    <w:rsid w:val="59A12058"/>
    <w:rsid w:val="5A6A34FF"/>
    <w:rsid w:val="5AD2718F"/>
    <w:rsid w:val="5BE049C1"/>
    <w:rsid w:val="5C3B007A"/>
    <w:rsid w:val="5C3B6762"/>
    <w:rsid w:val="5C574E82"/>
    <w:rsid w:val="5CD252D1"/>
    <w:rsid w:val="5CF76AE6"/>
    <w:rsid w:val="5D1475BA"/>
    <w:rsid w:val="5E352B67"/>
    <w:rsid w:val="5F94195C"/>
    <w:rsid w:val="5FB574FE"/>
    <w:rsid w:val="5FF82CFA"/>
    <w:rsid w:val="604C4F0B"/>
    <w:rsid w:val="60B06C30"/>
    <w:rsid w:val="60BB31B3"/>
    <w:rsid w:val="6134186F"/>
    <w:rsid w:val="61C342E5"/>
    <w:rsid w:val="61EC6729"/>
    <w:rsid w:val="620E2129"/>
    <w:rsid w:val="626B2804"/>
    <w:rsid w:val="628C1E57"/>
    <w:rsid w:val="62F2581B"/>
    <w:rsid w:val="643313A9"/>
    <w:rsid w:val="64C67634"/>
    <w:rsid w:val="652C5425"/>
    <w:rsid w:val="65764C68"/>
    <w:rsid w:val="65A90B99"/>
    <w:rsid w:val="65FF4C5D"/>
    <w:rsid w:val="66801F8E"/>
    <w:rsid w:val="66DE09F2"/>
    <w:rsid w:val="677B14E7"/>
    <w:rsid w:val="678F3DBF"/>
    <w:rsid w:val="67DF3732"/>
    <w:rsid w:val="688356D2"/>
    <w:rsid w:val="689E3902"/>
    <w:rsid w:val="69537901"/>
    <w:rsid w:val="695A2772"/>
    <w:rsid w:val="69602F7D"/>
    <w:rsid w:val="69BB75A3"/>
    <w:rsid w:val="6AE30E7D"/>
    <w:rsid w:val="6B5E5F82"/>
    <w:rsid w:val="6BF57752"/>
    <w:rsid w:val="6C3F3B3F"/>
    <w:rsid w:val="6D6B0293"/>
    <w:rsid w:val="6DA07A76"/>
    <w:rsid w:val="6E2F5A53"/>
    <w:rsid w:val="6E3D0876"/>
    <w:rsid w:val="6E91728B"/>
    <w:rsid w:val="6EB17135"/>
    <w:rsid w:val="6EE37A6B"/>
    <w:rsid w:val="6F6211D8"/>
    <w:rsid w:val="6F69100D"/>
    <w:rsid w:val="6FB57106"/>
    <w:rsid w:val="6FB87AD8"/>
    <w:rsid w:val="70335223"/>
    <w:rsid w:val="70935EC8"/>
    <w:rsid w:val="71281524"/>
    <w:rsid w:val="72137A0F"/>
    <w:rsid w:val="72146479"/>
    <w:rsid w:val="722A2C74"/>
    <w:rsid w:val="72A845A9"/>
    <w:rsid w:val="734E65AD"/>
    <w:rsid w:val="73730B78"/>
    <w:rsid w:val="73F67ACD"/>
    <w:rsid w:val="74161AF0"/>
    <w:rsid w:val="76640175"/>
    <w:rsid w:val="76E75934"/>
    <w:rsid w:val="77C840CC"/>
    <w:rsid w:val="785E0CFE"/>
    <w:rsid w:val="79765E0F"/>
    <w:rsid w:val="799E34B2"/>
    <w:rsid w:val="79B56793"/>
    <w:rsid w:val="7A4A482E"/>
    <w:rsid w:val="7A904A94"/>
    <w:rsid w:val="7AC202DC"/>
    <w:rsid w:val="7B1D47C7"/>
    <w:rsid w:val="7BED0F85"/>
    <w:rsid w:val="7D466F15"/>
    <w:rsid w:val="7D697A68"/>
    <w:rsid w:val="7DC861E9"/>
    <w:rsid w:val="7DE22616"/>
    <w:rsid w:val="7E9E1D43"/>
    <w:rsid w:val="7ED37F08"/>
    <w:rsid w:val="7EEF18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82"/>
    <w:autoRedefine/>
    <w:qFormat/>
    <w:uiPriority w:val="0"/>
    <w:pPr>
      <w:keepNext/>
      <w:keepLines/>
      <w:spacing w:line="240" w:lineRule="auto"/>
      <w:outlineLvl w:val="1"/>
    </w:pPr>
    <w:rPr>
      <w:rFonts w:ascii="Times New Roman" w:hAnsi="Times New Roman" w:eastAsia="宋体"/>
      <w:b/>
      <w:bCs/>
      <w:sz w:val="24"/>
      <w:szCs w:val="32"/>
    </w:rPr>
  </w:style>
  <w:style w:type="paragraph" w:styleId="4">
    <w:name w:val="heading 3"/>
    <w:basedOn w:val="1"/>
    <w:next w:val="1"/>
    <w:autoRedefine/>
    <w:qFormat/>
    <w:uiPriority w:val="0"/>
    <w:pPr>
      <w:keepNext/>
      <w:keepLines/>
      <w:spacing w:before="260" w:beforeLines="0" w:after="260" w:afterLines="0" w:line="416" w:lineRule="auto"/>
      <w:outlineLvl w:val="2"/>
    </w:pPr>
    <w:rPr>
      <w:b/>
      <w:bCs/>
      <w:sz w:val="32"/>
      <w:szCs w:val="32"/>
    </w:rPr>
  </w:style>
  <w:style w:type="paragraph" w:styleId="5">
    <w:name w:val="heading 4"/>
    <w:basedOn w:val="1"/>
    <w:next w:val="1"/>
    <w:autoRedefine/>
    <w:unhideWhenUsed/>
    <w:qFormat/>
    <w:uiPriority w:val="0"/>
    <w:pPr>
      <w:keepNext/>
      <w:keepLines/>
      <w:numPr>
        <w:ilvl w:val="3"/>
        <w:numId w:val="1"/>
      </w:numPr>
      <w:spacing w:line="360" w:lineRule="auto"/>
      <w:ind w:left="1574" w:hanging="864"/>
      <w:outlineLvl w:val="3"/>
    </w:pPr>
    <w:rPr>
      <w:rFonts w:ascii="Arial" w:hAnsi="Arial" w:eastAsia="宋体" w:cs="Times New Roman"/>
      <w:sz w:val="24"/>
      <w:szCs w:val="20"/>
    </w:rPr>
  </w:style>
  <w:style w:type="character" w:default="1" w:styleId="25">
    <w:name w:val="Default Paragraph Font"/>
    <w:autoRedefine/>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styleId="6">
    <w:name w:val="table of authorities"/>
    <w:basedOn w:val="1"/>
    <w:next w:val="1"/>
    <w:autoRedefine/>
    <w:semiHidden/>
    <w:qFormat/>
    <w:uiPriority w:val="0"/>
    <w:pPr>
      <w:ind w:left="420" w:leftChars="200"/>
    </w:pPr>
  </w:style>
  <w:style w:type="paragraph" w:styleId="7">
    <w:name w:val="Note Heading"/>
    <w:basedOn w:val="1"/>
    <w:next w:val="1"/>
    <w:qFormat/>
    <w:uiPriority w:val="0"/>
    <w:pPr>
      <w:jc w:val="left"/>
    </w:pPr>
  </w:style>
  <w:style w:type="paragraph" w:styleId="8">
    <w:name w:val="Normal Indent"/>
    <w:basedOn w:val="1"/>
    <w:next w:val="1"/>
    <w:qFormat/>
    <w:uiPriority w:val="0"/>
    <w:pPr>
      <w:ind w:firstLine="420"/>
    </w:pPr>
  </w:style>
  <w:style w:type="paragraph" w:styleId="9">
    <w:name w:val="annotation text"/>
    <w:basedOn w:val="1"/>
    <w:qFormat/>
    <w:uiPriority w:val="0"/>
    <w:pPr>
      <w:jc w:val="left"/>
    </w:pPr>
  </w:style>
  <w:style w:type="paragraph" w:styleId="10">
    <w:name w:val="Salutation"/>
    <w:next w:val="1"/>
    <w:unhideWhenUsed/>
    <w:qFormat/>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1">
    <w:name w:val="Body Text"/>
    <w:basedOn w:val="1"/>
    <w:next w:val="12"/>
    <w:autoRedefine/>
    <w:qFormat/>
    <w:uiPriority w:val="0"/>
    <w:pPr>
      <w:widowControl/>
      <w:snapToGrid w:val="0"/>
      <w:spacing w:before="60" w:after="160" w:line="259" w:lineRule="auto"/>
      <w:ind w:right="113"/>
    </w:pPr>
    <w:rPr>
      <w:kern w:val="0"/>
      <w:sz w:val="18"/>
      <w:szCs w:val="20"/>
    </w:rPr>
  </w:style>
  <w:style w:type="paragraph" w:styleId="12">
    <w:name w:val="Plain Text"/>
    <w:basedOn w:val="1"/>
    <w:autoRedefine/>
    <w:qFormat/>
    <w:uiPriority w:val="0"/>
    <w:rPr>
      <w:rFonts w:ascii="Times New Roman" w:hAnsi="Times New Roman" w:eastAsia="宋体" w:cs="Courier New"/>
      <w:szCs w:val="21"/>
    </w:rPr>
  </w:style>
  <w:style w:type="paragraph" w:styleId="13">
    <w:name w:val="Body Text Indent"/>
    <w:basedOn w:val="1"/>
    <w:next w:val="14"/>
    <w:link w:val="68"/>
    <w:qFormat/>
    <w:uiPriority w:val="0"/>
    <w:pPr>
      <w:spacing w:after="120"/>
      <w:ind w:left="420" w:leftChars="200"/>
    </w:pPr>
    <w:rPr>
      <w:kern w:val="0"/>
      <w:sz w:val="24"/>
      <w:szCs w:val="20"/>
    </w:rPr>
  </w:style>
  <w:style w:type="paragraph" w:styleId="14">
    <w:name w:val="Body Text First Indent 2"/>
    <w:basedOn w:val="13"/>
    <w:next w:val="15"/>
    <w:autoRedefine/>
    <w:qFormat/>
    <w:uiPriority w:val="0"/>
    <w:pPr>
      <w:spacing w:after="120"/>
      <w:ind w:left="420" w:leftChars="200" w:firstLine="210" w:firstLineChars="200"/>
    </w:pPr>
    <w:rPr>
      <w:sz w:val="21"/>
    </w:rPr>
  </w:style>
  <w:style w:type="paragraph" w:styleId="15">
    <w:name w:val="Body Text First Indent"/>
    <w:basedOn w:val="11"/>
    <w:next w:val="1"/>
    <w:qFormat/>
    <w:uiPriority w:val="0"/>
    <w:pPr>
      <w:spacing w:line="480" w:lineRule="auto"/>
      <w:ind w:firstLine="630" w:firstLineChars="225"/>
    </w:pPr>
    <w:rPr>
      <w:rFonts w:ascii="宋体" w:hAnsi="宋体"/>
      <w:sz w:val="28"/>
      <w:szCs w:val="28"/>
      <w:u w:val="single"/>
      <w:lang w:val="en-US" w:eastAsia="zh-CN" w:bidi="ar-SA"/>
    </w:rPr>
  </w:style>
  <w:style w:type="paragraph" w:styleId="16">
    <w:name w:val="toc 3"/>
    <w:basedOn w:val="1"/>
    <w:next w:val="1"/>
    <w:qFormat/>
    <w:uiPriority w:val="0"/>
    <w:pPr>
      <w:ind w:left="840" w:leftChars="400"/>
    </w:pPr>
  </w:style>
  <w:style w:type="paragraph" w:styleId="17">
    <w:name w:val="footer"/>
    <w:basedOn w:val="1"/>
    <w:qFormat/>
    <w:uiPriority w:val="99"/>
    <w:pPr>
      <w:tabs>
        <w:tab w:val="center" w:pos="4153"/>
        <w:tab w:val="right" w:pos="8306"/>
      </w:tabs>
      <w:snapToGrid w:val="0"/>
      <w:jc w:val="left"/>
    </w:pPr>
    <w:rPr>
      <w:kern w:val="0"/>
      <w:sz w:val="18"/>
      <w:szCs w:val="20"/>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1"/>
    <w:basedOn w:val="1"/>
    <w:next w:val="1"/>
    <w:qFormat/>
    <w:uiPriority w:val="0"/>
  </w:style>
  <w:style w:type="paragraph" w:styleId="20">
    <w:name w:val="List"/>
    <w:basedOn w:val="1"/>
    <w:autoRedefine/>
    <w:qFormat/>
    <w:uiPriority w:val="0"/>
    <w:pPr>
      <w:ind w:left="200" w:hanging="200" w:hangingChars="200"/>
    </w:pPr>
  </w:style>
  <w:style w:type="paragraph" w:styleId="21">
    <w:name w:val="toc 2"/>
    <w:basedOn w:val="1"/>
    <w:next w:val="1"/>
    <w:qFormat/>
    <w:uiPriority w:val="0"/>
    <w:pPr>
      <w:ind w:left="420" w:leftChars="200"/>
    </w:pPr>
  </w:style>
  <w:style w:type="paragraph" w:styleId="22">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24">
    <w:name w:val="Table Grid"/>
    <w:basedOn w:val="2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page number"/>
    <w:basedOn w:val="25"/>
    <w:autoRedefine/>
    <w:qFormat/>
    <w:uiPriority w:val="0"/>
  </w:style>
  <w:style w:type="character" w:styleId="28">
    <w:name w:val="Hyperlink"/>
    <w:basedOn w:val="25"/>
    <w:qFormat/>
    <w:uiPriority w:val="0"/>
    <w:rPr>
      <w:color w:val="0000FF"/>
      <w:u w:val="single"/>
    </w:rPr>
  </w:style>
  <w:style w:type="paragraph" w:customStyle="1" w:styleId="29">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customStyle="1" w:styleId="30">
    <w:name w:val=" Char Char Char Char Char Char Char Char Char1 Char"/>
    <w:basedOn w:val="1"/>
    <w:autoRedefine/>
    <w:semiHidden/>
    <w:qFormat/>
    <w:uiPriority w:val="0"/>
    <w:pPr>
      <w:ind w:firstLine="0"/>
    </w:pPr>
    <w:rPr>
      <w:rFonts w:ascii="宋体" w:hAnsi="宋体" w:eastAsia="宋体" w:cs="Courier New"/>
      <w:sz w:val="32"/>
      <w:szCs w:val="32"/>
    </w:rPr>
  </w:style>
  <w:style w:type="paragraph" w:customStyle="1" w:styleId="31">
    <w:name w:val="章1正文样式"/>
    <w:basedOn w:val="1"/>
    <w:autoRedefine/>
    <w:qFormat/>
    <w:uiPriority w:val="0"/>
    <w:pPr>
      <w:adjustRightInd w:val="0"/>
      <w:snapToGrid w:val="0"/>
      <w:spacing w:line="360" w:lineRule="auto"/>
      <w:ind w:firstLine="720" w:firstLineChars="200"/>
    </w:pPr>
    <w:rPr>
      <w:rFonts w:hint="eastAsia" w:ascii="Times New Roman" w:hAnsi="Times New Roman" w:eastAsia="宋体" w:cs="Times New Roman"/>
      <w:szCs w:val="21"/>
    </w:rPr>
  </w:style>
  <w:style w:type="paragraph" w:customStyle="1" w:styleId="32">
    <w:name w:val="CM11"/>
    <w:basedOn w:val="1"/>
    <w:next w:val="1"/>
    <w:qFormat/>
    <w:uiPriority w:val="0"/>
    <w:pPr>
      <w:autoSpaceDE w:val="0"/>
      <w:autoSpaceDN w:val="0"/>
      <w:adjustRightInd w:val="0"/>
      <w:spacing w:line="520" w:lineRule="atLeast"/>
      <w:ind w:firstLine="0"/>
      <w:jc w:val="left"/>
    </w:pPr>
    <w:rPr>
      <w:rFonts w:ascii="宋体" w:eastAsia="宋体"/>
      <w:kern w:val="0"/>
      <w:sz w:val="24"/>
    </w:rPr>
  </w:style>
  <w:style w:type="paragraph" w:customStyle="1" w:styleId="33">
    <w:name w:val="Table Text"/>
    <w:basedOn w:val="1"/>
    <w:semiHidden/>
    <w:qFormat/>
    <w:uiPriority w:val="0"/>
    <w:rPr>
      <w:rFonts w:ascii="宋体" w:hAnsi="宋体" w:eastAsia="宋体" w:cs="宋体"/>
      <w:sz w:val="24"/>
      <w:szCs w:val="24"/>
      <w:lang w:val="en-US" w:eastAsia="en-US" w:bidi="ar-SA"/>
    </w:rPr>
  </w:style>
  <w:style w:type="paragraph" w:customStyle="1" w:styleId="34">
    <w:name w:val="表内容"/>
    <w:autoRedefine/>
    <w:qFormat/>
    <w:uiPriority w:val="0"/>
    <w:pPr>
      <w:adjustRightInd w:val="0"/>
      <w:jc w:val="center"/>
    </w:pPr>
    <w:rPr>
      <w:rFonts w:ascii="Times New Roman" w:hAnsi="Times New Roman" w:eastAsia="宋体" w:cs="Times New Roman"/>
      <w:sz w:val="21"/>
      <w:szCs w:val="22"/>
      <w:lang w:val="en-US" w:eastAsia="zh-CN" w:bidi="ar-SA"/>
    </w:rPr>
  </w:style>
  <w:style w:type="paragraph" w:customStyle="1" w:styleId="35">
    <w:name w:val="H图表内容"/>
    <w:basedOn w:val="1"/>
    <w:qFormat/>
    <w:uiPriority w:val="0"/>
    <w:rPr>
      <w:szCs w:val="20"/>
    </w:rPr>
  </w:style>
  <w:style w:type="paragraph" w:customStyle="1" w:styleId="36">
    <w:name w:val="正文（）"/>
    <w:basedOn w:val="1"/>
    <w:autoRedefine/>
    <w:qFormat/>
    <w:uiPriority w:val="0"/>
    <w:pPr>
      <w:adjustRightInd w:val="0"/>
      <w:snapToGrid w:val="0"/>
      <w:spacing w:line="360" w:lineRule="auto"/>
      <w:ind w:firstLine="200" w:firstLineChars="200"/>
    </w:pPr>
    <w:rPr>
      <w:color w:val="5B9BD5"/>
      <w:sz w:val="24"/>
      <w:szCs w:val="20"/>
    </w:rPr>
  </w:style>
  <w:style w:type="paragraph" w:customStyle="1" w:styleId="37">
    <w:name w:val="6表格"/>
    <w:basedOn w:val="1"/>
    <w:qFormat/>
    <w:uiPriority w:val="0"/>
    <w:pPr>
      <w:jc w:val="center"/>
    </w:pPr>
  </w:style>
  <w:style w:type="paragraph" w:customStyle="1" w:styleId="38">
    <w:name w:val="表格内容（）"/>
    <w:basedOn w:val="1"/>
    <w:autoRedefine/>
    <w:qFormat/>
    <w:uiPriority w:val="0"/>
    <w:pPr>
      <w:widowControl w:val="0"/>
      <w:spacing w:line="240" w:lineRule="auto"/>
      <w:ind w:firstLine="0" w:firstLineChars="0"/>
      <w:jc w:val="center"/>
    </w:pPr>
    <w:rPr>
      <w:color w:val="00B0F0"/>
      <w:sz w:val="21"/>
      <w:szCs w:val="21"/>
    </w:rPr>
  </w:style>
  <w:style w:type="paragraph" w:customStyle="1" w:styleId="39">
    <w:name w:val="表格固定文字"/>
    <w:basedOn w:val="1"/>
    <w:qFormat/>
    <w:uiPriority w:val="0"/>
    <w:pPr>
      <w:ind w:firstLine="0"/>
    </w:pPr>
    <w:rPr>
      <w:rFonts w:eastAsia="宋体"/>
      <w:sz w:val="21"/>
      <w:szCs w:val="24"/>
    </w:rPr>
  </w:style>
  <w:style w:type="paragraph" w:customStyle="1" w:styleId="40">
    <w:name w:val="个人  标题2"/>
    <w:basedOn w:val="1"/>
    <w:autoRedefine/>
    <w:qFormat/>
    <w:uiPriority w:val="0"/>
    <w:pPr>
      <w:ind w:firstLine="0" w:firstLineChars="0"/>
      <w:outlineLvl w:val="1"/>
    </w:pPr>
    <w:rPr>
      <w:b/>
      <w:sz w:val="30"/>
    </w:rPr>
  </w:style>
  <w:style w:type="paragraph" w:customStyle="1" w:styleId="41">
    <w:name w:val="正文_10"/>
    <w:qFormat/>
    <w:uiPriority w:val="0"/>
    <w:pPr>
      <w:widowControl w:val="0"/>
      <w:spacing w:line="360" w:lineRule="auto"/>
      <w:jc w:val="both"/>
    </w:pPr>
    <w:rPr>
      <w:rFonts w:ascii="Times New Roman" w:hAnsi="Times New Roman" w:eastAsia="宋体" w:cs="Times New Roman"/>
      <w:kern w:val="2"/>
      <w:sz w:val="21"/>
      <w:szCs w:val="22"/>
      <w:lang w:val="en-US" w:eastAsia="zh-CN" w:bidi="ar-SA"/>
    </w:rPr>
  </w:style>
  <w:style w:type="paragraph" w:customStyle="1" w:styleId="42">
    <w:name w:val="表格表头"/>
    <w:basedOn w:val="43"/>
    <w:qFormat/>
    <w:uiPriority w:val="0"/>
    <w:pPr>
      <w:spacing w:before="50" w:beforeLines="50" w:line="240" w:lineRule="auto"/>
      <w:ind w:firstLine="0"/>
      <w:jc w:val="center"/>
    </w:pPr>
    <w:rPr>
      <w:rFonts w:eastAsia="黑体"/>
    </w:rPr>
  </w:style>
  <w:style w:type="paragraph" w:customStyle="1" w:styleId="43">
    <w:name w:val="zhang正文"/>
    <w:basedOn w:val="13"/>
    <w:next w:val="1"/>
    <w:link w:val="67"/>
    <w:qFormat/>
    <w:uiPriority w:val="0"/>
    <w:pPr>
      <w:widowControl w:val="0"/>
      <w:autoSpaceDE w:val="0"/>
      <w:autoSpaceDN w:val="0"/>
      <w:adjustRightInd w:val="0"/>
      <w:snapToGrid w:val="0"/>
      <w:spacing w:after="0" w:afterLines="0" w:line="500" w:lineRule="exact"/>
      <w:ind w:left="0" w:leftChars="0" w:firstLine="539"/>
      <w:jc w:val="both"/>
      <w:textAlignment w:val="baseline"/>
    </w:pPr>
    <w:rPr>
      <w:rFonts w:eastAsia="楷体_GB2312"/>
      <w:sz w:val="28"/>
    </w:rPr>
  </w:style>
  <w:style w:type="paragraph" w:customStyle="1" w:styleId="44">
    <w:name w:val="表正文"/>
    <w:basedOn w:val="1"/>
    <w:qFormat/>
    <w:uiPriority w:val="0"/>
    <w:pPr>
      <w:spacing w:line="360" w:lineRule="auto"/>
      <w:ind w:firstLine="200" w:firstLineChars="200"/>
    </w:pPr>
    <w:rPr>
      <w:sz w:val="24"/>
    </w:rPr>
  </w:style>
  <w:style w:type="paragraph" w:customStyle="1" w:styleId="45">
    <w:name w:val="个人标题3"/>
    <w:basedOn w:val="1"/>
    <w:qFormat/>
    <w:uiPriority w:val="0"/>
    <w:pPr>
      <w:ind w:firstLine="0" w:firstLineChars="0"/>
      <w:outlineLvl w:val="2"/>
    </w:pPr>
    <w:rPr>
      <w:b/>
      <w:sz w:val="28"/>
    </w:rPr>
  </w:style>
  <w:style w:type="paragraph" w:customStyle="1" w:styleId="46">
    <w:name w:val="正文内容"/>
    <w:basedOn w:val="1"/>
    <w:autoRedefine/>
    <w:qFormat/>
    <w:uiPriority w:val="0"/>
    <w:pPr>
      <w:adjustRightInd w:val="0"/>
      <w:spacing w:line="360" w:lineRule="auto"/>
      <w:ind w:firstLine="480" w:firstLineChars="200"/>
    </w:pPr>
    <w:rPr>
      <w:rFonts w:ascii="宋体" w:hAnsi="宋体" w:cs="宋体"/>
      <w:sz w:val="24"/>
    </w:rPr>
  </w:style>
  <w:style w:type="paragraph" w:customStyle="1" w:styleId="47">
    <w:name w:val="三级aaa"/>
    <w:basedOn w:val="4"/>
    <w:next w:val="1"/>
    <w:autoRedefine/>
    <w:qFormat/>
    <w:uiPriority w:val="0"/>
    <w:pPr>
      <w:keepNext w:val="0"/>
      <w:keepLines w:val="0"/>
      <w:widowControl w:val="0"/>
      <w:adjustRightInd w:val="0"/>
      <w:snapToGrid w:val="0"/>
      <w:spacing w:before="0" w:after="0" w:line="360" w:lineRule="auto"/>
    </w:pPr>
    <w:rPr>
      <w:sz w:val="28"/>
    </w:rPr>
  </w:style>
  <w:style w:type="paragraph" w:customStyle="1" w:styleId="48">
    <w:name w:val="正文hhhhhh"/>
    <w:basedOn w:val="1"/>
    <w:next w:val="5"/>
    <w:qFormat/>
    <w:uiPriority w:val="0"/>
    <w:pPr>
      <w:widowControl w:val="0"/>
      <w:adjustRightInd w:val="0"/>
      <w:snapToGrid w:val="0"/>
      <w:spacing w:line="360" w:lineRule="auto"/>
      <w:ind w:firstLine="200" w:firstLineChars="200"/>
    </w:pPr>
    <w:rPr>
      <w:sz w:val="24"/>
    </w:rPr>
  </w:style>
  <w:style w:type="paragraph" w:customStyle="1" w:styleId="49">
    <w:name w:val="正文（无网格）"/>
    <w:basedOn w:val="1"/>
    <w:autoRedefine/>
    <w:qFormat/>
    <w:uiPriority w:val="0"/>
    <w:pPr>
      <w:adjustRightInd w:val="0"/>
      <w:snapToGrid w:val="0"/>
      <w:spacing w:line="360" w:lineRule="auto"/>
      <w:ind w:firstLine="480" w:firstLineChars="200"/>
    </w:pPr>
    <w:rPr>
      <w:rFonts w:cs="宋体"/>
      <w:sz w:val="24"/>
      <w:szCs w:val="20"/>
    </w:rPr>
  </w:style>
  <w:style w:type="paragraph" w:customStyle="1" w:styleId="50">
    <w:name w:val="常用"/>
    <w:basedOn w:val="1"/>
    <w:autoRedefine/>
    <w:qFormat/>
    <w:uiPriority w:val="0"/>
    <w:pPr>
      <w:widowControl/>
      <w:spacing w:line="360" w:lineRule="auto"/>
      <w:ind w:firstLine="200" w:firstLineChars="200"/>
      <w:jc w:val="left"/>
    </w:pPr>
    <w:rPr>
      <w:rFonts w:ascii="宋体" w:hAnsi="宋体" w:eastAsia="宋体" w:cs="Courier New"/>
      <w:kern w:val="0"/>
      <w:szCs w:val="28"/>
    </w:rPr>
  </w:style>
  <w:style w:type="paragraph" w:customStyle="1" w:styleId="51">
    <w:name w:val="闽创报告正文"/>
    <w:basedOn w:val="52"/>
    <w:qFormat/>
    <w:uiPriority w:val="0"/>
    <w:pPr>
      <w:tabs>
        <w:tab w:val="left" w:pos="0"/>
      </w:tabs>
      <w:spacing w:line="360" w:lineRule="auto"/>
      <w:ind w:firstLine="200" w:firstLineChars="200"/>
    </w:pPr>
    <w:rPr>
      <w:color w:val="000000"/>
      <w:sz w:val="24"/>
      <w:szCs w:val="20"/>
    </w:rPr>
  </w:style>
  <w:style w:type="paragraph" w:customStyle="1" w:styleId="52">
    <w:name w:val="0正文"/>
    <w:basedOn w:val="13"/>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53">
    <w:name w:val="表格名称1"/>
    <w:basedOn w:val="1"/>
    <w:autoRedefine/>
    <w:qFormat/>
    <w:uiPriority w:val="0"/>
    <w:pPr>
      <w:keepNext w:val="0"/>
      <w:keepLines w:val="0"/>
      <w:widowControl w:val="0"/>
      <w:suppressLineNumbers w:val="0"/>
      <w:adjustRightInd w:val="0"/>
      <w:snapToGrid w:val="0"/>
      <w:spacing w:before="0" w:beforeAutospacing="0" w:after="0" w:afterAutospacing="0" w:line="240" w:lineRule="auto"/>
      <w:ind w:left="0" w:right="0" w:firstLine="0" w:firstLineChars="0"/>
      <w:jc w:val="center"/>
    </w:pPr>
    <w:rPr>
      <w:rFonts w:ascii="Times New Roman" w:hAnsi="Times New Roman" w:eastAsia="宋体" w:cs="Times New Roman"/>
      <w:b/>
      <w:sz w:val="21"/>
      <w:lang w:bidi="ar"/>
    </w:rPr>
  </w:style>
  <w:style w:type="paragraph" w:customStyle="1" w:styleId="54">
    <w:name w:val="彪哥文本"/>
    <w:basedOn w:val="1"/>
    <w:next w:val="1"/>
    <w:qFormat/>
    <w:uiPriority w:val="0"/>
    <w:pPr>
      <w:adjustRightInd w:val="0"/>
      <w:snapToGrid w:val="0"/>
      <w:spacing w:before="10" w:beforeLines="10" w:after="10" w:afterLines="10" w:line="240" w:lineRule="auto"/>
      <w:jc w:val="center"/>
    </w:pPr>
    <w:rPr>
      <w:rFonts w:ascii="Times New Roman" w:hAnsi="Times New Roman" w:eastAsia="宋体"/>
      <w:kern w:val="0"/>
      <w:szCs w:val="20"/>
    </w:rPr>
  </w:style>
  <w:style w:type="paragraph" w:customStyle="1" w:styleId="55">
    <w:name w:val="22标题2"/>
    <w:basedOn w:val="56"/>
    <w:autoRedefine/>
    <w:qFormat/>
    <w:uiPriority w:val="0"/>
    <w:pPr>
      <w:adjustRightInd w:val="0"/>
      <w:snapToGrid w:val="0"/>
    </w:pPr>
    <w:rPr>
      <w:color w:val="0000FF"/>
    </w:rPr>
  </w:style>
  <w:style w:type="paragraph" w:customStyle="1" w:styleId="56">
    <w:name w:val="标题2"/>
    <w:basedOn w:val="6"/>
    <w:qFormat/>
    <w:uiPriority w:val="0"/>
    <w:pPr>
      <w:spacing w:line="360" w:lineRule="auto"/>
      <w:outlineLvl w:val="1"/>
    </w:pPr>
    <w:rPr>
      <w:rFonts w:ascii="Times New Roman" w:hAnsi="Times New Roman" w:eastAsia="黑体" w:cs="Times New Roman"/>
      <w:sz w:val="30"/>
      <w:szCs w:val="30"/>
    </w:rPr>
  </w:style>
  <w:style w:type="paragraph" w:customStyle="1" w:styleId="57">
    <w:name w:val="样式 首行缩进:  2 字符1"/>
    <w:basedOn w:val="1"/>
    <w:autoRedefine/>
    <w:qFormat/>
    <w:uiPriority w:val="0"/>
    <w:pPr>
      <w:adjustRightInd w:val="0"/>
      <w:snapToGrid w:val="0"/>
      <w:spacing w:line="360" w:lineRule="auto"/>
      <w:ind w:firstLine="480" w:firstLineChars="200"/>
    </w:pPr>
    <w:rPr>
      <w:rFonts w:hint="eastAsia" w:ascii="宋体" w:hAnsi="宋体" w:eastAsia="宋体" w:cs="宋体"/>
      <w:sz w:val="24"/>
      <w:szCs w:val="32"/>
    </w:rPr>
  </w:style>
  <w:style w:type="table" w:customStyle="1" w:styleId="58">
    <w:name w:val="样式6"/>
    <w:basedOn w:val="23"/>
    <w:qFormat/>
    <w:uiPriority w:val="99"/>
    <w:pPr>
      <w:jc w:val="center"/>
    </w:pPr>
    <w:rPr>
      <w:rFonts w:ascii="Times New Roman" w:hAnsi="Times New Roman"/>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59">
    <w:name w:val="样式 样式 正文01 + 黑色 首行缩进:  2 字符 段前: 0 磅 行距: 1.5 倍行距 + 首行缩进:  2 字符"/>
    <w:basedOn w:val="60"/>
    <w:autoRedefine/>
    <w:qFormat/>
    <w:uiPriority w:val="0"/>
    <w:pPr>
      <w:spacing w:line="440" w:lineRule="exact"/>
      <w:ind w:firstLine="200"/>
    </w:pPr>
    <w:rPr>
      <w:rFonts w:eastAsia="宋体"/>
      <w:bCs/>
    </w:rPr>
  </w:style>
  <w:style w:type="paragraph" w:customStyle="1" w:styleId="60">
    <w:name w:val="样式 正文（首行缩进两字） + (中文) 仿宋_GB2312 小四 行距: 1.5 倍行距"/>
    <w:basedOn w:val="8"/>
    <w:qFormat/>
    <w:uiPriority w:val="0"/>
    <w:pPr>
      <w:adjustRightInd/>
      <w:spacing w:line="360" w:lineRule="auto"/>
      <w:ind w:firstLine="480" w:firstLineChars="200"/>
      <w:textAlignment w:val="auto"/>
    </w:pPr>
    <w:rPr>
      <w:rFonts w:eastAsia="仿宋_GB2312"/>
      <w:kern w:val="2"/>
      <w:sz w:val="24"/>
    </w:rPr>
  </w:style>
  <w:style w:type="paragraph" w:customStyle="1" w:styleId="61">
    <w:name w:val="表格标题（）"/>
    <w:basedOn w:val="1"/>
    <w:autoRedefine/>
    <w:qFormat/>
    <w:uiPriority w:val="0"/>
    <w:pPr>
      <w:widowControl w:val="0"/>
      <w:spacing w:line="240" w:lineRule="auto"/>
      <w:ind w:firstLine="0" w:firstLineChars="0"/>
      <w:jc w:val="center"/>
    </w:pPr>
    <w:rPr>
      <w:rFonts w:eastAsia="黑体"/>
      <w:color w:val="000000"/>
      <w:lang w:val="zh-CN" w:bidi="he-IL"/>
    </w:rPr>
  </w:style>
  <w:style w:type="paragraph" w:customStyle="1" w:styleId="62">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63">
    <w:name w:val="表格标题"/>
    <w:basedOn w:val="46"/>
    <w:next w:val="1"/>
    <w:qFormat/>
    <w:uiPriority w:val="0"/>
    <w:pPr>
      <w:tabs>
        <w:tab w:val="left" w:pos="4507"/>
      </w:tabs>
      <w:wordWrap/>
      <w:overflowPunct/>
      <w:topLinePunct w:val="0"/>
      <w:adjustRightInd/>
      <w:spacing w:beforeLines="50" w:line="240" w:lineRule="auto"/>
      <w:jc w:val="center"/>
    </w:pPr>
    <w:rPr>
      <w:rFonts w:ascii="等线" w:hAnsi="等线" w:eastAsia="黑体" w:cs="等线"/>
      <w:spacing w:val="4"/>
      <w:kern w:val="2"/>
      <w:sz w:val="24"/>
      <w:szCs w:val="24"/>
    </w:rPr>
  </w:style>
  <w:style w:type="paragraph" w:customStyle="1" w:styleId="64">
    <w:name w:val="表格内容"/>
    <w:basedOn w:val="20"/>
    <w:next w:val="1"/>
    <w:qFormat/>
    <w:uiPriority w:val="0"/>
    <w:pPr>
      <w:autoSpaceDE w:val="0"/>
      <w:autoSpaceDN w:val="0"/>
      <w:ind w:firstLine="0"/>
      <w:jc w:val="center"/>
    </w:pPr>
    <w:rPr>
      <w:kern w:val="0"/>
      <w:sz w:val="24"/>
      <w:lang w:bidi="he-IL"/>
    </w:rPr>
  </w:style>
  <w:style w:type="paragraph" w:customStyle="1" w:styleId="65">
    <w:name w:val="5文章(治)"/>
    <w:basedOn w:val="1"/>
    <w:qFormat/>
    <w:uiPriority w:val="0"/>
    <w:pPr>
      <w:keepNext w:val="0"/>
      <w:keepLines w:val="0"/>
      <w:widowControl w:val="0"/>
      <w:suppressLineNumbers w:val="0"/>
      <w:spacing w:before="0" w:beforeAutospacing="0" w:after="0" w:afterAutospacing="0" w:line="360" w:lineRule="auto"/>
      <w:ind w:left="0" w:right="0" w:firstLine="560" w:firstLineChars="200"/>
      <w:jc w:val="both"/>
    </w:pPr>
    <w:rPr>
      <w:rFonts w:hint="default" w:ascii="Times New Roman" w:hAnsi="Times New Roman" w:eastAsia="宋体" w:cs="Times New Roman"/>
      <w:kern w:val="2"/>
      <w:sz w:val="24"/>
      <w:szCs w:val="20"/>
      <w:lang w:val="en-US" w:eastAsia="zh-CN" w:bidi="ar-SA"/>
    </w:rPr>
  </w:style>
  <w:style w:type="character" w:customStyle="1" w:styleId="66">
    <w:name w:val="样式 zhang正文 + 宋体 小四 Char"/>
    <w:basedOn w:val="67"/>
    <w:link w:val="69"/>
    <w:qFormat/>
    <w:uiPriority w:val="0"/>
    <w:rPr>
      <w:rFonts w:ascii="宋体" w:hAnsi="宋体" w:eastAsia="宋体"/>
      <w:sz w:val="24"/>
    </w:rPr>
  </w:style>
  <w:style w:type="character" w:customStyle="1" w:styleId="67">
    <w:name w:val="zhang正文 Char1"/>
    <w:basedOn w:val="68"/>
    <w:link w:val="43"/>
    <w:autoRedefine/>
    <w:qFormat/>
    <w:uiPriority w:val="0"/>
    <w:rPr>
      <w:rFonts w:eastAsia="楷体_GB2312"/>
      <w:sz w:val="28"/>
    </w:rPr>
  </w:style>
  <w:style w:type="character" w:customStyle="1" w:styleId="68">
    <w:name w:val="正文文本缩进 Char1"/>
    <w:basedOn w:val="25"/>
    <w:link w:val="13"/>
    <w:autoRedefine/>
    <w:qFormat/>
    <w:uiPriority w:val="0"/>
    <w:rPr>
      <w:kern w:val="0"/>
      <w:sz w:val="24"/>
      <w:szCs w:val="20"/>
    </w:rPr>
  </w:style>
  <w:style w:type="paragraph" w:customStyle="1" w:styleId="69">
    <w:name w:val="样式 zhang正文 + 宋体 小四"/>
    <w:basedOn w:val="43"/>
    <w:link w:val="66"/>
    <w:autoRedefine/>
    <w:qFormat/>
    <w:uiPriority w:val="0"/>
    <w:rPr>
      <w:rFonts w:ascii="宋体" w:hAnsi="宋体" w:eastAsia="宋体"/>
      <w:sz w:val="24"/>
    </w:rPr>
  </w:style>
  <w:style w:type="paragraph" w:customStyle="1" w:styleId="70">
    <w:name w:val="4正文"/>
    <w:basedOn w:val="1"/>
    <w:qFormat/>
    <w:uiPriority w:val="0"/>
    <w:pPr>
      <w:adjustRightInd w:val="0"/>
      <w:snapToGrid w:val="0"/>
      <w:spacing w:line="360" w:lineRule="auto"/>
      <w:ind w:firstLine="480" w:firstLineChars="200"/>
    </w:pPr>
    <w:rPr>
      <w:rFonts w:eastAsia="宋体" w:cs="宋体"/>
      <w:sz w:val="24"/>
    </w:rPr>
  </w:style>
  <w:style w:type="paragraph" w:customStyle="1" w:styleId="71">
    <w:name w:val="屠彪标题"/>
    <w:basedOn w:val="1"/>
    <w:autoRedefine/>
    <w:qFormat/>
    <w:uiPriority w:val="0"/>
    <w:pPr>
      <w:adjustRightInd w:val="0"/>
      <w:snapToGrid w:val="0"/>
      <w:spacing w:before="10" w:beforeLines="10" w:after="10" w:afterLines="10"/>
      <w:jc w:val="center"/>
    </w:pPr>
    <w:rPr>
      <w:rFonts w:ascii="Times New Roman" w:hAnsi="Times New Roman" w:eastAsia="宋体"/>
      <w:b/>
      <w:kern w:val="0"/>
      <w:sz w:val="24"/>
      <w:szCs w:val="20"/>
    </w:rPr>
  </w:style>
  <w:style w:type="paragraph" w:customStyle="1" w:styleId="72">
    <w:name w:val="表格样式"/>
    <w:basedOn w:val="1"/>
    <w:next w:val="1"/>
    <w:qFormat/>
    <w:uiPriority w:val="0"/>
    <w:pPr>
      <w:keepNext/>
      <w:overflowPunct w:val="0"/>
      <w:snapToGrid w:val="0"/>
      <w:spacing w:line="340" w:lineRule="exact"/>
      <w:ind w:left="0" w:firstLine="0"/>
      <w:jc w:val="center"/>
      <w:outlineLvl w:val="9"/>
    </w:pPr>
    <w:rPr>
      <w:rFonts w:hint="eastAsia" w:ascii="Times New Roman" w:hAnsi="Times New Roman" w:eastAsia="宋体" w:cs="Times New Roman"/>
      <w:bCs/>
      <w:color w:val="000000"/>
      <w:kern w:val="44"/>
      <w:szCs w:val="30"/>
    </w:rPr>
  </w:style>
  <w:style w:type="table" w:customStyle="1" w:styleId="73">
    <w:name w:val="表格样式1"/>
    <w:basedOn w:val="23"/>
    <w:autoRedefine/>
    <w:qFormat/>
    <w:uiPriority w:val="0"/>
    <w:pPr>
      <w:jc w:val="center"/>
    </w:pPr>
    <w:rPr>
      <w:sz w:val="21"/>
    </w:rPr>
    <w:tblPr>
      <w:tblBorders>
        <w:top w:val="single" w:color="auto" w:sz="12" w:space="0"/>
        <w:bottom w:val="single" w:color="auto" w:sz="12" w:space="0"/>
        <w:insideH w:val="single" w:color="auto" w:sz="6" w:space="0"/>
        <w:insideV w:val="single" w:color="auto" w:sz="6" w:space="0"/>
      </w:tblBorders>
      <w:tblCellMar>
        <w:left w:w="57" w:type="dxa"/>
        <w:right w:w="57" w:type="dxa"/>
      </w:tblCellMar>
    </w:tblPr>
    <w:tcPr>
      <w:vAlign w:val="center"/>
    </w:tcPr>
  </w:style>
  <w:style w:type="paragraph" w:customStyle="1" w:styleId="74">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75">
    <w:name w:val="标题111"/>
    <w:basedOn w:val="22"/>
    <w:autoRedefine/>
    <w:qFormat/>
    <w:uiPriority w:val="0"/>
    <w:pPr>
      <w:adjustRightInd w:val="0"/>
      <w:snapToGrid w:val="0"/>
      <w:spacing w:before="0" w:beforeAutospacing="0" w:after="0" w:afterAutospacing="0" w:line="360" w:lineRule="auto"/>
      <w:jc w:val="center"/>
      <w:outlineLvl w:val="0"/>
    </w:pPr>
    <w:rPr>
      <w:rFonts w:ascii="Times New Roman" w:hAnsi="Times New Roman" w:eastAsia="黑体"/>
      <w:snapToGrid w:val="0"/>
      <w:sz w:val="32"/>
      <w:szCs w:val="30"/>
    </w:rPr>
  </w:style>
  <w:style w:type="paragraph" w:customStyle="1" w:styleId="76">
    <w:name w:val="正文(首行缩进)"/>
    <w:basedOn w:val="1"/>
    <w:qFormat/>
    <w:uiPriority w:val="0"/>
    <w:pPr>
      <w:adjustRightInd w:val="0"/>
      <w:snapToGrid w:val="0"/>
      <w:spacing w:line="360" w:lineRule="auto"/>
      <w:ind w:firstLine="200" w:firstLineChars="200"/>
    </w:pPr>
    <w:rPr>
      <w:snapToGrid w:val="0"/>
      <w:szCs w:val="24"/>
    </w:rPr>
  </w:style>
  <w:style w:type="paragraph" w:customStyle="1" w:styleId="77">
    <w:name w:val="表格文本"/>
    <w:basedOn w:val="1"/>
    <w:autoRedefine/>
    <w:qFormat/>
    <w:uiPriority w:val="0"/>
    <w:pPr>
      <w:autoSpaceDE w:val="0"/>
      <w:autoSpaceDN w:val="0"/>
      <w:spacing w:line="320" w:lineRule="exact"/>
      <w:jc w:val="center"/>
      <w:textAlignment w:val="baseline"/>
    </w:pPr>
    <w:rPr>
      <w:rFonts w:ascii="Times New Roman" w:hAnsi="Times New Roman" w:eastAsia="宋体"/>
      <w:kern w:val="0"/>
      <w:sz w:val="21"/>
      <w:szCs w:val="20"/>
    </w:rPr>
  </w:style>
  <w:style w:type="table" w:customStyle="1" w:styleId="78">
    <w:name w:val="Table Normal"/>
    <w:semiHidden/>
    <w:unhideWhenUsed/>
    <w:qFormat/>
    <w:uiPriority w:val="0"/>
    <w:tblPr>
      <w:tblCellMar>
        <w:top w:w="0" w:type="dxa"/>
        <w:left w:w="0" w:type="dxa"/>
        <w:bottom w:w="0" w:type="dxa"/>
        <w:right w:w="0" w:type="dxa"/>
      </w:tblCellMar>
    </w:tblPr>
  </w:style>
  <w:style w:type="paragraph" w:customStyle="1" w:styleId="79">
    <w:name w:val="Table Paragraph"/>
    <w:basedOn w:val="1"/>
    <w:qFormat/>
    <w:uiPriority w:val="1"/>
    <w:pPr>
      <w:jc w:val="center"/>
    </w:pPr>
    <w:rPr>
      <w:rFonts w:ascii="宋体" w:hAnsi="宋体" w:cs="宋体"/>
      <w:lang w:val="zh-CN" w:bidi="zh-CN"/>
    </w:rPr>
  </w:style>
  <w:style w:type="paragraph" w:customStyle="1" w:styleId="80">
    <w:name w:val="表格的字"/>
    <w:basedOn w:val="81"/>
    <w:next w:val="1"/>
    <w:qFormat/>
    <w:uiPriority w:val="0"/>
    <w:pPr>
      <w:jc w:val="center"/>
    </w:pPr>
    <w:rPr>
      <w:szCs w:val="21"/>
      <w:lang w:val="en-US" w:eastAsia="zh-CN" w:bidi="ar-SA"/>
    </w:rPr>
  </w:style>
  <w:style w:type="paragraph" w:customStyle="1" w:styleId="81">
    <w:name w:val="项目基本情况的字"/>
    <w:basedOn w:val="1"/>
    <w:qFormat/>
    <w:uiPriority w:val="0"/>
    <w:pPr>
      <w:jc w:val="center"/>
    </w:pPr>
    <w:rPr>
      <w:rFonts w:cs="宋体"/>
    </w:rPr>
  </w:style>
  <w:style w:type="character" w:customStyle="1" w:styleId="82">
    <w:name w:val="标题 2 Char"/>
    <w:link w:val="3"/>
    <w:qFormat/>
    <w:uiPriority w:val="0"/>
    <w:rPr>
      <w:rFonts w:ascii="Times New Roman" w:hAnsi="Times New Roman" w:eastAsia="宋体"/>
      <w:b/>
      <w:bCs/>
      <w:sz w:val="24"/>
      <w:szCs w:val="32"/>
    </w:rPr>
  </w:style>
  <w:style w:type="paragraph" w:customStyle="1" w:styleId="83">
    <w:name w:val="注释"/>
    <w:qFormat/>
    <w:uiPriority w:val="0"/>
    <w:pPr>
      <w:widowControl w:val="0"/>
      <w:adjustRightInd w:val="0"/>
      <w:snapToGrid w:val="0"/>
      <w:spacing w:line="360" w:lineRule="auto"/>
      <w:jc w:val="both"/>
      <w:textAlignment w:val="baseline"/>
    </w:pPr>
    <w:rPr>
      <w:rFonts w:ascii="Calibri" w:hAnsi="Calibri" w:eastAsia="宋体" w:cs="宋体"/>
      <w:snapToGrid w:val="0"/>
      <w:spacing w:val="4"/>
      <w:sz w:val="24"/>
      <w:szCs w:val="21"/>
      <w:lang w:val="en-US" w:eastAsia="zh-CN" w:bidi="ar-SA"/>
    </w:rPr>
  </w:style>
  <w:style w:type="paragraph" w:customStyle="1" w:styleId="84">
    <w:name w:val="111正文的格式"/>
    <w:basedOn w:val="1"/>
    <w:qFormat/>
    <w:uiPriority w:val="0"/>
    <w:pPr>
      <w:adjustRightInd w:val="0"/>
      <w:snapToGrid w:val="0"/>
      <w:spacing w:line="360" w:lineRule="auto"/>
      <w:ind w:firstLine="480" w:firstLineChars="200"/>
    </w:pPr>
    <w:rPr>
      <w:color w:val="0000FF"/>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3.xml"/><Relationship Id="rId49" Type="http://schemas.openxmlformats.org/officeDocument/2006/relationships/image" Target="media/image30.jpeg"/><Relationship Id="rId48" Type="http://schemas.openxmlformats.org/officeDocument/2006/relationships/image" Target="file:///C:\Users\Admin\AppData\Local\Temp\ksohtml12936\wps12.png" TargetMode="External"/><Relationship Id="rId47" Type="http://schemas.openxmlformats.org/officeDocument/2006/relationships/image" Target="media/image29.png"/><Relationship Id="rId46" Type="http://schemas.openxmlformats.org/officeDocument/2006/relationships/image" Target="file:///C:\Users\Admin\AppData\Local\Temp\ksohtml12936\wps11.png" TargetMode="External"/><Relationship Id="rId45" Type="http://schemas.openxmlformats.org/officeDocument/2006/relationships/image" Target="media/image28.png"/><Relationship Id="rId44" Type="http://schemas.openxmlformats.org/officeDocument/2006/relationships/image" Target="file:///C:\Users\Admin\AppData\Local\Temp\ksohtml12936\wps10.png" TargetMode="External"/><Relationship Id="rId43" Type="http://schemas.openxmlformats.org/officeDocument/2006/relationships/image" Target="media/image27.png"/><Relationship Id="rId42" Type="http://schemas.openxmlformats.org/officeDocument/2006/relationships/image" Target="file:///C:\Users\Admin\AppData\Local\Temp\ksohtml12936\wps9.png" TargetMode="External"/><Relationship Id="rId41" Type="http://schemas.openxmlformats.org/officeDocument/2006/relationships/image" Target="media/image26.png"/><Relationship Id="rId40" Type="http://schemas.openxmlformats.org/officeDocument/2006/relationships/image" Target="file:///C:\Users\Admin\AppData\Local\Temp\ksohtml12936\wps8.png" TargetMode="External"/><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file:///C:\Users\Admin\AppData\Local\Temp\ksohtml12936\wps7.png" TargetMode="External"/><Relationship Id="rId37" Type="http://schemas.openxmlformats.org/officeDocument/2006/relationships/image" Target="media/image24.png"/><Relationship Id="rId36" Type="http://schemas.openxmlformats.org/officeDocument/2006/relationships/image" Target="file:///C:\Users\Admin\AppData\Local\Temp\ksohtml12936\wps6.png" TargetMode="External"/><Relationship Id="rId35" Type="http://schemas.openxmlformats.org/officeDocument/2006/relationships/image" Target="media/image23.png"/><Relationship Id="rId34" Type="http://schemas.openxmlformats.org/officeDocument/2006/relationships/image" Target="file:///C:\Users\Admin\AppData\Local\Temp\ksohtml12936\wps5.png" TargetMode="External"/><Relationship Id="rId33" Type="http://schemas.openxmlformats.org/officeDocument/2006/relationships/image" Target="media/image22.png"/><Relationship Id="rId32" Type="http://schemas.openxmlformats.org/officeDocument/2006/relationships/image" Target="file:///C:\Users\Admin\AppData\Local\Temp\ksohtml12936\wps4.png" TargetMode="External"/><Relationship Id="rId31" Type="http://schemas.openxmlformats.org/officeDocument/2006/relationships/image" Target="media/image21.png"/><Relationship Id="rId30" Type="http://schemas.openxmlformats.org/officeDocument/2006/relationships/image" Target="file:///C:\Users\Admin\AppData\Local\Temp\ksohtml12936\wps3.png" TargetMode="External"/><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file:///C:\Users\Admin\AppData\Local\Temp\ksohtml12936\wps2.png" TargetMode="External"/><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emf"/><Relationship Id="rId24" Type="http://schemas.openxmlformats.org/officeDocument/2006/relationships/oleObject" Target="embeddings/oleObject1.bin"/><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Y1NzAyNzY4NDA3IiwKCSJHcm91cElkIiA6ICIxMTIxNzI2MjI1IiwKCSJJbWFnZSIgOiAiaVZCT1J3MEtHZ29BQUFBTlNVaEVVZ0FBQTN3QUFBTW1DQVlBQUFDdUFZT3pBQUFBQVhOU1IwSUFyczRjNlFBQUlBQkpSRUZVZUp6czNYbDhWTlg5Ly9IM3VUTkpJSkN3THlKV3RGZ1dTY2lkNE5yYUZqZFFxd1UzRm5kY3Eyd0t1TFZTdm9odGJYSHJWeEVVVWFxQ1dIZVJud3Z1WHhXVjVDWVJJaWdWa0VVaHNpU0VKR1F5OS96K0lKa21JU0JneUNURDYvbDQ1RUhtbkh2ditkeDVuSkI4NWl4WEF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VDEzdjhEcVpoUzFUUzBQbDhBQUFBQVNVVk9SSzVDWUlJPSIsCgkiVGhlbWUiIDogIiIsCgkiVHlwZSIgOiAiZmxvdyIsCgkiVXNlcklkIiA6ICIxMDU0MTI4NzM3IiwKCSJWZXJzaW9uIiA6ICI0NCIKfQo="/>
    </extobj>
    <extobj name="ECB019B1-382A-4266-B25C-5B523AA43C14-2">
      <extobjdata type="ECB019B1-382A-4266-B25C-5B523AA43C14" data="ewoJIkZpbGVJZCIgOiAiNDY3Njk0NTI0MTIxIiwKCSJHcm91cElkIiA6ICIxMTIxNzI2MjI1IiwKCSJJbWFnZSIgOiAiaVZCT1J3MEtHZ29BQUFBTlNVaEVVZ0FBQlRnQUFBSTNDQVlBQUFDL0dEU2dBQUFBQVhOU1IwSUFyczRjNlFBQUlBQkpSRUZVZUp6czNYdDh6L1hqLy8vN2EzdnR4TVkyYXpZV2M0bzVSRDhSb2pjUmI4cWh2bFFrWitaUTZFMElHYVBRcUJ4eVNDbWRVL2tnbFZaSU9VWk9PVXU4bldrMHpNN2I2L2ZIZTN1K1g4KzlYbU5IczcxdjE4dWxpK2ZqOFh3OEg4L0g4N1ZYeWQzaitYaE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XdQKzNCNGNFQUFBQUFJTCt2N2E1QWdBQUFBQUFBQUFBQUFBQUFBQUFBQUFBQUFBQUFBQUFBQUFBQUFBQUFBQUFBQUFBQUFBQUFBQUFBQUFBQUFBQUFBQUFBQUFBQUFBQUFBQUFBQUFBQUFBQUFBQUFBQUFBQUFBQUFBQmdBZUdVcmlpNzVIQ0JBQUFBQUVsRlRrU3VRbUNDIiwKCSJUaGVtZSIgOiAiIiwKCSJUeXBlIiA6ICJmbG93IiwKCSJVc2VySWQiIDogIjEwNTQxMjg3Mz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98</Pages>
  <Words>3917</Words>
  <Characters>4218</Characters>
  <Lines>0</Lines>
  <Paragraphs>0</Paragraphs>
  <TotalTime>3</TotalTime>
  <ScaleCrop>false</ScaleCrop>
  <LinksUpToDate>false</LinksUpToDate>
  <CharactersWithSpaces>4284</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2025-09-23T14:57:00Z</dcterms:created>
  <dc:creator>波波</dc:creator>
  <cp:lastModifiedBy>admin</cp:lastModifiedBy>
  <cp:lastPrinted>2025-11-20T08:48:00Z</cp:lastPrinted>
  <dcterms:modified xsi:type="dcterms:W3CDTF">2025-11-25T07:12:14Z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KSOTemplateDocerSaveRecord">
    <vt:lpwstr>eyJoZGlkIjoiODIxOTQwYmRmYmY3YWI0ZmJiMDI1ZTBkNDIyN2Q3YzgiLCJ1c2VySWQiOiIxMDU0MTI4NzM3In0=</vt:lpwstr>
  </property>
  <property fmtid="{D5CDD505-2E9C-101B-9397-08002B2CF9AE}" pid="4" name="ICV">
    <vt:lpwstr>3833A5D204404E3286D8FE85DC7847CB_13</vt:lpwstr>
  </property>
</Properties>
</file>