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175B3F">
      <w:pPr>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lang w:eastAsia="zh-CN"/>
        </w:rPr>
        <w:drawing>
          <wp:anchor distT="0" distB="0" distL="114300" distR="114300" simplePos="0" relativeHeight="251669504" behindDoc="0" locked="0" layoutInCell="1" allowOverlap="1">
            <wp:simplePos x="0" y="0"/>
            <wp:positionH relativeFrom="column">
              <wp:posOffset>127000</wp:posOffset>
            </wp:positionH>
            <wp:positionV relativeFrom="paragraph">
              <wp:posOffset>-179705</wp:posOffset>
            </wp:positionV>
            <wp:extent cx="5612765" cy="8150225"/>
            <wp:effectExtent l="0" t="0" r="635" b="3175"/>
            <wp:wrapNone/>
            <wp:docPr id="17" name="图片 17" descr="打印编号：1763548879000 (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打印编号：1763548879000 (1)_02"/>
                    <pic:cNvPicPr>
                      <a:picLocks noChangeAspect="1"/>
                    </pic:cNvPicPr>
                  </pic:nvPicPr>
                  <pic:blipFill>
                    <a:blip r:embed="rId18"/>
                    <a:stretch>
                      <a:fillRect/>
                    </a:stretch>
                  </pic:blipFill>
                  <pic:spPr>
                    <a:xfrm>
                      <a:off x="0" y="0"/>
                      <a:ext cx="5612765" cy="8150225"/>
                    </a:xfrm>
                    <a:prstGeom prst="rect">
                      <a:avLst/>
                    </a:prstGeom>
                  </pic:spPr>
                </pic:pic>
              </a:graphicData>
            </a:graphic>
          </wp:anchor>
        </w:drawing>
      </w:r>
    </w:p>
    <w:p w14:paraId="5974367A">
      <w:pPr>
        <w:rPr>
          <w:rFonts w:hint="default" w:ascii="Times New Roman" w:hAnsi="Times New Roman" w:eastAsia="仿宋_GB2312" w:cs="Times New Roman"/>
          <w:color w:val="auto"/>
          <w:sz w:val="36"/>
          <w:szCs w:val="36"/>
        </w:rPr>
      </w:pPr>
    </w:p>
    <w:p w14:paraId="4E0ED774">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13884"/>
      <w:bookmarkStart w:id="1" w:name="_Toc3201"/>
      <w:bookmarkStart w:id="2" w:name="_Toc17221"/>
      <w:bookmarkStart w:id="3" w:name="_Toc3761"/>
      <w:bookmarkStart w:id="4" w:name="_Toc16675"/>
      <w:bookmarkStart w:id="5" w:name="_Toc3158"/>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bookmarkEnd w:id="4"/>
      <w:bookmarkEnd w:id="5"/>
    </w:p>
    <w:p w14:paraId="5C00157C">
      <w:pPr>
        <w:adjustRightInd w:val="0"/>
        <w:snapToGrid w:val="0"/>
        <w:spacing w:before="192" w:beforeLines="80"/>
        <w:jc w:val="center"/>
        <w:rPr>
          <w:rFonts w:hint="default" w:ascii="Times New Roman" w:hAnsi="Times New Roman" w:eastAsia="楷体_GB2312" w:cs="Times New Roman"/>
          <w:bCs/>
          <w:color w:val="auto"/>
          <w:sz w:val="48"/>
          <w:szCs w:val="48"/>
          <w:lang w:eastAsia="zh-CN"/>
        </w:rPr>
      </w:pPr>
      <w:r>
        <w:rPr>
          <w:rFonts w:hint="default" w:ascii="Times New Roman" w:hAnsi="Times New Roman" w:eastAsia="楷体_GB2312" w:cs="Times New Roman"/>
          <w:bCs/>
          <w:color w:val="auto"/>
          <w:sz w:val="48"/>
          <w:szCs w:val="48"/>
          <w:lang w:eastAsia="zh-CN"/>
        </w:rPr>
        <w:t>(</w:t>
      </w:r>
      <w:r>
        <w:rPr>
          <w:rFonts w:hint="default" w:ascii="Times New Roman" w:hAnsi="Times New Roman" w:eastAsia="楷体_GB2312" w:cs="Times New Roman"/>
          <w:bCs/>
          <w:color w:val="auto"/>
          <w:sz w:val="48"/>
          <w:szCs w:val="48"/>
        </w:rPr>
        <w:t>污染影响类</w:t>
      </w:r>
      <w:r>
        <w:rPr>
          <w:rFonts w:hint="default" w:ascii="Times New Roman" w:hAnsi="Times New Roman" w:eastAsia="楷体_GB2312" w:cs="Times New Roman"/>
          <w:bCs/>
          <w:color w:val="auto"/>
          <w:sz w:val="48"/>
          <w:szCs w:val="48"/>
          <w:lang w:eastAsia="zh-CN"/>
        </w:rPr>
        <w:t>)</w:t>
      </w:r>
    </w:p>
    <w:p w14:paraId="5A1ABCE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华文仿宋" w:cs="Times New Roman"/>
          <w:color w:val="auto"/>
          <w:kern w:val="44"/>
          <w:sz w:val="44"/>
          <w:szCs w:val="44"/>
        </w:rPr>
      </w:pPr>
    </w:p>
    <w:p w14:paraId="47A224A0">
      <w:pPr>
        <w:jc w:val="center"/>
        <w:rPr>
          <w:rFonts w:hint="default" w:ascii="Times New Roman" w:hAnsi="Times New Roman" w:eastAsia="仿宋" w:cs="Times New Roman"/>
          <w:color w:val="auto"/>
          <w:sz w:val="52"/>
          <w:szCs w:val="52"/>
        </w:rPr>
      </w:pPr>
    </w:p>
    <w:p w14:paraId="01CDBEB8">
      <w:pPr>
        <w:ind w:firstLine="1040"/>
        <w:rPr>
          <w:rFonts w:hint="default" w:ascii="Times New Roman" w:hAnsi="Times New Roman" w:eastAsia="仿宋" w:cs="Times New Roman"/>
          <w:color w:val="auto"/>
          <w:sz w:val="44"/>
          <w:szCs w:val="44"/>
        </w:rPr>
      </w:pPr>
    </w:p>
    <w:p w14:paraId="4BE3C525">
      <w:pPr>
        <w:ind w:firstLine="1040"/>
        <w:rPr>
          <w:rFonts w:hint="default" w:ascii="Times New Roman" w:hAnsi="Times New Roman" w:eastAsia="仿宋" w:cs="Times New Roman"/>
          <w:color w:val="auto"/>
          <w:sz w:val="44"/>
          <w:szCs w:val="44"/>
        </w:rPr>
      </w:pPr>
    </w:p>
    <w:p w14:paraId="3782C996">
      <w:pPr>
        <w:ind w:firstLine="1040"/>
        <w:rPr>
          <w:rFonts w:hint="default" w:ascii="Times New Roman" w:hAnsi="Times New Roman" w:eastAsia="仿宋" w:cs="Times New Roman"/>
          <w:color w:val="auto"/>
          <w:sz w:val="44"/>
          <w:szCs w:val="44"/>
        </w:rPr>
      </w:pPr>
    </w:p>
    <w:p w14:paraId="1BB58879">
      <w:pPr>
        <w:ind w:firstLine="1040"/>
        <w:rPr>
          <w:rFonts w:hint="default" w:ascii="Times New Roman" w:hAnsi="Times New Roman" w:eastAsia="仿宋" w:cs="Times New Roman"/>
          <w:color w:val="auto"/>
          <w:sz w:val="44"/>
          <w:szCs w:val="44"/>
        </w:rPr>
      </w:pPr>
    </w:p>
    <w:p w14:paraId="56C28EF0">
      <w:pPr>
        <w:adjustRightInd w:val="0"/>
        <w:snapToGrid w:val="0"/>
        <w:spacing w:line="288" w:lineRule="auto"/>
        <w:ind w:firstLine="1040"/>
        <w:rPr>
          <w:rFonts w:hint="default" w:ascii="Times New Roman" w:hAnsi="Times New Roman" w:eastAsia="仿宋_GB2312" w:cs="Times New Roman"/>
          <w:color w:val="auto"/>
          <w:sz w:val="36"/>
          <w:szCs w:val="36"/>
          <w:u w:val="single"/>
        </w:rPr>
      </w:pPr>
    </w:p>
    <w:p w14:paraId="7D42DA4E">
      <w:pPr>
        <w:adjustRightInd w:val="0"/>
        <w:snapToGrid w:val="0"/>
        <w:spacing w:line="288" w:lineRule="auto"/>
        <w:ind w:firstLine="1040"/>
        <w:rPr>
          <w:rFonts w:hint="default" w:ascii="Times New Roman" w:hAnsi="Times New Roman" w:eastAsia="仿宋_GB2312" w:cs="Times New Roman"/>
          <w:color w:val="auto"/>
          <w:sz w:val="36"/>
          <w:szCs w:val="36"/>
        </w:rPr>
      </w:pPr>
    </w:p>
    <w:p w14:paraId="3D652B88">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both"/>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lang w:val="en-US" w:eastAsia="zh-CN"/>
        </w:rPr>
        <w:t>福州市福清亿树资源再生有限公司年回收加</w:t>
      </w:r>
    </w:p>
    <w:p w14:paraId="2652F662">
      <w:pPr>
        <w:keepNext w:val="0"/>
        <w:keepLines w:val="0"/>
        <w:pageBreakBefore w:val="0"/>
        <w:widowControl w:val="0"/>
        <w:kinsoku/>
        <w:wordWrap/>
        <w:overflowPunct/>
        <w:topLinePunct w:val="0"/>
        <w:autoSpaceDE/>
        <w:autoSpaceDN/>
        <w:bidi w:val="0"/>
        <w:adjustRightInd w:val="0"/>
        <w:snapToGrid w:val="0"/>
        <w:spacing w:line="288" w:lineRule="auto"/>
        <w:ind w:firstLine="1980" w:firstLineChars="550"/>
        <w:jc w:val="both"/>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u w:val="single"/>
          <w:lang w:val="en-US" w:eastAsia="zh-CN"/>
        </w:rPr>
        <w:t xml:space="preserve">工输液瓶（袋）10400吨、年回收加工破碎  </w:t>
      </w:r>
    </w:p>
    <w:p w14:paraId="411F4352">
      <w:pPr>
        <w:keepNext w:val="0"/>
        <w:keepLines w:val="0"/>
        <w:pageBreakBefore w:val="0"/>
        <w:widowControl w:val="0"/>
        <w:kinsoku/>
        <w:wordWrap/>
        <w:overflowPunct/>
        <w:topLinePunct w:val="0"/>
        <w:autoSpaceDE/>
        <w:autoSpaceDN/>
        <w:bidi w:val="0"/>
        <w:adjustRightInd w:val="0"/>
        <w:snapToGrid w:val="0"/>
        <w:spacing w:line="288" w:lineRule="auto"/>
        <w:ind w:firstLine="1980" w:firstLineChars="550"/>
        <w:jc w:val="both"/>
        <w:textAlignment w:val="auto"/>
        <w:rPr>
          <w:rFonts w:hint="default" w:ascii="Times New Roman" w:hAnsi="Times New Roman" w:eastAsia="仿宋_GB2312" w:cs="Times New Roman"/>
          <w:color w:val="auto"/>
          <w:sz w:val="36"/>
          <w:szCs w:val="36"/>
          <w:u w:val="single"/>
          <w:lang w:val="en-US"/>
        </w:rPr>
      </w:pPr>
      <w:r>
        <w:rPr>
          <w:rFonts w:hint="default" w:ascii="Times New Roman" w:hAnsi="Times New Roman" w:eastAsia="仿宋_GB2312" w:cs="Times New Roman"/>
          <w:color w:val="auto"/>
          <w:sz w:val="36"/>
          <w:szCs w:val="36"/>
          <w:u w:val="single"/>
          <w:lang w:val="en-US" w:eastAsia="zh-CN"/>
        </w:rPr>
        <w:t xml:space="preserve">          生活塑料4000吨项目         </w:t>
      </w:r>
    </w:p>
    <w:p w14:paraId="579F9CC6">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建设单位</w:t>
      </w:r>
      <w:r>
        <w:rPr>
          <w:rFonts w:hint="default" w:ascii="Times New Roman" w:hAnsi="Times New Roman" w:eastAsia="仿宋_GB2312" w:cs="Times New Roman"/>
          <w:color w:val="auto"/>
          <w:sz w:val="36"/>
          <w:szCs w:val="36"/>
          <w:lang w:eastAsia="zh-CN"/>
        </w:rPr>
        <w:t>(</w:t>
      </w:r>
      <w:r>
        <w:rPr>
          <w:rFonts w:hint="default" w:ascii="Times New Roman" w:hAnsi="Times New Roman" w:eastAsia="仿宋_GB2312" w:cs="Times New Roman"/>
          <w:color w:val="auto"/>
          <w:sz w:val="36"/>
          <w:szCs w:val="36"/>
        </w:rPr>
        <w:t>盖章</w:t>
      </w:r>
      <w:r>
        <w:rPr>
          <w:rFonts w:hint="default" w:ascii="Times New Roman" w:hAnsi="Times New Roman" w:eastAsia="仿宋_GB2312" w:cs="Times New Roman"/>
          <w:color w:val="auto"/>
          <w:sz w:val="36"/>
          <w:szCs w:val="36"/>
          <w:lang w:eastAsia="zh-CN"/>
        </w:rPr>
        <w:t>)</w:t>
      </w:r>
      <w:r>
        <w:rPr>
          <w:rFonts w:hint="default" w:ascii="Times New Roman" w:hAnsi="Times New Roman" w:eastAsia="仿宋_GB2312" w:cs="Times New Roman"/>
          <w:color w:val="auto"/>
          <w:sz w:val="36"/>
          <w:szCs w:val="36"/>
        </w:rPr>
        <w:t>：</w:t>
      </w:r>
      <w:r>
        <w:rPr>
          <w:rFonts w:hint="default" w:ascii="Times New Roman" w:hAnsi="Times New Roman" w:eastAsia="仿宋_GB2312" w:cs="Times New Roman"/>
          <w:color w:val="auto"/>
          <w:sz w:val="36"/>
          <w:szCs w:val="36"/>
          <w:u w:val="single"/>
          <w:lang w:val="en-US" w:eastAsia="zh-CN"/>
        </w:rPr>
        <w:t xml:space="preserve">福州市福清亿树资源再生有限公司            </w:t>
      </w:r>
    </w:p>
    <w:p w14:paraId="108ED670">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仿宋_GB2312" w:cs="Times New Roman"/>
          <w:color w:val="auto"/>
          <w:sz w:val="36"/>
          <w:szCs w:val="36"/>
          <w:u w:val="single"/>
          <w:lang w:val="en-US"/>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lang w:val="en-US" w:eastAsia="zh-CN"/>
        </w:rPr>
        <w:t>2025年11月</w:t>
      </w:r>
      <w:r>
        <w:rPr>
          <w:rFonts w:hint="default" w:ascii="Times New Roman" w:hAnsi="Times New Roman" w:eastAsia="仿宋_GB2312" w:cs="Times New Roman"/>
          <w:color w:val="auto"/>
          <w:sz w:val="36"/>
          <w:szCs w:val="36"/>
          <w:u w:val="single"/>
          <w:lang w:eastAsia="zh-CN"/>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eastAsia="zh-CN"/>
        </w:rPr>
        <w:t xml:space="preserve">   </w:t>
      </w:r>
      <w:r>
        <w:rPr>
          <w:rFonts w:hint="default" w:ascii="Times New Roman" w:hAnsi="Times New Roman" w:eastAsia="仿宋_GB2312" w:cs="Times New Roman"/>
          <w:color w:val="auto"/>
          <w:sz w:val="36"/>
          <w:szCs w:val="36"/>
          <w:u w:val="single"/>
          <w:lang w:val="en-US" w:eastAsia="zh-CN"/>
        </w:rPr>
        <w:t xml:space="preserve">      </w:t>
      </w:r>
    </w:p>
    <w:p w14:paraId="35B69344">
      <w:pPr>
        <w:adjustRightInd w:val="0"/>
        <w:snapToGrid w:val="0"/>
        <w:spacing w:line="288" w:lineRule="auto"/>
        <w:ind w:firstLine="1040"/>
        <w:rPr>
          <w:rFonts w:hint="default" w:ascii="Times New Roman" w:hAnsi="Times New Roman" w:eastAsia="仿宋_GB2312" w:cs="Times New Roman"/>
          <w:color w:val="auto"/>
          <w:sz w:val="36"/>
          <w:szCs w:val="36"/>
        </w:rPr>
      </w:pPr>
      <w:bookmarkStart w:id="6" w:name="_Hlk57884087"/>
    </w:p>
    <w:p w14:paraId="7F08BE3A">
      <w:pPr>
        <w:adjustRightInd w:val="0"/>
        <w:snapToGrid w:val="0"/>
        <w:spacing w:line="288" w:lineRule="auto"/>
        <w:ind w:firstLine="1040"/>
        <w:rPr>
          <w:rFonts w:hint="default" w:ascii="Times New Roman" w:hAnsi="Times New Roman" w:eastAsia="仿宋_GB2312" w:cs="Times New Roman"/>
          <w:color w:val="auto"/>
          <w:sz w:val="36"/>
          <w:szCs w:val="36"/>
        </w:rPr>
      </w:pPr>
    </w:p>
    <w:p w14:paraId="47745CB0">
      <w:pPr>
        <w:adjustRightInd w:val="0"/>
        <w:snapToGrid w:val="0"/>
        <w:spacing w:line="288" w:lineRule="auto"/>
        <w:ind w:firstLine="1040"/>
        <w:rPr>
          <w:rFonts w:hint="default" w:ascii="Times New Roman" w:hAnsi="Times New Roman" w:eastAsia="仿宋_GB2312" w:cs="Times New Roman"/>
          <w:color w:val="auto"/>
          <w:sz w:val="36"/>
          <w:szCs w:val="36"/>
        </w:rPr>
      </w:pPr>
    </w:p>
    <w:bookmarkEnd w:id="6"/>
    <w:p w14:paraId="51890475">
      <w:pPr>
        <w:adjustRightInd w:val="0"/>
        <w:snapToGrid w:val="0"/>
        <w:spacing w:line="288" w:lineRule="auto"/>
        <w:jc w:val="center"/>
        <w:outlineLvl w:val="0"/>
        <w:rPr>
          <w:rFonts w:hint="default" w:ascii="Times New Roman" w:hAnsi="Times New Roman" w:eastAsia="楷体_GB2312" w:cs="Times New Roman"/>
          <w:color w:val="auto"/>
          <w:sz w:val="36"/>
          <w:szCs w:val="36"/>
        </w:rPr>
      </w:pPr>
      <w:bookmarkStart w:id="7" w:name="_Toc27665"/>
      <w:bookmarkStart w:id="8" w:name="_Toc19968"/>
      <w:bookmarkStart w:id="9" w:name="_Toc2928"/>
      <w:bookmarkStart w:id="10" w:name="_Toc17679"/>
      <w:bookmarkStart w:id="11" w:name="_Toc3608"/>
      <w:bookmarkStart w:id="12" w:name="_Toc27414"/>
      <w:r>
        <w:rPr>
          <w:rFonts w:hint="default" w:ascii="Times New Roman" w:hAnsi="Times New Roman" w:eastAsia="楷体_GB2312" w:cs="Times New Roman"/>
          <w:color w:val="auto"/>
          <w:sz w:val="36"/>
          <w:szCs w:val="36"/>
        </w:rPr>
        <w:t>中华人民共和国生态环境部制</w:t>
      </w:r>
      <w:bookmarkEnd w:id="7"/>
      <w:bookmarkEnd w:id="8"/>
      <w:bookmarkEnd w:id="9"/>
      <w:bookmarkEnd w:id="10"/>
      <w:bookmarkEnd w:id="11"/>
      <w:bookmarkEnd w:id="12"/>
    </w:p>
    <w:p w14:paraId="508D3BCD">
      <w:pPr>
        <w:adjustRightInd w:val="0"/>
        <w:snapToGrid w:val="0"/>
        <w:spacing w:line="288" w:lineRule="auto"/>
        <w:ind w:firstLine="1040"/>
        <w:rPr>
          <w:rFonts w:hint="default" w:ascii="Times New Roman" w:hAnsi="Times New Roman" w:eastAsia="仿宋_GB2312" w:cs="Times New Roman"/>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300405A0">
      <w:pPr>
        <w:adjustRightInd w:val="0"/>
        <w:snapToGrid w:val="0"/>
        <w:spacing w:line="288" w:lineRule="auto"/>
        <w:jc w:val="center"/>
        <w:rPr>
          <w:rFonts w:hint="default" w:ascii="Times New Roman" w:hAnsi="Times New Roman" w:eastAsia="宋体" w:cs="Times New Roman"/>
          <w:color w:val="auto"/>
          <w:kern w:val="2"/>
          <w:sz w:val="24"/>
          <w:szCs w:val="24"/>
          <w:lang w:val="en-US" w:eastAsia="zh-CN" w:bidi="ar-SA"/>
        </w:rPr>
      </w:pPr>
    </w:p>
    <w:sdt>
      <w:sdtPr>
        <w:rPr>
          <w:rFonts w:hint="default" w:ascii="Times New Roman" w:hAnsi="Times New Roman" w:eastAsia="宋体" w:cs="Times New Roman"/>
          <w:color w:val="auto"/>
          <w:kern w:val="2"/>
          <w:sz w:val="24"/>
          <w:szCs w:val="24"/>
          <w:lang w:val="en-US" w:eastAsia="zh-CN" w:bidi="ar-SA"/>
        </w:rPr>
        <w:id w:val="147464940"/>
        <w15:color w:val="DBDBDB"/>
        <w:docPartObj>
          <w:docPartGallery w:val="Table of Contents"/>
          <w:docPartUnique/>
        </w:docPartObj>
      </w:sdtPr>
      <w:sdtEndPr>
        <w:rPr>
          <w:rFonts w:hint="default" w:ascii="Times New Roman" w:hAnsi="Times New Roman" w:eastAsia="宋体" w:cs="Times New Roman"/>
          <w:color w:val="auto"/>
          <w:kern w:val="2"/>
          <w:sz w:val="24"/>
          <w:szCs w:val="24"/>
          <w:lang w:val="en-US" w:eastAsia="zh-CN" w:bidi="ar-SA"/>
        </w:rPr>
      </w:sdtEndPr>
      <w:sdtContent>
        <w:p w14:paraId="49253994">
          <w:pPr>
            <w:spacing w:before="221" w:line="229" w:lineRule="auto"/>
            <w:ind w:left="5133"/>
            <w:rPr>
              <w:rFonts w:hint="default" w:ascii="Times New Roman" w:hAnsi="Times New Roman" w:eastAsia="宋体" w:cs="Times New Roman"/>
              <w:color w:val="auto"/>
              <w:sz w:val="24"/>
              <w:szCs w:val="24"/>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805F6EE">
          <w:pPr>
            <w:keepNext w:val="0"/>
            <w:keepLines w:val="0"/>
            <w:pageBreakBefore w:val="0"/>
            <w:kinsoku/>
            <w:wordWrap/>
            <w:overflowPunct/>
            <w:topLinePunct w:val="0"/>
            <w:autoSpaceDE/>
            <w:autoSpaceDN/>
            <w:bidi w:val="0"/>
            <w:adjustRightInd/>
            <w:snapToGrid/>
            <w:spacing w:before="0" w:after="0" w:line="440" w:lineRule="exact"/>
            <w:ind w:left="0" w:leftChars="0" w:right="0" w:righ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目录</w:t>
          </w:r>
        </w:p>
        <w:p w14:paraId="0F2A0128">
          <w:pPr>
            <w:pStyle w:val="20"/>
            <w:tabs>
              <w:tab w:val="right" w:leader="dot" w:pos="8844"/>
            </w:tabs>
            <w:rPr>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p>
        <w:p w14:paraId="0F80911C">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_Toc29765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一、建设项目基本情况</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_Toc29765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1</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09F7BBD2">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_Toc29409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二、建设项目工程分析</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_Toc29409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16</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728631E1">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_Toc19910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三、区域环境质量现状、环境保护目标及评价标准</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_Toc19910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31</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71FDC642">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_Toc2396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lang w:eastAsia="zh-CN"/>
            </w:rPr>
            <w:t>四、</w:t>
          </w:r>
          <w:r>
            <w:rPr>
              <w:rFonts w:hint="default" w:ascii="Times New Roman" w:hAnsi="Times New Roman" w:eastAsia="黑体" w:cs="Times New Roman"/>
              <w:snapToGrid w:val="0"/>
              <w:color w:val="auto"/>
              <w:sz w:val="24"/>
              <w:szCs w:val="24"/>
            </w:rPr>
            <w:t>主要环境影响和保护措施</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_Toc2396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41</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676541E4">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_Toc16509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五、环境保护措施监督检查清单</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_Toc16509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71</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7B9B2B0F">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_Toc12637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六、结论</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_Toc12637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74</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4648B2ED">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_Toc24612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lang w:val="en-US" w:eastAsia="zh-CN"/>
            </w:rPr>
            <w:t>附件一：委托书</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_Toc24612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0D365EC3">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_Toc17163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lang w:eastAsia="zh-CN"/>
            </w:rPr>
            <w:t>附件</w:t>
          </w:r>
          <w:r>
            <w:rPr>
              <w:rFonts w:hint="default" w:ascii="Times New Roman" w:hAnsi="Times New Roman" w:eastAsia="黑体" w:cs="Times New Roman"/>
              <w:color w:val="auto"/>
              <w:sz w:val="24"/>
              <w:szCs w:val="24"/>
              <w:lang w:val="en-US" w:eastAsia="zh-CN"/>
            </w:rPr>
            <w:t>二：备案证明</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_Toc17163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79007DE3">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_Toc12877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lang w:eastAsia="zh-CN"/>
            </w:rPr>
            <w:t>附件三</w:t>
          </w:r>
          <w:r>
            <w:rPr>
              <w:rFonts w:hint="default" w:ascii="Times New Roman" w:hAnsi="Times New Roman" w:eastAsia="黑体" w:cs="Times New Roman"/>
              <w:color w:val="auto"/>
              <w:sz w:val="24"/>
              <w:szCs w:val="24"/>
              <w:lang w:val="en-US" w:eastAsia="zh-CN"/>
            </w:rPr>
            <w:t>：营业执照及法人身份证复印件</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_Toc12877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02761D3D">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_Toc11156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lang w:eastAsia="zh-CN"/>
            </w:rPr>
            <w:t>附件四</w:t>
          </w:r>
          <w:r>
            <w:rPr>
              <w:rFonts w:hint="default" w:ascii="Times New Roman" w:hAnsi="Times New Roman" w:eastAsia="黑体" w:cs="Times New Roman"/>
              <w:color w:val="auto"/>
              <w:sz w:val="24"/>
              <w:szCs w:val="24"/>
              <w:lang w:val="en-US" w:eastAsia="zh-CN"/>
            </w:rPr>
            <w:t>：出租方产权证明</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_Toc11156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02451F60">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_Toc32205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lang w:val="en-US" w:eastAsia="zh-CN"/>
            </w:rPr>
            <w:t>附件五：厂房租赁合同</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_Toc32205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36778A9F">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_Toc21348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lang w:val="en-US" w:eastAsia="zh-CN"/>
            </w:rPr>
            <w:t>附件六：接管证明</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_Toc21348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07E124A3">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_Toc6789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lang w:val="en-US" w:eastAsia="zh-CN"/>
            </w:rPr>
            <w:t>附件七：厂区</w:t>
          </w:r>
          <w:r>
            <w:rPr>
              <w:rFonts w:hint="eastAsia" w:eastAsia="黑体" w:cs="Times New Roman"/>
              <w:color w:val="auto"/>
              <w:sz w:val="24"/>
              <w:szCs w:val="24"/>
              <w:lang w:val="en-US" w:eastAsia="zh-CN"/>
            </w:rPr>
            <w:t>总平面图</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_Toc6789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6EC742B1">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_Toc10081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lang w:val="en-US" w:eastAsia="zh-CN"/>
            </w:rPr>
            <w:t>附件八：总量指标承诺函</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_Toc10081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663463AD">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_Toc27714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kern w:val="2"/>
              <w:sz w:val="24"/>
              <w:szCs w:val="24"/>
              <w:lang w:val="en-US" w:eastAsia="zh-CN" w:bidi="ar-SA"/>
            </w:rPr>
            <w:t>附件九：分区管控综合查询报告</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_Toc27714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659D69AE">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_Toc25781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kern w:val="2"/>
              <w:sz w:val="24"/>
              <w:szCs w:val="24"/>
              <w:lang w:val="en-US" w:eastAsia="zh-CN" w:bidi="ar-SA"/>
            </w:rPr>
            <w:t>附件十：评审意见</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_Toc25781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54BA8476">
          <w:pPr>
            <w:pStyle w:val="20"/>
            <w:keepNext w:val="0"/>
            <w:keepLines w:val="0"/>
            <w:pageBreakBefore w:val="0"/>
            <w:widowControl w:val="0"/>
            <w:tabs>
              <w:tab w:val="right" w:leader="dot" w:pos="8844"/>
            </w:tabs>
            <w:kinsoku/>
            <w:wordWrap/>
            <w:overflowPunct/>
            <w:topLinePunct w:val="0"/>
            <w:autoSpaceDE/>
            <w:autoSpaceDN/>
            <w:bidi w:val="0"/>
            <w:adjustRightInd/>
            <w:snapToGrid/>
            <w:spacing w:line="336" w:lineRule="auto"/>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_Toc18891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bCs w:val="0"/>
              <w:color w:val="auto"/>
              <w:kern w:val="2"/>
              <w:sz w:val="24"/>
              <w:szCs w:val="24"/>
              <w:lang w:val="en-US" w:eastAsia="zh-CN" w:bidi="ar-SA"/>
            </w:rPr>
            <w:t>附件十一：废水源强引用的验收报告</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_Toc18891 \h </w:instrText>
          </w:r>
          <w:r>
            <w:rPr>
              <w:rFonts w:hint="default" w:ascii="Times New Roman" w:hAnsi="Times New Roman" w:eastAsia="黑体" w:cs="Times New Roman"/>
              <w:color w:val="auto"/>
              <w:sz w:val="24"/>
              <w:szCs w:val="24"/>
            </w:rPr>
            <w:fldChar w:fldCharType="separate"/>
          </w:r>
          <w:r>
            <w:rPr>
              <w:b/>
              <w:color w:val="auto"/>
            </w:rPr>
            <w:t>错误！未定义书签。</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55FAD6EA">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Cs w:val="24"/>
            </w:rPr>
            <w:fldChar w:fldCharType="end"/>
          </w:r>
        </w:p>
      </w:sdtContent>
    </w:sdt>
    <w:p w14:paraId="6BADE34E">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p>
    <w:p w14:paraId="100E25F5">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附图1 项目地理位置图</w:t>
      </w:r>
    </w:p>
    <w:p w14:paraId="69D338D4">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 xml:space="preserve"> 项目周边环境示意图</w:t>
      </w:r>
    </w:p>
    <w:p w14:paraId="6CDA829B">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附图</w:t>
      </w:r>
      <w:r>
        <w:rPr>
          <w:rFonts w:hint="default" w:ascii="Times New Roman" w:hAnsi="Times New Roman" w:eastAsia="宋体" w:cs="Times New Roman"/>
          <w:color w:val="auto"/>
          <w:sz w:val="24"/>
          <w:szCs w:val="24"/>
          <w:lang w:val="en-US" w:eastAsia="zh-CN"/>
        </w:rPr>
        <w:t>3 项目周边现状拍摄图</w:t>
      </w:r>
    </w:p>
    <w:p w14:paraId="67D5D391">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蓝谷海工装备产业综合体（一期）总平面图</w:t>
      </w:r>
    </w:p>
    <w:p w14:paraId="150644B7">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5 B37厂房</w:t>
      </w:r>
      <w:r>
        <w:rPr>
          <w:rFonts w:hint="default" w:ascii="Times New Roman" w:hAnsi="Times New Roman" w:eastAsia="宋体" w:cs="Times New Roman"/>
          <w:color w:val="auto"/>
          <w:sz w:val="24"/>
          <w:szCs w:val="24"/>
          <w:lang w:eastAsia="zh-CN"/>
        </w:rPr>
        <w:t>平面布置图</w:t>
      </w:r>
    </w:p>
    <w:p w14:paraId="663EA3BF">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闽台（福州）蓝色经济产业园总体规划修编（</w:t>
      </w:r>
      <w:r>
        <w:rPr>
          <w:rFonts w:hint="default" w:ascii="Times New Roman" w:hAnsi="Times New Roman" w:eastAsia="宋体" w:cs="Times New Roman"/>
          <w:color w:val="auto"/>
          <w:sz w:val="24"/>
          <w:szCs w:val="24"/>
          <w:lang w:val="en-US" w:eastAsia="zh-CN"/>
        </w:rPr>
        <w:t>2017-2035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-土地利用规划图</w:t>
      </w:r>
    </w:p>
    <w:p w14:paraId="34F5D021">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闽台(福州)蓝色经济产业园总体规划修编(2017-2035)--产业分布示意图</w:t>
      </w:r>
    </w:p>
    <w:p w14:paraId="78D143D7">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附图</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闽台(福州)蓝色经济产业园总体规划修编(2017-2035)--污水工程规划图</w:t>
      </w:r>
    </w:p>
    <w:p w14:paraId="703B8EF8">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附图</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2025年夏季福建省近岸海域235个国省控监测数据截图</w:t>
      </w:r>
    </w:p>
    <w:p w14:paraId="5D1F58BC">
      <w:pPr>
        <w:pStyle w:val="20"/>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sectPr>
          <w:headerReference r:id="rId8" w:type="default"/>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24"/>
          <w:szCs w:val="24"/>
        </w:rPr>
        <w:fldChar w:fldCharType="end"/>
      </w:r>
    </w:p>
    <w:p w14:paraId="5D3C826C">
      <w:pPr>
        <w:pStyle w:val="22"/>
        <w:jc w:val="center"/>
        <w:outlineLvl w:val="0"/>
        <w:rPr>
          <w:rFonts w:hint="default" w:ascii="Times New Roman" w:hAnsi="Times New Roman" w:eastAsia="宋体" w:cs="Times New Roman"/>
          <w:snapToGrid w:val="0"/>
          <w:color w:val="auto"/>
          <w:sz w:val="30"/>
          <w:szCs w:val="30"/>
        </w:rPr>
      </w:pPr>
      <w:bookmarkStart w:id="13" w:name="_Toc29765"/>
      <w:r>
        <w:rPr>
          <w:rFonts w:hint="default" w:ascii="Times New Roman" w:hAnsi="Times New Roman" w:eastAsia="黑体" w:cs="Times New Roman"/>
          <w:snapToGrid w:val="0"/>
          <w:color w:val="auto"/>
          <w:sz w:val="30"/>
          <w:szCs w:val="30"/>
        </w:rPr>
        <w:t>一、建设项目基本情况</w:t>
      </w:r>
      <w:bookmarkEnd w:id="1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48"/>
        <w:gridCol w:w="765"/>
        <w:gridCol w:w="1692"/>
        <w:gridCol w:w="2090"/>
        <w:gridCol w:w="3375"/>
      </w:tblGrid>
      <w:tr w14:paraId="30214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gridSpan w:val="2"/>
            <w:noWrap w:val="0"/>
            <w:tcMar>
              <w:top w:w="16" w:type="dxa"/>
              <w:left w:w="16" w:type="dxa"/>
              <w:right w:w="16" w:type="dxa"/>
            </w:tcMar>
            <w:vAlign w:val="center"/>
          </w:tcPr>
          <w:p w14:paraId="37A92F3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建设项目名称</w:t>
            </w:r>
          </w:p>
        </w:tc>
        <w:tc>
          <w:tcPr>
            <w:tcW w:w="7157" w:type="dxa"/>
            <w:gridSpan w:val="3"/>
            <w:noWrap w:val="0"/>
            <w:vAlign w:val="center"/>
          </w:tcPr>
          <w:p w14:paraId="0BD1995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eastAsia="zh-CN"/>
              </w:rPr>
            </w:pPr>
            <w:bookmarkStart w:id="49" w:name="_GoBack"/>
            <w:r>
              <w:rPr>
                <w:rFonts w:hint="default" w:ascii="Times New Roman" w:hAnsi="Times New Roman" w:cs="Times New Roman"/>
                <w:color w:val="auto"/>
                <w:szCs w:val="21"/>
                <w:lang w:eastAsia="zh-CN"/>
              </w:rPr>
              <w:t>福州市福清亿树资源再生有限公司年回收加工输液瓶（袋）10400吨、年回收加工破碎生活塑料4000吨项目</w:t>
            </w:r>
            <w:bookmarkEnd w:id="49"/>
          </w:p>
        </w:tc>
      </w:tr>
      <w:tr w14:paraId="5D43E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gridSpan w:val="2"/>
            <w:noWrap w:val="0"/>
            <w:tcMar>
              <w:top w:w="16" w:type="dxa"/>
              <w:left w:w="16" w:type="dxa"/>
              <w:right w:w="16" w:type="dxa"/>
            </w:tcMar>
            <w:vAlign w:val="center"/>
          </w:tcPr>
          <w:p w14:paraId="2218851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项目代码</w:t>
            </w:r>
          </w:p>
        </w:tc>
        <w:tc>
          <w:tcPr>
            <w:tcW w:w="7157" w:type="dxa"/>
            <w:gridSpan w:val="3"/>
            <w:noWrap w:val="0"/>
            <w:vAlign w:val="center"/>
          </w:tcPr>
          <w:p w14:paraId="6E338F0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2511-350181-04-01-357900</w:t>
            </w:r>
          </w:p>
        </w:tc>
      </w:tr>
      <w:tr w14:paraId="254AC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gridSpan w:val="2"/>
            <w:noWrap w:val="0"/>
            <w:tcMar>
              <w:top w:w="16" w:type="dxa"/>
              <w:left w:w="16" w:type="dxa"/>
              <w:right w:w="16" w:type="dxa"/>
            </w:tcMar>
            <w:vAlign w:val="center"/>
          </w:tcPr>
          <w:p w14:paraId="67905B7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建设单位联系人</w:t>
            </w:r>
          </w:p>
        </w:tc>
        <w:tc>
          <w:tcPr>
            <w:tcW w:w="1692" w:type="dxa"/>
            <w:noWrap w:val="0"/>
            <w:vAlign w:val="center"/>
          </w:tcPr>
          <w:p w14:paraId="0F31FCE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rPr>
            </w:pPr>
            <w:r>
              <w:rPr>
                <w:rFonts w:hint="default" w:ascii="Times New Roman" w:hAnsi="Times New Roman" w:cs="Times New Roman"/>
                <w:color w:val="auto"/>
                <w:szCs w:val="21"/>
                <w:lang w:eastAsia="zh-CN"/>
              </w:rPr>
              <w:t>林</w:t>
            </w:r>
            <w:r>
              <w:rPr>
                <w:rFonts w:hint="eastAsia" w:cs="Times New Roman"/>
                <w:color w:val="auto"/>
                <w:szCs w:val="21"/>
                <w:lang w:val="en-US" w:eastAsia="zh-CN"/>
              </w:rPr>
              <w:t>**</w:t>
            </w:r>
          </w:p>
        </w:tc>
        <w:tc>
          <w:tcPr>
            <w:tcW w:w="2090" w:type="dxa"/>
            <w:noWrap w:val="0"/>
            <w:vAlign w:val="center"/>
          </w:tcPr>
          <w:p w14:paraId="34A9FFD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联系方式</w:t>
            </w:r>
          </w:p>
        </w:tc>
        <w:tc>
          <w:tcPr>
            <w:tcW w:w="3375" w:type="dxa"/>
            <w:noWrap w:val="0"/>
            <w:vAlign w:val="center"/>
          </w:tcPr>
          <w:p w14:paraId="427AA39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rPr>
            </w:pPr>
            <w:r>
              <w:rPr>
                <w:rFonts w:hint="default" w:ascii="Times New Roman" w:hAnsi="Times New Roman" w:cs="Times New Roman"/>
                <w:color w:val="auto"/>
                <w:szCs w:val="21"/>
                <w:lang w:eastAsia="zh-CN"/>
              </w:rPr>
              <w:t>137</w:t>
            </w:r>
            <w:r>
              <w:rPr>
                <w:rFonts w:hint="eastAsia" w:cs="Times New Roman"/>
                <w:color w:val="auto"/>
                <w:szCs w:val="21"/>
                <w:lang w:val="en-US" w:eastAsia="zh-CN"/>
              </w:rPr>
              <w:t>****</w:t>
            </w:r>
            <w:r>
              <w:rPr>
                <w:rFonts w:hint="default" w:ascii="Times New Roman" w:hAnsi="Times New Roman" w:cs="Times New Roman"/>
                <w:color w:val="auto"/>
                <w:szCs w:val="21"/>
                <w:lang w:eastAsia="zh-CN"/>
              </w:rPr>
              <w:t>3832</w:t>
            </w:r>
          </w:p>
        </w:tc>
      </w:tr>
      <w:tr w14:paraId="3440B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1713" w:type="dxa"/>
            <w:gridSpan w:val="2"/>
            <w:noWrap w:val="0"/>
            <w:tcMar>
              <w:top w:w="16" w:type="dxa"/>
              <w:left w:w="16" w:type="dxa"/>
              <w:right w:w="16" w:type="dxa"/>
            </w:tcMar>
            <w:vAlign w:val="center"/>
          </w:tcPr>
          <w:p w14:paraId="4F0E744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建设地点</w:t>
            </w:r>
          </w:p>
        </w:tc>
        <w:tc>
          <w:tcPr>
            <w:tcW w:w="7157" w:type="dxa"/>
            <w:gridSpan w:val="3"/>
            <w:noWrap w:val="0"/>
            <w:vAlign w:val="center"/>
          </w:tcPr>
          <w:p w14:paraId="0757007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福建省福州市福清市</w:t>
            </w:r>
            <w:r>
              <w:rPr>
                <w:rFonts w:hint="default" w:ascii="Times New Roman" w:hAnsi="Times New Roman" w:cs="Times New Roman"/>
                <w:color w:val="auto"/>
                <w:szCs w:val="21"/>
                <w:lang w:eastAsia="zh-CN"/>
              </w:rPr>
              <w:t>江镜镇</w:t>
            </w:r>
            <w:r>
              <w:rPr>
                <w:rFonts w:hint="default" w:ascii="Times New Roman" w:hAnsi="Times New Roman" w:eastAsia="宋体" w:cs="Times New Roman"/>
                <w:color w:val="auto"/>
                <w:szCs w:val="21"/>
                <w:lang w:eastAsia="zh-CN"/>
              </w:rPr>
              <w:t>闽台（福州）蓝色经济产业园（租赁</w:t>
            </w:r>
            <w:r>
              <w:rPr>
                <w:rFonts w:hint="default" w:ascii="Times New Roman" w:hAnsi="Times New Roman" w:cs="Times New Roman"/>
                <w:color w:val="auto"/>
                <w:szCs w:val="21"/>
                <w:lang w:eastAsia="zh-CN"/>
              </w:rPr>
              <w:t>福州锦佳商贸有限公司B37栋厂房（二期）</w:t>
            </w:r>
            <w:r>
              <w:rPr>
                <w:rFonts w:hint="default" w:ascii="Times New Roman" w:hAnsi="Times New Roman" w:eastAsia="宋体" w:cs="Times New Roman"/>
                <w:color w:val="auto"/>
                <w:szCs w:val="21"/>
                <w:lang w:eastAsia="zh-CN"/>
              </w:rPr>
              <w:t>）</w:t>
            </w:r>
          </w:p>
        </w:tc>
      </w:tr>
      <w:tr w14:paraId="500BC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gridSpan w:val="2"/>
            <w:noWrap w:val="0"/>
            <w:tcMar>
              <w:top w:w="16" w:type="dxa"/>
              <w:left w:w="16" w:type="dxa"/>
              <w:right w:w="16" w:type="dxa"/>
            </w:tcMar>
            <w:vAlign w:val="center"/>
          </w:tcPr>
          <w:p w14:paraId="4727B0B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地理坐标</w:t>
            </w:r>
          </w:p>
        </w:tc>
        <w:tc>
          <w:tcPr>
            <w:tcW w:w="7157" w:type="dxa"/>
            <w:gridSpan w:val="3"/>
            <w:noWrap w:val="0"/>
            <w:vAlign w:val="center"/>
          </w:tcPr>
          <w:p w14:paraId="0C2A59A7">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经度：119°23′12.59</w:t>
            </w:r>
            <w:r>
              <w:rPr>
                <w:rFonts w:hint="default" w:ascii="Times New Roman" w:hAnsi="Times New Roman" w:cs="Times New Roman"/>
                <w:color w:val="auto"/>
                <w:szCs w:val="21"/>
                <w:lang w:val="en-US" w:eastAsia="zh-CN"/>
              </w:rPr>
              <w:t>6</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纬度：25°31′42.906″，地理位置图详见附图</w:t>
            </w:r>
            <w:r>
              <w:rPr>
                <w:rFonts w:hint="default" w:ascii="Times New Roman" w:hAnsi="Times New Roman" w:eastAsia="宋体" w:cs="Times New Roman"/>
                <w:color w:val="auto"/>
                <w:szCs w:val="21"/>
                <w:lang w:val="en-US" w:eastAsia="zh-CN"/>
              </w:rPr>
              <w:t>1</w:t>
            </w:r>
          </w:p>
        </w:tc>
      </w:tr>
      <w:tr w14:paraId="37519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3" w:type="dxa"/>
            <w:gridSpan w:val="2"/>
            <w:noWrap w:val="0"/>
            <w:tcMar>
              <w:top w:w="16" w:type="dxa"/>
              <w:left w:w="16" w:type="dxa"/>
              <w:right w:w="16" w:type="dxa"/>
            </w:tcMar>
            <w:vAlign w:val="center"/>
          </w:tcPr>
          <w:p w14:paraId="02DC1C7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国民经济</w:t>
            </w:r>
          </w:p>
          <w:p w14:paraId="33D1F32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行业类别</w:t>
            </w:r>
          </w:p>
        </w:tc>
        <w:tc>
          <w:tcPr>
            <w:tcW w:w="1692" w:type="dxa"/>
            <w:noWrap w:val="0"/>
            <w:vAlign w:val="center"/>
          </w:tcPr>
          <w:p w14:paraId="6573CDB8">
            <w:pPr>
              <w:pStyle w:val="15"/>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C</w:t>
            </w:r>
            <w:r>
              <w:rPr>
                <w:rFonts w:hint="default" w:ascii="Times New Roman" w:hAnsi="Times New Roman" w:cs="Times New Roman"/>
                <w:color w:val="auto"/>
                <w:kern w:val="2"/>
                <w:sz w:val="21"/>
                <w:szCs w:val="21"/>
                <w:lang w:val="en-US" w:eastAsia="zh-CN" w:bidi="ar-SA"/>
              </w:rPr>
              <w:t>4220</w:t>
            </w:r>
            <w:r>
              <w:rPr>
                <w:rFonts w:hint="default" w:ascii="Times New Roman" w:hAnsi="Times New Roman" w:eastAsia="宋体" w:cs="Times New Roman"/>
                <w:color w:val="auto"/>
                <w:kern w:val="2"/>
                <w:sz w:val="21"/>
                <w:szCs w:val="21"/>
                <w:lang w:val="en-US" w:eastAsia="zh-CN" w:bidi="ar-SA"/>
              </w:rPr>
              <w:t>(非金属废料和碎屑加工处理)</w:t>
            </w:r>
          </w:p>
        </w:tc>
        <w:tc>
          <w:tcPr>
            <w:tcW w:w="2090" w:type="dxa"/>
            <w:noWrap w:val="0"/>
            <w:vAlign w:val="center"/>
          </w:tcPr>
          <w:p w14:paraId="03277BE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bookmarkStart w:id="14" w:name="_Hlk49843745"/>
            <w:r>
              <w:rPr>
                <w:rFonts w:hint="default" w:ascii="Times New Roman" w:hAnsi="Times New Roman" w:eastAsia="宋体" w:cs="Times New Roman"/>
                <w:color w:val="auto"/>
                <w:szCs w:val="21"/>
              </w:rPr>
              <w:t>建设项目</w:t>
            </w:r>
          </w:p>
          <w:p w14:paraId="11BC3C3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行业类别</w:t>
            </w:r>
            <w:bookmarkEnd w:id="14"/>
          </w:p>
        </w:tc>
        <w:tc>
          <w:tcPr>
            <w:tcW w:w="3375" w:type="dxa"/>
            <w:noWrap w:val="0"/>
            <w:vAlign w:val="center"/>
          </w:tcPr>
          <w:p w14:paraId="17BA8C5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三十九、废弃资源综合利用业</w:t>
            </w:r>
            <w:r>
              <w:rPr>
                <w:rFonts w:hint="default" w:ascii="Times New Roman" w:hAnsi="Times New Roman" w:cs="Times New Roman"/>
                <w:color w:val="auto"/>
                <w:szCs w:val="21"/>
                <w:lang w:val="en-US" w:eastAsia="zh-CN"/>
              </w:rPr>
              <w:t>42-85金属废料和碎屑加工处理 421；非金属废料和碎屑加工处 理422（421和422均不含原料为危险废物的，均不含仅分拣、破碎的）</w:t>
            </w:r>
          </w:p>
        </w:tc>
      </w:tr>
      <w:tr w14:paraId="5FB53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3" w:type="dxa"/>
            <w:gridSpan w:val="2"/>
            <w:noWrap w:val="0"/>
            <w:tcMar>
              <w:top w:w="16" w:type="dxa"/>
              <w:left w:w="16" w:type="dxa"/>
              <w:right w:w="16" w:type="dxa"/>
            </w:tcMar>
            <w:vAlign w:val="center"/>
          </w:tcPr>
          <w:p w14:paraId="103D98B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建设性质</w:t>
            </w:r>
          </w:p>
        </w:tc>
        <w:tc>
          <w:tcPr>
            <w:tcW w:w="1692" w:type="dxa"/>
            <w:noWrap w:val="0"/>
            <w:vAlign w:val="center"/>
          </w:tcPr>
          <w:p w14:paraId="168D78ED">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新建（迁建）</w:t>
            </w:r>
          </w:p>
          <w:p w14:paraId="78A95B1E">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改建</w:t>
            </w:r>
          </w:p>
          <w:p w14:paraId="3C78CE87">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扩建</w:t>
            </w:r>
          </w:p>
          <w:p w14:paraId="13D0CFE2">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eastAsia="宋体" w:cs="Times New Roman"/>
                <w:color w:val="auto"/>
                <w:szCs w:val="21"/>
              </w:rPr>
              <w:t>技术改造</w:t>
            </w:r>
          </w:p>
        </w:tc>
        <w:tc>
          <w:tcPr>
            <w:tcW w:w="2090" w:type="dxa"/>
            <w:noWrap w:val="0"/>
            <w:vAlign w:val="center"/>
          </w:tcPr>
          <w:p w14:paraId="268DECD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w:t>
            </w:r>
          </w:p>
          <w:p w14:paraId="704D0F3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申报情形</w:t>
            </w:r>
          </w:p>
        </w:tc>
        <w:tc>
          <w:tcPr>
            <w:tcW w:w="3375" w:type="dxa"/>
            <w:noWrap w:val="0"/>
            <w:vAlign w:val="center"/>
          </w:tcPr>
          <w:p w14:paraId="3D957B50">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52"/>
            </w:r>
            <w:r>
              <w:rPr>
                <w:rFonts w:hint="default" w:ascii="Times New Roman" w:hAnsi="Times New Roman" w:eastAsia="宋体" w:cs="Times New Roman"/>
                <w:color w:val="auto"/>
                <w:szCs w:val="21"/>
              </w:rPr>
              <w:t xml:space="preserve">首次申报项目             </w:t>
            </w:r>
          </w:p>
          <w:p w14:paraId="2873B9B7">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不予批准后再次申报项目</w:t>
            </w:r>
          </w:p>
          <w:p w14:paraId="7735DD72">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 xml:space="preserve">超五年重新审核项目     </w:t>
            </w:r>
          </w:p>
          <w:p w14:paraId="751F8427">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重大变动重新报批项目</w:t>
            </w:r>
          </w:p>
        </w:tc>
      </w:tr>
      <w:tr w14:paraId="19AE1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3" w:type="dxa"/>
            <w:gridSpan w:val="2"/>
            <w:noWrap w:val="0"/>
            <w:tcMar>
              <w:top w:w="16" w:type="dxa"/>
              <w:left w:w="16" w:type="dxa"/>
              <w:right w:w="16" w:type="dxa"/>
            </w:tcMar>
            <w:vAlign w:val="center"/>
          </w:tcPr>
          <w:p w14:paraId="59EDFC4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w:t>
            </w:r>
          </w:p>
          <w:p w14:paraId="6B50AE5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备案）部门（选填）</w:t>
            </w:r>
          </w:p>
        </w:tc>
        <w:tc>
          <w:tcPr>
            <w:tcW w:w="1692" w:type="dxa"/>
            <w:noWrap w:val="0"/>
            <w:vAlign w:val="center"/>
          </w:tcPr>
          <w:p w14:paraId="3137FF3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福清市发展改革局</w:t>
            </w:r>
          </w:p>
        </w:tc>
        <w:tc>
          <w:tcPr>
            <w:tcW w:w="2090" w:type="dxa"/>
            <w:noWrap w:val="0"/>
            <w:vAlign w:val="center"/>
          </w:tcPr>
          <w:p w14:paraId="5A81F95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w:t>
            </w:r>
          </w:p>
          <w:p w14:paraId="519D544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备案）文号（选填）</w:t>
            </w:r>
          </w:p>
        </w:tc>
        <w:tc>
          <w:tcPr>
            <w:tcW w:w="3375" w:type="dxa"/>
            <w:noWrap w:val="0"/>
            <w:vAlign w:val="center"/>
          </w:tcPr>
          <w:p w14:paraId="07F5D5A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highlight w:val="none"/>
                <w:lang w:eastAsia="zh-CN"/>
              </w:rPr>
              <w:t>闽发改备[2025]A060421号</w:t>
            </w:r>
          </w:p>
        </w:tc>
      </w:tr>
      <w:tr w14:paraId="7C18F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gridSpan w:val="2"/>
            <w:noWrap w:val="0"/>
            <w:tcMar>
              <w:top w:w="16" w:type="dxa"/>
              <w:left w:w="16" w:type="dxa"/>
              <w:right w:w="16" w:type="dxa"/>
            </w:tcMar>
            <w:vAlign w:val="center"/>
          </w:tcPr>
          <w:p w14:paraId="19E4573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总投资（万元）</w:t>
            </w:r>
          </w:p>
        </w:tc>
        <w:tc>
          <w:tcPr>
            <w:tcW w:w="1692" w:type="dxa"/>
            <w:noWrap w:val="0"/>
            <w:vAlign w:val="center"/>
          </w:tcPr>
          <w:p w14:paraId="0E4E373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200</w:t>
            </w:r>
          </w:p>
        </w:tc>
        <w:tc>
          <w:tcPr>
            <w:tcW w:w="2090" w:type="dxa"/>
            <w:noWrap w:val="0"/>
            <w:tcMar>
              <w:top w:w="16" w:type="dxa"/>
              <w:left w:w="16" w:type="dxa"/>
              <w:right w:w="16" w:type="dxa"/>
            </w:tcMar>
            <w:vAlign w:val="center"/>
          </w:tcPr>
          <w:p w14:paraId="7281674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环保投资（万元）</w:t>
            </w:r>
          </w:p>
        </w:tc>
        <w:tc>
          <w:tcPr>
            <w:tcW w:w="3375" w:type="dxa"/>
            <w:noWrap w:val="0"/>
            <w:vAlign w:val="center"/>
          </w:tcPr>
          <w:p w14:paraId="5C43B6C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r>
              <w:rPr>
                <w:rFonts w:hint="eastAsia" w:cs="Times New Roman"/>
                <w:color w:val="auto"/>
                <w:szCs w:val="21"/>
                <w:lang w:val="en-US" w:eastAsia="zh-CN"/>
              </w:rPr>
              <w:t>9</w:t>
            </w:r>
          </w:p>
        </w:tc>
      </w:tr>
      <w:tr w14:paraId="20591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gridSpan w:val="2"/>
            <w:noWrap w:val="0"/>
            <w:tcMar>
              <w:top w:w="16" w:type="dxa"/>
              <w:left w:w="16" w:type="dxa"/>
              <w:right w:w="16" w:type="dxa"/>
            </w:tcMar>
            <w:vAlign w:val="center"/>
          </w:tcPr>
          <w:p w14:paraId="55F4168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环保投资占比（%）</w:t>
            </w:r>
          </w:p>
        </w:tc>
        <w:tc>
          <w:tcPr>
            <w:tcW w:w="1692" w:type="dxa"/>
            <w:noWrap w:val="0"/>
            <w:vAlign w:val="center"/>
          </w:tcPr>
          <w:p w14:paraId="14148AC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r>
              <w:rPr>
                <w:rFonts w:hint="eastAsia" w:cs="Times New Roman"/>
                <w:color w:val="auto"/>
                <w:szCs w:val="21"/>
                <w:lang w:val="en-US" w:eastAsia="zh-CN"/>
              </w:rPr>
              <w:t>.42</w:t>
            </w:r>
          </w:p>
        </w:tc>
        <w:tc>
          <w:tcPr>
            <w:tcW w:w="2090" w:type="dxa"/>
            <w:noWrap w:val="0"/>
            <w:tcMar>
              <w:top w:w="16" w:type="dxa"/>
              <w:left w:w="16" w:type="dxa"/>
              <w:right w:w="16" w:type="dxa"/>
            </w:tcMar>
            <w:vAlign w:val="center"/>
          </w:tcPr>
          <w:p w14:paraId="0E2DB7D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施工工期</w:t>
            </w:r>
          </w:p>
        </w:tc>
        <w:tc>
          <w:tcPr>
            <w:tcW w:w="3375" w:type="dxa"/>
            <w:noWrap w:val="0"/>
            <w:vAlign w:val="center"/>
          </w:tcPr>
          <w:p w14:paraId="0DF2B7C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w:t>
            </w:r>
            <w:r>
              <w:rPr>
                <w:rFonts w:hint="default" w:ascii="Times New Roman" w:hAnsi="Times New Roman" w:cs="Times New Roman"/>
                <w:color w:val="auto"/>
                <w:szCs w:val="21"/>
                <w:lang w:val="en-US" w:eastAsia="zh-CN"/>
              </w:rPr>
              <w:t>6</w:t>
            </w:r>
            <w:r>
              <w:rPr>
                <w:rFonts w:hint="default" w:ascii="Times New Roman" w:hAnsi="Times New Roman" w:eastAsia="宋体" w:cs="Times New Roman"/>
                <w:color w:val="auto"/>
                <w:szCs w:val="21"/>
                <w:lang w:val="en-US" w:eastAsia="zh-CN"/>
              </w:rPr>
              <w:t>年</w:t>
            </w:r>
            <w:r>
              <w:rPr>
                <w:rFonts w:hint="default"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月</w:t>
            </w:r>
            <w:r>
              <w:rPr>
                <w:rFonts w:hint="default" w:ascii="Times New Roman" w:hAnsi="Times New Roman" w:cs="Times New Roman"/>
                <w:color w:val="auto"/>
                <w:szCs w:val="21"/>
                <w:lang w:val="en-US" w:eastAsia="zh-CN"/>
              </w:rPr>
              <w:t>～</w:t>
            </w:r>
            <w:r>
              <w:rPr>
                <w:rFonts w:hint="default" w:ascii="Times New Roman" w:hAnsi="Times New Roman" w:eastAsia="宋体" w:cs="Times New Roman"/>
                <w:color w:val="auto"/>
                <w:szCs w:val="21"/>
                <w:lang w:val="en-US" w:eastAsia="zh-CN"/>
              </w:rPr>
              <w:t>202</w:t>
            </w:r>
            <w:r>
              <w:rPr>
                <w:rFonts w:hint="default" w:ascii="Times New Roman" w:hAnsi="Times New Roman" w:cs="Times New Roman"/>
                <w:color w:val="auto"/>
                <w:szCs w:val="21"/>
                <w:lang w:val="en-US" w:eastAsia="zh-CN"/>
              </w:rPr>
              <w:t>6</w:t>
            </w:r>
            <w:r>
              <w:rPr>
                <w:rFonts w:hint="default" w:ascii="Times New Roman" w:hAnsi="Times New Roman" w:eastAsia="宋体" w:cs="Times New Roman"/>
                <w:color w:val="auto"/>
                <w:szCs w:val="21"/>
                <w:lang w:val="en-US" w:eastAsia="zh-CN"/>
              </w:rPr>
              <w:t>年</w:t>
            </w: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lang w:val="en-US" w:eastAsia="zh-CN"/>
              </w:rPr>
              <w:t>月，</w:t>
            </w:r>
          </w:p>
          <w:p w14:paraId="309FC74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lang w:val="en-US" w:eastAsia="zh-CN"/>
              </w:rPr>
              <w:t>个月</w:t>
            </w:r>
          </w:p>
        </w:tc>
      </w:tr>
      <w:tr w14:paraId="4ABFE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gridSpan w:val="2"/>
            <w:noWrap w:val="0"/>
            <w:tcMar>
              <w:top w:w="16" w:type="dxa"/>
              <w:left w:w="16" w:type="dxa"/>
              <w:right w:w="16" w:type="dxa"/>
            </w:tcMar>
            <w:vAlign w:val="center"/>
          </w:tcPr>
          <w:p w14:paraId="61D0BAD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是否开工建设</w:t>
            </w:r>
          </w:p>
        </w:tc>
        <w:tc>
          <w:tcPr>
            <w:tcW w:w="1692" w:type="dxa"/>
            <w:noWrap w:val="0"/>
            <w:vAlign w:val="center"/>
          </w:tcPr>
          <w:p w14:paraId="3744B287">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否</w:t>
            </w:r>
          </w:p>
          <w:p w14:paraId="12780A32">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color w:val="auto"/>
                <w:szCs w:val="21"/>
              </w:rPr>
            </w:pPr>
            <w:r>
              <w:rPr>
                <w:rFonts w:hint="eastAsia" w:cs="Times New Roman"/>
                <w:color w:val="auto"/>
                <w:szCs w:val="21"/>
                <w:lang w:eastAsia="zh-CN"/>
              </w:rPr>
              <w:t>□</w:t>
            </w:r>
            <w:r>
              <w:rPr>
                <w:rFonts w:hint="default" w:ascii="Times New Roman" w:hAnsi="Times New Roman" w:eastAsia="宋体" w:cs="Times New Roman"/>
                <w:color w:val="auto"/>
                <w:szCs w:val="21"/>
              </w:rPr>
              <w:t>是：</w:t>
            </w:r>
            <w:r>
              <w:rPr>
                <w:rFonts w:hint="default" w:ascii="Times New Roman" w:hAnsi="Times New Roman" w:eastAsia="宋体" w:cs="Times New Roman"/>
                <w:color w:val="auto"/>
                <w:szCs w:val="21"/>
                <w:u w:val="single"/>
              </w:rPr>
              <w:t xml:space="preserve">             </w:t>
            </w:r>
          </w:p>
        </w:tc>
        <w:tc>
          <w:tcPr>
            <w:tcW w:w="2090" w:type="dxa"/>
            <w:noWrap w:val="0"/>
            <w:tcMar>
              <w:top w:w="16" w:type="dxa"/>
              <w:left w:w="16" w:type="dxa"/>
              <w:right w:w="16" w:type="dxa"/>
            </w:tcMar>
            <w:vAlign w:val="center"/>
          </w:tcPr>
          <w:p w14:paraId="26C447B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用地（用海）</w:t>
            </w:r>
          </w:p>
          <w:p w14:paraId="1AAE65F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面积（m</w:t>
            </w:r>
            <w:r>
              <w:rPr>
                <w:rFonts w:hint="default" w:ascii="Times New Roman" w:hAnsi="Times New Roman" w:eastAsia="宋体" w:cs="Times New Roman"/>
                <w:color w:val="auto"/>
                <w:spacing w:val="0"/>
                <w:sz w:val="21"/>
                <w:szCs w:val="21"/>
                <w:highlight w:val="none"/>
                <w:vertAlign w:val="superscript"/>
              </w:rPr>
              <w:t>2</w:t>
            </w:r>
            <w:r>
              <w:rPr>
                <w:rFonts w:hint="default" w:ascii="Times New Roman" w:hAnsi="Times New Roman" w:eastAsia="宋体" w:cs="Times New Roman"/>
                <w:color w:val="auto"/>
                <w:spacing w:val="0"/>
                <w:sz w:val="21"/>
                <w:szCs w:val="21"/>
                <w:highlight w:val="none"/>
              </w:rPr>
              <w:t>）</w:t>
            </w:r>
          </w:p>
        </w:tc>
        <w:tc>
          <w:tcPr>
            <w:tcW w:w="3375" w:type="dxa"/>
            <w:noWrap w:val="0"/>
            <w:vAlign w:val="center"/>
          </w:tcPr>
          <w:p w14:paraId="1071640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val="en-US" w:eastAsia="zh-CN"/>
              </w:rPr>
              <w:t>1723.62</w:t>
            </w:r>
            <w:r>
              <w:rPr>
                <w:rFonts w:hint="default" w:ascii="Times New Roman" w:hAnsi="Times New Roman" w:eastAsia="宋体" w:cs="Times New Roman"/>
                <w:color w:val="auto"/>
                <w:spacing w:val="0"/>
                <w:sz w:val="21"/>
                <w:szCs w:val="21"/>
                <w:highlight w:val="none"/>
                <w:lang w:eastAsia="zh-CN"/>
              </w:rPr>
              <w:t>m</w:t>
            </w:r>
            <w:r>
              <w:rPr>
                <w:rFonts w:hint="default" w:ascii="Times New Roman" w:hAnsi="Times New Roman" w:eastAsia="宋体" w:cs="Times New Roman"/>
                <w:color w:val="auto"/>
                <w:spacing w:val="0"/>
                <w:sz w:val="21"/>
                <w:szCs w:val="21"/>
                <w:highlight w:val="none"/>
                <w:vertAlign w:val="superscript"/>
              </w:rPr>
              <w:t>2</w:t>
            </w:r>
          </w:p>
        </w:tc>
      </w:tr>
      <w:tr w14:paraId="5C7521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48" w:type="dxa"/>
            <w:noWrap w:val="0"/>
            <w:vAlign w:val="center"/>
          </w:tcPr>
          <w:p w14:paraId="475DD636">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7922" w:type="dxa"/>
            <w:gridSpan w:val="4"/>
            <w:noWrap w:val="0"/>
            <w:vAlign w:val="center"/>
          </w:tcPr>
          <w:p w14:paraId="626AF793">
            <w:pPr>
              <w:pStyle w:val="12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根据《建设项目环境影响报告表编制技术指南(污染影响类)(试行)》，项目工程专项设置情况参照表1专项评价设置原则表，项目不设置专项评价</w:t>
            </w:r>
            <w:r>
              <w:rPr>
                <w:rFonts w:hint="default" w:ascii="Times New Roman" w:hAnsi="Times New Roman" w:cs="Times New Roman"/>
                <w:color w:val="auto"/>
                <w:lang w:eastAsia="zh-CN"/>
              </w:rPr>
              <w:t>。</w:t>
            </w:r>
          </w:p>
          <w:p w14:paraId="4107CD3C">
            <w:pPr>
              <w:spacing w:before="120" w:beforeLines="50"/>
              <w:jc w:val="center"/>
              <w:rPr>
                <w:rFonts w:hint="default" w:ascii="Times New Roman" w:hAnsi="Times New Roman" w:eastAsia="黑体" w:cs="Times New Roman"/>
                <w:bCs/>
                <w:color w:val="auto"/>
                <w:kern w:val="44"/>
                <w:sz w:val="24"/>
                <w:szCs w:val="24"/>
                <w:lang w:val="en-US" w:eastAsia="zh-CN" w:bidi="ar-SA"/>
              </w:rPr>
            </w:pPr>
          </w:p>
          <w:p w14:paraId="69F705B2">
            <w:pPr>
              <w:spacing w:before="120" w:beforeLines="50"/>
              <w:jc w:val="center"/>
              <w:rPr>
                <w:rFonts w:hint="default" w:ascii="Times New Roman" w:hAnsi="Times New Roman" w:eastAsia="黑体" w:cs="Times New Roman"/>
                <w:bCs/>
                <w:color w:val="auto"/>
                <w:kern w:val="44"/>
                <w:sz w:val="24"/>
                <w:szCs w:val="24"/>
                <w:lang w:val="en-US" w:eastAsia="zh-CN" w:bidi="ar-SA"/>
              </w:rPr>
            </w:pPr>
          </w:p>
          <w:p w14:paraId="1A0398A7">
            <w:pPr>
              <w:spacing w:before="120" w:beforeLines="50"/>
              <w:jc w:val="center"/>
              <w:rPr>
                <w:rFonts w:hint="default" w:ascii="Times New Roman" w:hAnsi="Times New Roman" w:eastAsia="黑体" w:cs="Times New Roman"/>
                <w:bCs/>
                <w:color w:val="auto"/>
                <w:kern w:val="44"/>
                <w:sz w:val="24"/>
                <w:szCs w:val="24"/>
                <w:lang w:val="en-US" w:eastAsia="zh-CN" w:bidi="ar-SA"/>
              </w:rPr>
            </w:pPr>
          </w:p>
          <w:p w14:paraId="1AEAEF82">
            <w:pPr>
              <w:spacing w:before="120" w:beforeLines="50"/>
              <w:jc w:val="center"/>
              <w:rPr>
                <w:rFonts w:hint="default" w:ascii="Times New Roman" w:hAnsi="Times New Roman" w:eastAsia="黑体" w:cs="Times New Roman"/>
                <w:bCs/>
                <w:color w:val="auto"/>
                <w:kern w:val="44"/>
                <w:sz w:val="24"/>
                <w:szCs w:val="24"/>
                <w:lang w:val="en-US" w:eastAsia="zh-CN" w:bidi="ar-SA"/>
              </w:rPr>
            </w:pPr>
          </w:p>
          <w:p w14:paraId="21DA92C4">
            <w:pPr>
              <w:spacing w:before="120" w:beforeLines="50"/>
              <w:jc w:val="center"/>
              <w:rPr>
                <w:rFonts w:hint="default" w:ascii="Times New Roman" w:hAnsi="Times New Roman" w:eastAsia="黑体" w:cs="Times New Roman"/>
                <w:bCs/>
                <w:color w:val="auto"/>
                <w:kern w:val="44"/>
                <w:sz w:val="24"/>
                <w:szCs w:val="24"/>
                <w:lang w:val="en-US" w:eastAsia="zh-CN" w:bidi="ar-SA"/>
              </w:rPr>
            </w:pPr>
          </w:p>
          <w:p w14:paraId="145FB8D7">
            <w:pPr>
              <w:spacing w:before="120" w:beforeLines="50"/>
              <w:jc w:val="center"/>
              <w:rPr>
                <w:rFonts w:hint="default" w:ascii="Times New Roman" w:hAnsi="Times New Roman" w:eastAsia="黑体" w:cs="Times New Roman"/>
                <w:bCs/>
                <w:color w:val="auto"/>
                <w:kern w:val="44"/>
                <w:sz w:val="21"/>
                <w:szCs w:val="21"/>
                <w:lang w:val="en-US" w:eastAsia="zh-CN" w:bidi="ar-SA"/>
              </w:rPr>
            </w:pPr>
            <w:r>
              <w:rPr>
                <w:rFonts w:hint="default" w:ascii="Times New Roman" w:hAnsi="Times New Roman" w:eastAsia="黑体" w:cs="Times New Roman"/>
                <w:bCs/>
                <w:color w:val="auto"/>
                <w:kern w:val="44"/>
                <w:sz w:val="24"/>
                <w:szCs w:val="24"/>
                <w:lang w:val="en-US" w:eastAsia="zh-CN" w:bidi="ar-SA"/>
              </w:rPr>
              <w:t>表1-1  项目专项评价设置表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894"/>
              <w:gridCol w:w="4369"/>
              <w:gridCol w:w="1717"/>
              <w:gridCol w:w="726"/>
            </w:tblGrid>
            <w:tr w14:paraId="5F0D05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80" w:type="pct"/>
                  <w:noWrap w:val="0"/>
                  <w:vAlign w:val="center"/>
                </w:tcPr>
                <w:p w14:paraId="2238E0E6">
                  <w:pPr>
                    <w:pStyle w:val="121"/>
                    <w:bidi w:val="0"/>
                    <w:rPr>
                      <w:rFonts w:hint="default" w:ascii="Times New Roman" w:hAnsi="Times New Roman" w:cs="Times New Roman"/>
                      <w:color w:val="auto"/>
                    </w:rPr>
                  </w:pPr>
                  <w:r>
                    <w:rPr>
                      <w:rFonts w:hint="default" w:ascii="Times New Roman" w:hAnsi="Times New Roman" w:cs="Times New Roman"/>
                      <w:color w:val="auto"/>
                    </w:rPr>
                    <w:t>专项评价类别</w:t>
                  </w:r>
                </w:p>
              </w:tc>
              <w:tc>
                <w:tcPr>
                  <w:tcW w:w="2834" w:type="pct"/>
                  <w:noWrap w:val="0"/>
                  <w:vAlign w:val="center"/>
                </w:tcPr>
                <w:p w14:paraId="3141E8C6">
                  <w:pPr>
                    <w:pStyle w:val="121"/>
                    <w:bidi w:val="0"/>
                    <w:rPr>
                      <w:rFonts w:hint="default" w:ascii="Times New Roman" w:hAnsi="Times New Roman" w:cs="Times New Roman"/>
                      <w:color w:val="auto"/>
                    </w:rPr>
                  </w:pPr>
                  <w:r>
                    <w:rPr>
                      <w:rFonts w:hint="default" w:ascii="Times New Roman" w:hAnsi="Times New Roman" w:cs="Times New Roman"/>
                      <w:color w:val="auto"/>
                    </w:rPr>
                    <w:t>涉及项目类别</w:t>
                  </w:r>
                </w:p>
              </w:tc>
              <w:tc>
                <w:tcPr>
                  <w:tcW w:w="1114" w:type="pct"/>
                  <w:noWrap w:val="0"/>
                  <w:vAlign w:val="center"/>
                </w:tcPr>
                <w:p w14:paraId="0BBB5959">
                  <w:pPr>
                    <w:pStyle w:val="121"/>
                    <w:bidi w:val="0"/>
                    <w:rPr>
                      <w:rFonts w:hint="default" w:ascii="Times New Roman" w:hAnsi="Times New Roman" w:cs="Times New Roman"/>
                      <w:color w:val="auto"/>
                    </w:rPr>
                  </w:pPr>
                  <w:r>
                    <w:rPr>
                      <w:rFonts w:hint="default" w:ascii="Times New Roman" w:hAnsi="Times New Roman" w:cs="Times New Roman"/>
                      <w:color w:val="auto"/>
                    </w:rPr>
                    <w:t>本项目评价</w:t>
                  </w:r>
                </w:p>
              </w:tc>
              <w:tc>
                <w:tcPr>
                  <w:tcW w:w="471" w:type="pct"/>
                  <w:noWrap w:val="0"/>
                  <w:vAlign w:val="center"/>
                </w:tcPr>
                <w:p w14:paraId="5770C9AA">
                  <w:pPr>
                    <w:pStyle w:val="121"/>
                    <w:bidi w:val="0"/>
                    <w:rPr>
                      <w:rFonts w:hint="default" w:ascii="Times New Roman" w:hAnsi="Times New Roman" w:cs="Times New Roman"/>
                      <w:color w:val="auto"/>
                    </w:rPr>
                  </w:pPr>
                  <w:r>
                    <w:rPr>
                      <w:rFonts w:hint="default" w:ascii="Times New Roman" w:hAnsi="Times New Roman" w:cs="Times New Roman"/>
                      <w:color w:val="auto"/>
                    </w:rPr>
                    <w:t>是否设置专项</w:t>
                  </w:r>
                </w:p>
              </w:tc>
            </w:tr>
            <w:tr w14:paraId="4D1AB3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80" w:type="pct"/>
                  <w:noWrap w:val="0"/>
                  <w:vAlign w:val="center"/>
                </w:tcPr>
                <w:p w14:paraId="0F6138CD">
                  <w:pPr>
                    <w:pStyle w:val="121"/>
                    <w:bidi w:val="0"/>
                    <w:rPr>
                      <w:rFonts w:hint="default" w:ascii="Times New Roman" w:hAnsi="Times New Roman" w:cs="Times New Roman"/>
                      <w:color w:val="auto"/>
                    </w:rPr>
                  </w:pPr>
                  <w:r>
                    <w:rPr>
                      <w:rFonts w:hint="default" w:ascii="Times New Roman" w:hAnsi="Times New Roman" w:cs="Times New Roman"/>
                      <w:color w:val="auto"/>
                    </w:rPr>
                    <w:t>大气</w:t>
                  </w:r>
                </w:p>
              </w:tc>
              <w:tc>
                <w:tcPr>
                  <w:tcW w:w="2834" w:type="pct"/>
                  <w:noWrap w:val="0"/>
                  <w:vAlign w:val="center"/>
                </w:tcPr>
                <w:p w14:paraId="6C7304D0">
                  <w:pPr>
                    <w:pStyle w:val="121"/>
                    <w:bidi w:val="0"/>
                    <w:rPr>
                      <w:rFonts w:hint="default" w:ascii="Times New Roman" w:hAnsi="Times New Roman" w:cs="Times New Roman"/>
                      <w:color w:val="auto"/>
                    </w:rPr>
                  </w:pPr>
                  <w:r>
                    <w:rPr>
                      <w:rFonts w:hint="default" w:ascii="Times New Roman" w:hAnsi="Times New Roman" w:cs="Times New Roman"/>
                      <w:color w:val="auto"/>
                    </w:rPr>
                    <w:t>排放废气含有毒有害污染物、二噁英、苯并[a]芘、氰化物、氯气且厂界外500米范围内有环境空气保护目标的建设项目</w:t>
                  </w:r>
                </w:p>
              </w:tc>
              <w:tc>
                <w:tcPr>
                  <w:tcW w:w="1114" w:type="pct"/>
                  <w:noWrap w:val="0"/>
                  <w:vAlign w:val="center"/>
                </w:tcPr>
                <w:p w14:paraId="2878F435">
                  <w:pPr>
                    <w:pStyle w:val="121"/>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不涉及</w:t>
                  </w:r>
                </w:p>
              </w:tc>
              <w:tc>
                <w:tcPr>
                  <w:tcW w:w="471" w:type="pct"/>
                  <w:noWrap w:val="0"/>
                  <w:vAlign w:val="center"/>
                </w:tcPr>
                <w:p w14:paraId="7D8B6695">
                  <w:pPr>
                    <w:pStyle w:val="121"/>
                    <w:bidi w:val="0"/>
                    <w:rPr>
                      <w:rFonts w:hint="default" w:ascii="Times New Roman" w:hAnsi="Times New Roman" w:cs="Times New Roman"/>
                      <w:color w:val="auto"/>
                    </w:rPr>
                  </w:pPr>
                  <w:r>
                    <w:rPr>
                      <w:rFonts w:hint="default" w:ascii="Times New Roman" w:hAnsi="Times New Roman" w:cs="Times New Roman"/>
                      <w:color w:val="auto"/>
                    </w:rPr>
                    <w:t>否</w:t>
                  </w:r>
                </w:p>
              </w:tc>
            </w:tr>
            <w:tr w14:paraId="0314B4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80" w:type="pct"/>
                  <w:noWrap w:val="0"/>
                  <w:vAlign w:val="center"/>
                </w:tcPr>
                <w:p w14:paraId="5E4523FD">
                  <w:pPr>
                    <w:pStyle w:val="121"/>
                    <w:bidi w:val="0"/>
                    <w:rPr>
                      <w:rFonts w:hint="default" w:ascii="Times New Roman" w:hAnsi="Times New Roman" w:cs="Times New Roman"/>
                      <w:color w:val="auto"/>
                    </w:rPr>
                  </w:pPr>
                  <w:r>
                    <w:rPr>
                      <w:rFonts w:hint="default" w:ascii="Times New Roman" w:hAnsi="Times New Roman" w:cs="Times New Roman"/>
                      <w:color w:val="auto"/>
                    </w:rPr>
                    <w:t>地表水</w:t>
                  </w:r>
                </w:p>
              </w:tc>
              <w:tc>
                <w:tcPr>
                  <w:tcW w:w="2834" w:type="pct"/>
                  <w:noWrap w:val="0"/>
                  <w:vAlign w:val="center"/>
                </w:tcPr>
                <w:p w14:paraId="724AFDB5">
                  <w:pPr>
                    <w:pStyle w:val="121"/>
                    <w:bidi w:val="0"/>
                    <w:rPr>
                      <w:rFonts w:hint="default" w:ascii="Times New Roman" w:hAnsi="Times New Roman" w:cs="Times New Roman"/>
                      <w:color w:val="auto"/>
                    </w:rPr>
                  </w:pPr>
                  <w:r>
                    <w:rPr>
                      <w:rFonts w:hint="default" w:ascii="Times New Roman" w:hAnsi="Times New Roman" w:cs="Times New Roman"/>
                      <w:color w:val="auto"/>
                    </w:rPr>
                    <w:t>新增工业废水直排建设项目(槽罐车外送污水处理厂的除外)；新增废水直排的污水集中处理厂</w:t>
                  </w:r>
                </w:p>
              </w:tc>
              <w:tc>
                <w:tcPr>
                  <w:tcW w:w="1114" w:type="pct"/>
                  <w:noWrap w:val="0"/>
                  <w:vAlign w:val="center"/>
                </w:tcPr>
                <w:p w14:paraId="2FFBA4A9">
                  <w:pPr>
                    <w:pStyle w:val="121"/>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不涉及</w:t>
                  </w:r>
                </w:p>
              </w:tc>
              <w:tc>
                <w:tcPr>
                  <w:tcW w:w="471" w:type="pct"/>
                  <w:noWrap w:val="0"/>
                  <w:vAlign w:val="center"/>
                </w:tcPr>
                <w:p w14:paraId="2008C0DA">
                  <w:pPr>
                    <w:pStyle w:val="121"/>
                    <w:bidi w:val="0"/>
                    <w:rPr>
                      <w:rFonts w:hint="default" w:ascii="Times New Roman" w:hAnsi="Times New Roman" w:cs="Times New Roman"/>
                      <w:color w:val="auto"/>
                    </w:rPr>
                  </w:pPr>
                  <w:r>
                    <w:rPr>
                      <w:rFonts w:hint="default" w:ascii="Times New Roman" w:hAnsi="Times New Roman" w:cs="Times New Roman"/>
                      <w:color w:val="auto"/>
                    </w:rPr>
                    <w:t>否</w:t>
                  </w:r>
                </w:p>
              </w:tc>
            </w:tr>
            <w:tr w14:paraId="018761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80" w:type="pct"/>
                  <w:noWrap w:val="0"/>
                  <w:vAlign w:val="center"/>
                </w:tcPr>
                <w:p w14:paraId="071DBB22">
                  <w:pPr>
                    <w:pStyle w:val="121"/>
                    <w:bidi w:val="0"/>
                    <w:rPr>
                      <w:rFonts w:hint="default" w:ascii="Times New Roman" w:hAnsi="Times New Roman" w:cs="Times New Roman"/>
                      <w:color w:val="auto"/>
                    </w:rPr>
                  </w:pPr>
                  <w:r>
                    <w:rPr>
                      <w:rFonts w:hint="default" w:ascii="Times New Roman" w:hAnsi="Times New Roman" w:cs="Times New Roman"/>
                      <w:color w:val="auto"/>
                    </w:rPr>
                    <w:t>环境</w:t>
                  </w:r>
                </w:p>
                <w:p w14:paraId="59274CA4">
                  <w:pPr>
                    <w:pStyle w:val="121"/>
                    <w:bidi w:val="0"/>
                    <w:rPr>
                      <w:rFonts w:hint="default" w:ascii="Times New Roman" w:hAnsi="Times New Roman" w:cs="Times New Roman"/>
                      <w:color w:val="auto"/>
                    </w:rPr>
                  </w:pPr>
                  <w:r>
                    <w:rPr>
                      <w:rFonts w:hint="default" w:ascii="Times New Roman" w:hAnsi="Times New Roman" w:cs="Times New Roman"/>
                      <w:color w:val="auto"/>
                    </w:rPr>
                    <w:t>风险</w:t>
                  </w:r>
                </w:p>
              </w:tc>
              <w:tc>
                <w:tcPr>
                  <w:tcW w:w="2834" w:type="pct"/>
                  <w:noWrap w:val="0"/>
                  <w:vAlign w:val="center"/>
                </w:tcPr>
                <w:p w14:paraId="2358EF64">
                  <w:pPr>
                    <w:pStyle w:val="121"/>
                    <w:bidi w:val="0"/>
                    <w:rPr>
                      <w:rFonts w:hint="default" w:ascii="Times New Roman" w:hAnsi="Times New Roman" w:cs="Times New Roman"/>
                      <w:color w:val="auto"/>
                    </w:rPr>
                  </w:pPr>
                  <w:r>
                    <w:rPr>
                      <w:rFonts w:hint="default" w:ascii="Times New Roman" w:hAnsi="Times New Roman" w:cs="Times New Roman"/>
                      <w:color w:val="auto"/>
                    </w:rPr>
                    <w:t>有毒有害和易燃易爆危险物质存储量超过临界量的建设项目</w:t>
                  </w:r>
                </w:p>
              </w:tc>
              <w:tc>
                <w:tcPr>
                  <w:tcW w:w="1114" w:type="pct"/>
                  <w:noWrap w:val="0"/>
                  <w:vAlign w:val="center"/>
                </w:tcPr>
                <w:p w14:paraId="080F5848">
                  <w:pPr>
                    <w:pStyle w:val="1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不涉及</w:t>
                  </w:r>
                </w:p>
              </w:tc>
              <w:tc>
                <w:tcPr>
                  <w:tcW w:w="471" w:type="pct"/>
                  <w:noWrap w:val="0"/>
                  <w:vAlign w:val="center"/>
                </w:tcPr>
                <w:p w14:paraId="147FF629">
                  <w:pPr>
                    <w:pStyle w:val="121"/>
                    <w:bidi w:val="0"/>
                    <w:rPr>
                      <w:rFonts w:hint="default" w:ascii="Times New Roman" w:hAnsi="Times New Roman" w:cs="Times New Roman"/>
                      <w:color w:val="auto"/>
                    </w:rPr>
                  </w:pPr>
                  <w:r>
                    <w:rPr>
                      <w:rFonts w:hint="default" w:ascii="Times New Roman" w:hAnsi="Times New Roman" w:cs="Times New Roman"/>
                      <w:color w:val="auto"/>
                    </w:rPr>
                    <w:t>否</w:t>
                  </w:r>
                </w:p>
              </w:tc>
            </w:tr>
            <w:tr w14:paraId="3E2D5B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80" w:type="pct"/>
                  <w:noWrap w:val="0"/>
                  <w:vAlign w:val="center"/>
                </w:tcPr>
                <w:p w14:paraId="0F138D08">
                  <w:pPr>
                    <w:pStyle w:val="121"/>
                    <w:bidi w:val="0"/>
                    <w:rPr>
                      <w:rFonts w:hint="default" w:ascii="Times New Roman" w:hAnsi="Times New Roman" w:cs="Times New Roman"/>
                      <w:color w:val="auto"/>
                    </w:rPr>
                  </w:pPr>
                  <w:r>
                    <w:rPr>
                      <w:rFonts w:hint="default" w:ascii="Times New Roman" w:hAnsi="Times New Roman" w:cs="Times New Roman"/>
                      <w:color w:val="auto"/>
                    </w:rPr>
                    <w:t>生态</w:t>
                  </w:r>
                </w:p>
              </w:tc>
              <w:tc>
                <w:tcPr>
                  <w:tcW w:w="2834" w:type="pct"/>
                  <w:noWrap w:val="0"/>
                  <w:vAlign w:val="center"/>
                </w:tcPr>
                <w:p w14:paraId="70D04884">
                  <w:pPr>
                    <w:pStyle w:val="121"/>
                    <w:bidi w:val="0"/>
                    <w:rPr>
                      <w:rFonts w:hint="default" w:ascii="Times New Roman" w:hAnsi="Times New Roman" w:cs="Times New Roman"/>
                      <w:color w:val="auto"/>
                    </w:rPr>
                  </w:pPr>
                  <w:r>
                    <w:rPr>
                      <w:rFonts w:hint="default" w:ascii="Times New Roman" w:hAnsi="Times New Roman" w:cs="Times New Roman"/>
                      <w:color w:val="auto"/>
                    </w:rPr>
                    <w:t>取水口下游500米范围内有重要水生生物的自然产卵场、索饵场、越冬场和洄游通道的新增河道取水的污染类建设项目</w:t>
                  </w:r>
                </w:p>
              </w:tc>
              <w:tc>
                <w:tcPr>
                  <w:tcW w:w="1114" w:type="pct"/>
                  <w:noWrap w:val="0"/>
                  <w:vAlign w:val="center"/>
                </w:tcPr>
                <w:p w14:paraId="7903D8D5">
                  <w:pPr>
                    <w:pStyle w:val="121"/>
                    <w:bidi w:val="0"/>
                    <w:rPr>
                      <w:rFonts w:hint="default" w:ascii="Times New Roman" w:hAnsi="Times New Roman" w:cs="Times New Roman"/>
                      <w:color w:val="auto"/>
                    </w:rPr>
                  </w:pPr>
                  <w:r>
                    <w:rPr>
                      <w:rFonts w:hint="default" w:ascii="Times New Roman" w:hAnsi="Times New Roman" w:cs="Times New Roman"/>
                      <w:color w:val="auto"/>
                      <w:lang w:eastAsia="zh-CN"/>
                    </w:rPr>
                    <w:t>不涉及</w:t>
                  </w:r>
                </w:p>
              </w:tc>
              <w:tc>
                <w:tcPr>
                  <w:tcW w:w="471" w:type="pct"/>
                  <w:noWrap w:val="0"/>
                  <w:vAlign w:val="center"/>
                </w:tcPr>
                <w:p w14:paraId="0BE266B4">
                  <w:pPr>
                    <w:pStyle w:val="121"/>
                    <w:bidi w:val="0"/>
                    <w:rPr>
                      <w:rFonts w:hint="default" w:ascii="Times New Roman" w:hAnsi="Times New Roman" w:cs="Times New Roman"/>
                      <w:color w:val="auto"/>
                    </w:rPr>
                  </w:pPr>
                  <w:r>
                    <w:rPr>
                      <w:rFonts w:hint="default" w:ascii="Times New Roman" w:hAnsi="Times New Roman" w:cs="Times New Roman"/>
                      <w:color w:val="auto"/>
                    </w:rPr>
                    <w:t>否</w:t>
                  </w:r>
                </w:p>
              </w:tc>
            </w:tr>
            <w:tr w14:paraId="612FD2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80" w:type="pct"/>
                  <w:noWrap w:val="0"/>
                  <w:vAlign w:val="center"/>
                </w:tcPr>
                <w:p w14:paraId="404E8D44">
                  <w:pPr>
                    <w:pStyle w:val="121"/>
                    <w:bidi w:val="0"/>
                    <w:rPr>
                      <w:rFonts w:hint="default" w:ascii="Times New Roman" w:hAnsi="Times New Roman" w:cs="Times New Roman"/>
                      <w:color w:val="auto"/>
                    </w:rPr>
                  </w:pPr>
                  <w:r>
                    <w:rPr>
                      <w:rFonts w:hint="default" w:ascii="Times New Roman" w:hAnsi="Times New Roman" w:cs="Times New Roman"/>
                      <w:color w:val="auto"/>
                    </w:rPr>
                    <w:t>海洋</w:t>
                  </w:r>
                </w:p>
              </w:tc>
              <w:tc>
                <w:tcPr>
                  <w:tcW w:w="2834" w:type="pct"/>
                  <w:noWrap w:val="0"/>
                  <w:vAlign w:val="center"/>
                </w:tcPr>
                <w:p w14:paraId="641CA43A">
                  <w:pPr>
                    <w:pStyle w:val="121"/>
                    <w:bidi w:val="0"/>
                    <w:rPr>
                      <w:rFonts w:hint="default" w:ascii="Times New Roman" w:hAnsi="Times New Roman" w:cs="Times New Roman"/>
                      <w:color w:val="auto"/>
                    </w:rPr>
                  </w:pPr>
                  <w:r>
                    <w:rPr>
                      <w:rFonts w:hint="default" w:ascii="Times New Roman" w:hAnsi="Times New Roman" w:cs="Times New Roman"/>
                      <w:color w:val="auto"/>
                    </w:rPr>
                    <w:t>直接向海排放污染物的海洋工程建设项目</w:t>
                  </w:r>
                </w:p>
              </w:tc>
              <w:tc>
                <w:tcPr>
                  <w:tcW w:w="1114" w:type="pct"/>
                  <w:noWrap w:val="0"/>
                  <w:vAlign w:val="center"/>
                </w:tcPr>
                <w:p w14:paraId="6AFF38F1">
                  <w:pPr>
                    <w:pStyle w:val="121"/>
                    <w:bidi w:val="0"/>
                    <w:rPr>
                      <w:rFonts w:hint="default" w:ascii="Times New Roman" w:hAnsi="Times New Roman" w:cs="Times New Roman"/>
                      <w:color w:val="auto"/>
                    </w:rPr>
                  </w:pPr>
                  <w:r>
                    <w:rPr>
                      <w:rFonts w:hint="default" w:ascii="Times New Roman" w:hAnsi="Times New Roman" w:cs="Times New Roman"/>
                      <w:color w:val="auto"/>
                      <w:lang w:eastAsia="zh-CN"/>
                    </w:rPr>
                    <w:t>不涉及</w:t>
                  </w:r>
                </w:p>
              </w:tc>
              <w:tc>
                <w:tcPr>
                  <w:tcW w:w="471" w:type="pct"/>
                  <w:noWrap w:val="0"/>
                  <w:vAlign w:val="center"/>
                </w:tcPr>
                <w:p w14:paraId="5496A56F">
                  <w:pPr>
                    <w:pStyle w:val="121"/>
                    <w:bidi w:val="0"/>
                    <w:rPr>
                      <w:rFonts w:hint="default" w:ascii="Times New Roman" w:hAnsi="Times New Roman" w:cs="Times New Roman"/>
                      <w:color w:val="auto"/>
                    </w:rPr>
                  </w:pPr>
                  <w:r>
                    <w:rPr>
                      <w:rFonts w:hint="default" w:ascii="Times New Roman" w:hAnsi="Times New Roman" w:cs="Times New Roman"/>
                      <w:color w:val="auto"/>
                    </w:rPr>
                    <w:t>否</w:t>
                  </w:r>
                </w:p>
              </w:tc>
            </w:tr>
          </w:tbl>
          <w:p w14:paraId="55327299">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Cs w:val="21"/>
                <w:lang w:eastAsia="zh-CN"/>
              </w:rPr>
            </w:pPr>
          </w:p>
        </w:tc>
      </w:tr>
      <w:tr w14:paraId="0BFBBD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48" w:type="dxa"/>
            <w:noWrap w:val="0"/>
            <w:vAlign w:val="center"/>
          </w:tcPr>
          <w:p w14:paraId="7FDE621D">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规划情况</w:t>
            </w:r>
          </w:p>
        </w:tc>
        <w:tc>
          <w:tcPr>
            <w:tcW w:w="7922" w:type="dxa"/>
            <w:gridSpan w:val="4"/>
            <w:noWrap w:val="0"/>
            <w:vAlign w:val="center"/>
          </w:tcPr>
          <w:p w14:paraId="5BE7A1EF">
            <w:pPr>
              <w:keepNext w:val="0"/>
              <w:keepLines w:val="0"/>
              <w:pageBreakBefore w:val="0"/>
              <w:widowControl w:val="0"/>
              <w:kinsoku/>
              <w:wordWrap/>
              <w:overflowPunct/>
              <w:topLinePunct w:val="0"/>
              <w:autoSpaceDE w:val="0"/>
              <w:autoSpaceDN w:val="0"/>
              <w:bidi w:val="0"/>
              <w:adjustRightInd w:val="0"/>
              <w:snapToGrid w:val="0"/>
              <w:spacing w:line="340" w:lineRule="exact"/>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规划名称：《闽台(福州)蓝色经济产业园总体规划修编(2017-2035)》</w:t>
            </w:r>
          </w:p>
          <w:p w14:paraId="700CA47D">
            <w:pPr>
              <w:keepNext w:val="0"/>
              <w:keepLines w:val="0"/>
              <w:pageBreakBefore w:val="0"/>
              <w:widowControl w:val="0"/>
              <w:kinsoku/>
              <w:wordWrap/>
              <w:overflowPunct/>
              <w:topLinePunct w:val="0"/>
              <w:autoSpaceDE w:val="0"/>
              <w:autoSpaceDN w:val="0"/>
              <w:bidi w:val="0"/>
              <w:adjustRightInd w:val="0"/>
              <w:snapToGrid w:val="0"/>
              <w:spacing w:line="340" w:lineRule="exact"/>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审批机关：福州市人民政府</w:t>
            </w:r>
          </w:p>
          <w:p w14:paraId="141F94D6">
            <w:pPr>
              <w:keepNext w:val="0"/>
              <w:keepLines w:val="0"/>
              <w:pageBreakBefore w:val="0"/>
              <w:widowControl w:val="0"/>
              <w:kinsoku/>
              <w:wordWrap/>
              <w:overflowPunct/>
              <w:topLinePunct w:val="0"/>
              <w:autoSpaceDE w:val="0"/>
              <w:autoSpaceDN w:val="0"/>
              <w:bidi w:val="0"/>
              <w:adjustRightInd w:val="0"/>
              <w:snapToGrid w:val="0"/>
              <w:spacing w:line="340" w:lineRule="exact"/>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sz w:val="21"/>
                <w:szCs w:val="21"/>
                <w:lang w:eastAsia="zh-CN"/>
              </w:rPr>
              <w:t>审批文件名称及文号：无</w:t>
            </w:r>
          </w:p>
        </w:tc>
      </w:tr>
      <w:tr w14:paraId="5E4D0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48" w:type="dxa"/>
            <w:noWrap w:val="0"/>
            <w:vAlign w:val="center"/>
          </w:tcPr>
          <w:p w14:paraId="4B3ED24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规划环境影响</w:t>
            </w:r>
          </w:p>
          <w:p w14:paraId="77435EC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评价情况</w:t>
            </w:r>
          </w:p>
        </w:tc>
        <w:tc>
          <w:tcPr>
            <w:tcW w:w="7922" w:type="dxa"/>
            <w:gridSpan w:val="4"/>
            <w:noWrap w:val="0"/>
            <w:vAlign w:val="center"/>
          </w:tcPr>
          <w:p w14:paraId="4C9C48D2">
            <w:pPr>
              <w:pStyle w:val="122"/>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rPr>
            </w:pPr>
            <w:r>
              <w:rPr>
                <w:rFonts w:hint="default" w:ascii="Times New Roman" w:hAnsi="Times New Roman" w:cs="Times New Roman"/>
                <w:color w:val="auto"/>
              </w:rPr>
              <w:t>规划环评名称：《闽台（福州）蓝色经济产业园总体规划修编（2017</w:t>
            </w:r>
            <w:r>
              <w:rPr>
                <w:rFonts w:hint="default" w:ascii="Times New Roman" w:hAnsi="Times New Roman" w:cs="Times New Roman"/>
                <w:color w:val="auto"/>
                <w:lang w:eastAsia="zh-CN"/>
              </w:rPr>
              <w:t>—</w:t>
            </w:r>
            <w:r>
              <w:rPr>
                <w:rFonts w:hint="default" w:ascii="Times New Roman" w:hAnsi="Times New Roman" w:cs="Times New Roman"/>
                <w:color w:val="auto"/>
              </w:rPr>
              <w:t>2035年）环境影响报告书》</w:t>
            </w:r>
          </w:p>
          <w:p w14:paraId="2A555938">
            <w:pPr>
              <w:pStyle w:val="122"/>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auto"/>
              </w:rPr>
            </w:pPr>
            <w:r>
              <w:rPr>
                <w:rFonts w:hint="default" w:ascii="Times New Roman" w:hAnsi="Times New Roman" w:cs="Times New Roman"/>
                <w:color w:val="auto"/>
              </w:rPr>
              <w:t>召集审查机关：福州市生态环境局</w:t>
            </w:r>
          </w:p>
          <w:p w14:paraId="3B2A26E5">
            <w:pPr>
              <w:keepNext w:val="0"/>
              <w:keepLines w:val="0"/>
              <w:pageBreakBefore w:val="0"/>
              <w:widowControl w:val="0"/>
              <w:kinsoku/>
              <w:wordWrap/>
              <w:overflowPunct/>
              <w:topLinePunct w:val="0"/>
              <w:autoSpaceDE w:val="0"/>
              <w:autoSpaceDN w:val="0"/>
              <w:bidi w:val="0"/>
              <w:adjustRightInd w:val="0"/>
              <w:snapToGrid w:val="0"/>
              <w:spacing w:line="340" w:lineRule="exact"/>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rPr>
              <w:t>审批文件名称及文号：《福州市生态环境局关于印发闽台（福州）蓝色经济产业园总体规划修编（2017-2035）环境影响报告书审查小组意见的通知》（榕环保评〔2019〕7号）</w:t>
            </w:r>
            <w:r>
              <w:rPr>
                <w:rFonts w:hint="default" w:ascii="Times New Roman" w:hAnsi="Times New Roman" w:eastAsia="宋体" w:cs="Times New Roman"/>
                <w:color w:val="auto"/>
                <w:kern w:val="0"/>
                <w:sz w:val="21"/>
                <w:szCs w:val="21"/>
                <w:lang w:val="en-US" w:eastAsia="zh-CN"/>
              </w:rPr>
              <w:t>)</w:t>
            </w:r>
          </w:p>
        </w:tc>
      </w:tr>
      <w:tr w14:paraId="2B285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48" w:type="dxa"/>
            <w:noWrap w:val="0"/>
            <w:vAlign w:val="center"/>
          </w:tcPr>
          <w:p w14:paraId="7E96BA79">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规划及规划环境影响评价符合性分析</w:t>
            </w:r>
          </w:p>
        </w:tc>
        <w:tc>
          <w:tcPr>
            <w:tcW w:w="7922" w:type="dxa"/>
            <w:gridSpan w:val="4"/>
            <w:noWrap w:val="0"/>
            <w:vAlign w:val="center"/>
          </w:tcPr>
          <w:p w14:paraId="6277158B">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val="en-US" w:eastAsia="zh-CN"/>
              </w:rPr>
              <w:t>1、与《闽台(福州)蓝色经济产业园总体规划修编(2017-2035)》符合性分析</w:t>
            </w:r>
          </w:p>
          <w:p w14:paraId="059C631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GB" w:eastAsia="zh-CN"/>
              </w:rPr>
            </w:pPr>
            <w:r>
              <w:rPr>
                <w:rFonts w:hint="default" w:ascii="Times New Roman" w:hAnsi="Times New Roman" w:eastAsia="宋体" w:cs="Times New Roman"/>
                <w:color w:val="auto"/>
                <w:sz w:val="24"/>
                <w:lang w:eastAsia="zh-CN"/>
              </w:rPr>
              <w:t>本项目位于闽台（福州）蓝色经济产业园（租赁</w:t>
            </w:r>
            <w:r>
              <w:rPr>
                <w:rFonts w:hint="default" w:ascii="Times New Roman" w:hAnsi="Times New Roman" w:cs="Times New Roman"/>
                <w:color w:val="auto"/>
                <w:sz w:val="24"/>
                <w:lang w:eastAsia="zh-CN"/>
              </w:rPr>
              <w:t>福州锦佳商贸有限公司厂房</w:t>
            </w:r>
            <w:r>
              <w:rPr>
                <w:rFonts w:hint="default" w:ascii="Times New Roman" w:hAnsi="Times New Roman" w:eastAsia="宋体" w:cs="Times New Roman"/>
                <w:color w:val="auto"/>
                <w:sz w:val="24"/>
                <w:lang w:eastAsia="zh-CN"/>
              </w:rPr>
              <w:t>），依据《闽台(福州)蓝色经济产业园总体规划修编(2017-2035)》，项目用地性质为工业用地，符合其地块用途要求。项目主要从事</w:t>
            </w:r>
            <w:r>
              <w:rPr>
                <w:rFonts w:hint="default" w:ascii="Times New Roman" w:hAnsi="Times New Roman" w:cs="Times New Roman"/>
                <w:color w:val="auto"/>
                <w:sz w:val="24"/>
                <w:lang w:eastAsia="zh-CN"/>
              </w:rPr>
              <w:t>未被污染的输液瓶（袋）及生活塑料的回收加工</w:t>
            </w:r>
            <w:r>
              <w:rPr>
                <w:rFonts w:hint="default" w:ascii="Times New Roman" w:hAnsi="Times New Roman" w:eastAsia="宋体" w:cs="Times New Roman"/>
                <w:color w:val="auto"/>
                <w:sz w:val="24"/>
                <w:lang w:eastAsia="zh-CN"/>
              </w:rPr>
              <w:t>，属于工业企业，因此项目选址</w:t>
            </w:r>
            <w:r>
              <w:rPr>
                <w:rFonts w:hint="default" w:ascii="Times New Roman" w:hAnsi="Times New Roman" w:eastAsia="宋体" w:cs="Times New Roman"/>
                <w:color w:val="auto"/>
                <w:sz w:val="24"/>
                <w:lang w:val="en-US" w:eastAsia="zh-CN"/>
              </w:rPr>
              <w:t>《闽台(福州)蓝色经济产业园总体规划修编(2017-2035)》土地利用规划</w:t>
            </w:r>
            <w:r>
              <w:rPr>
                <w:rFonts w:hint="default" w:ascii="Times New Roman" w:hAnsi="Times New Roman" w:eastAsia="宋体" w:cs="Times New Roman"/>
                <w:color w:val="auto"/>
                <w:sz w:val="24"/>
                <w:lang w:eastAsia="zh-CN"/>
              </w:rPr>
              <w:t>。</w:t>
            </w:r>
          </w:p>
          <w:p w14:paraId="585E9E5A">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val="en-US" w:eastAsia="zh-CN"/>
              </w:rPr>
              <w:t>2、与规划环评及批复符合性分析</w:t>
            </w:r>
          </w:p>
          <w:p w14:paraId="2AD482B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本项目与《</w:t>
            </w:r>
            <w:r>
              <w:rPr>
                <w:rFonts w:hint="default" w:ascii="Times New Roman" w:hAnsi="Times New Roman" w:eastAsia="宋体" w:cs="Times New Roman"/>
                <w:color w:val="auto"/>
                <w:sz w:val="24"/>
                <w:lang w:val="en-US" w:eastAsia="zh-CN"/>
              </w:rPr>
              <w:t>闽台(福州)蓝色经济产业园总体规划修编(2017-2035)环境影响报告书</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及其审批意见(榕环保评[2019]7号)产业政策符合性分析详见表1-2。</w:t>
            </w:r>
          </w:p>
          <w:p w14:paraId="330AE66F">
            <w:pPr>
              <w:keepNext w:val="0"/>
              <w:keepLines w:val="0"/>
              <w:pageBreakBefore w:val="0"/>
              <w:widowControl w:val="0"/>
              <w:kinsoku/>
              <w:wordWrap/>
              <w:overflowPunct/>
              <w:topLinePunct w:val="0"/>
              <w:autoSpaceDE/>
              <w:autoSpaceDN/>
              <w:bidi w:val="0"/>
              <w:adjustRightInd/>
              <w:snapToGrid/>
              <w:spacing w:before="163" w:beforeLines="50" w:line="240" w:lineRule="auto"/>
              <w:jc w:val="center"/>
              <w:textAlignment w:val="auto"/>
              <w:rPr>
                <w:rFonts w:hint="default" w:ascii="Times New Roman" w:hAnsi="Times New Roman" w:eastAsia="黑体" w:cs="Times New Roman"/>
                <w:color w:val="auto"/>
                <w:sz w:val="24"/>
                <w:szCs w:val="24"/>
                <w:u w:val="none"/>
                <w:lang w:val="en-US" w:eastAsia="zh-CN"/>
              </w:rPr>
            </w:pPr>
          </w:p>
          <w:p w14:paraId="764D524A">
            <w:pPr>
              <w:keepNext w:val="0"/>
              <w:keepLines w:val="0"/>
              <w:pageBreakBefore w:val="0"/>
              <w:widowControl w:val="0"/>
              <w:kinsoku/>
              <w:wordWrap/>
              <w:overflowPunct/>
              <w:topLinePunct w:val="0"/>
              <w:autoSpaceDE/>
              <w:autoSpaceDN/>
              <w:bidi w:val="0"/>
              <w:adjustRightInd/>
              <w:snapToGrid/>
              <w:spacing w:before="163" w:beforeLines="50" w:line="240" w:lineRule="auto"/>
              <w:jc w:val="center"/>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黑体" w:cs="Times New Roman"/>
                <w:color w:val="auto"/>
                <w:sz w:val="24"/>
                <w:szCs w:val="24"/>
                <w:u w:val="none"/>
                <w:lang w:val="en-US" w:eastAsia="zh-CN"/>
              </w:rPr>
              <w:t xml:space="preserve">表1-2 </w:t>
            </w:r>
            <w:r>
              <w:rPr>
                <w:rFonts w:hint="default" w:ascii="Times New Roman" w:hAnsi="Times New Roman" w:eastAsia="黑体" w:cs="Times New Roman"/>
                <w:color w:val="auto"/>
                <w:sz w:val="24"/>
                <w:szCs w:val="24"/>
                <w:u w:val="none"/>
                <w:lang w:eastAsia="zh-CN"/>
              </w:rPr>
              <w:t>《</w:t>
            </w:r>
            <w:r>
              <w:rPr>
                <w:rFonts w:hint="default" w:ascii="Times New Roman" w:hAnsi="Times New Roman" w:eastAsia="黑体" w:cs="Times New Roman"/>
                <w:color w:val="auto"/>
                <w:sz w:val="24"/>
                <w:szCs w:val="24"/>
                <w:u w:val="none"/>
                <w:lang w:val="en-US" w:eastAsia="zh-CN"/>
              </w:rPr>
              <w:t>闽台(福州)蓝色经济产业园总体规划修编(2017-2035)环境影响报告书</w:t>
            </w:r>
            <w:r>
              <w:rPr>
                <w:rFonts w:hint="default" w:ascii="Times New Roman" w:hAnsi="Times New Roman" w:eastAsia="黑体" w:cs="Times New Roman"/>
                <w:color w:val="auto"/>
                <w:sz w:val="24"/>
                <w:szCs w:val="24"/>
                <w:u w:val="none"/>
                <w:lang w:eastAsia="zh-CN"/>
              </w:rPr>
              <w:t>》</w:t>
            </w:r>
            <w:r>
              <w:rPr>
                <w:rFonts w:hint="default" w:ascii="Times New Roman" w:hAnsi="Times New Roman" w:eastAsia="黑体" w:cs="Times New Roman"/>
                <w:color w:val="auto"/>
                <w:sz w:val="24"/>
                <w:szCs w:val="24"/>
                <w:u w:val="none"/>
                <w:lang w:val="en-US" w:eastAsia="zh-CN"/>
              </w:rPr>
              <w:t>及其审批意见产业、环保准入条件符合性分析</w:t>
            </w:r>
          </w:p>
          <w:tbl>
            <w:tblPr>
              <w:tblStyle w:val="28"/>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2825"/>
              <w:gridCol w:w="3430"/>
              <w:gridCol w:w="616"/>
            </w:tblGrid>
            <w:tr w14:paraId="7B65A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tcBorders>
                    <w:tl2br w:val="nil"/>
                    <w:tr2bl w:val="nil"/>
                  </w:tcBorders>
                  <w:noWrap w:val="0"/>
                  <w:vAlign w:val="center"/>
                </w:tcPr>
                <w:p w14:paraId="4524BA8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类别</w:t>
                  </w:r>
                </w:p>
              </w:tc>
              <w:tc>
                <w:tcPr>
                  <w:tcW w:w="1835" w:type="pct"/>
                  <w:tcBorders>
                    <w:tl2br w:val="nil"/>
                    <w:tr2bl w:val="nil"/>
                  </w:tcBorders>
                  <w:noWrap w:val="0"/>
                  <w:vAlign w:val="center"/>
                </w:tcPr>
                <w:p w14:paraId="57AA5B4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报告书产业规划及规划审查要求</w:t>
                  </w:r>
                </w:p>
              </w:tc>
              <w:tc>
                <w:tcPr>
                  <w:tcW w:w="2228" w:type="pct"/>
                  <w:tcBorders>
                    <w:tl2br w:val="nil"/>
                    <w:tr2bl w:val="nil"/>
                  </w:tcBorders>
                  <w:noWrap w:val="0"/>
                  <w:vAlign w:val="center"/>
                </w:tcPr>
                <w:p w14:paraId="12B977E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400" w:type="pct"/>
                  <w:tcBorders>
                    <w:tl2br w:val="nil"/>
                    <w:tr2bl w:val="nil"/>
                  </w:tcBorders>
                  <w:noWrap w:val="0"/>
                  <w:vAlign w:val="center"/>
                </w:tcPr>
                <w:p w14:paraId="04E85B9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47999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35" w:type="pct"/>
                  <w:vMerge w:val="restart"/>
                  <w:tcBorders>
                    <w:tl2br w:val="nil"/>
                    <w:tr2bl w:val="nil"/>
                  </w:tcBorders>
                  <w:noWrap w:val="0"/>
                  <w:vAlign w:val="center"/>
                </w:tcPr>
                <w:p w14:paraId="7509A98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产业准入条件要求</w:t>
                  </w:r>
                </w:p>
              </w:tc>
              <w:tc>
                <w:tcPr>
                  <w:tcW w:w="1835" w:type="pct"/>
                  <w:tcBorders>
                    <w:tl2br w:val="nil"/>
                    <w:tr2bl w:val="nil"/>
                  </w:tcBorders>
                  <w:noWrap w:val="0"/>
                  <w:vAlign w:val="center"/>
                </w:tcPr>
                <w:p w14:paraId="3FA17FA2">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规划环评</w:t>
                  </w:r>
                  <w:r>
                    <w:rPr>
                      <w:rFonts w:hint="default" w:ascii="Times New Roman" w:hAnsi="Times New Roman" w:cs="Times New Roman"/>
                      <w:b/>
                      <w:bCs/>
                      <w:color w:val="auto"/>
                      <w:sz w:val="21"/>
                      <w:szCs w:val="21"/>
                      <w:u w:val="none"/>
                      <w:vertAlign w:val="baseline"/>
                      <w:lang w:val="en-US" w:eastAsia="zh-CN"/>
                    </w:rPr>
                    <w:t>：</w:t>
                  </w:r>
                  <w:r>
                    <w:rPr>
                      <w:rFonts w:hint="default" w:ascii="Times New Roman" w:hAnsi="Times New Roman" w:eastAsia="宋体" w:cs="Times New Roman"/>
                      <w:color w:val="auto"/>
                      <w:sz w:val="21"/>
                      <w:szCs w:val="21"/>
                      <w:u w:val="none"/>
                      <w:vertAlign w:val="baseline"/>
                      <w:lang w:val="en-US" w:eastAsia="zh-CN"/>
                    </w:rPr>
                    <w:t>本规划区鼓励发展节地、节水、环境风险小、环保型的海洋装备制造产业、智能制造与智能服务产业(新能源汽车产业)、铝精深加工与电子功能性523材料产业、海洋生物产业为主导的产业。禁止引进电镀行业等排放有毒有害重金属、持久性有机污染物的工业项目，排放VOCs量大的项目。</w:t>
                  </w:r>
                </w:p>
              </w:tc>
              <w:tc>
                <w:tcPr>
                  <w:tcW w:w="2228" w:type="pct"/>
                  <w:vMerge w:val="restart"/>
                  <w:tcBorders>
                    <w:tl2br w:val="nil"/>
                    <w:tr2bl w:val="nil"/>
                  </w:tcBorders>
                  <w:noWrap w:val="0"/>
                  <w:vAlign w:val="center"/>
                </w:tcPr>
                <w:p w14:paraId="4A19292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本项目位于产业综合体核心区，从事</w:t>
                  </w:r>
                  <w:r>
                    <w:rPr>
                      <w:rFonts w:hint="default" w:ascii="Times New Roman" w:hAnsi="Times New Roman" w:cs="Times New Roman"/>
                      <w:color w:val="auto"/>
                      <w:sz w:val="21"/>
                      <w:szCs w:val="21"/>
                      <w:u w:val="none"/>
                      <w:vertAlign w:val="baseline"/>
                      <w:lang w:val="en-US" w:eastAsia="zh-CN"/>
                    </w:rPr>
                    <w:t>未被污染的输液瓶（袋）及生活塑料的回收加工</w:t>
                  </w:r>
                  <w:r>
                    <w:rPr>
                      <w:rFonts w:hint="default" w:ascii="Times New Roman" w:hAnsi="Times New Roman" w:eastAsia="宋体" w:cs="Times New Roman"/>
                      <w:color w:val="auto"/>
                      <w:sz w:val="21"/>
                      <w:szCs w:val="21"/>
                      <w:u w:val="none"/>
                      <w:vertAlign w:val="baseline"/>
                      <w:lang w:val="en-US" w:eastAsia="zh-CN"/>
                    </w:rPr>
                    <w:t>，不属于《产业结构调整指导目录(2024年本)》中的淘汰类；满足行业准入条件；不属于《福建省人民政府关于加强重点流域水环境综</w:t>
                  </w:r>
                  <w:r>
                    <w:rPr>
                      <w:rFonts w:hint="default" w:ascii="Times New Roman" w:hAnsi="Times New Roman" w:cs="Times New Roman"/>
                      <w:color w:val="auto"/>
                      <w:sz w:val="21"/>
                      <w:szCs w:val="21"/>
                      <w:u w:val="none"/>
                      <w:vertAlign w:val="baseline"/>
                      <w:lang w:val="en-US" w:eastAsia="zh-CN"/>
                    </w:rPr>
                    <w:t>合</w:t>
                  </w:r>
                  <w:r>
                    <w:rPr>
                      <w:rFonts w:hint="default" w:ascii="Times New Roman" w:hAnsi="Times New Roman" w:eastAsia="宋体" w:cs="Times New Roman"/>
                      <w:color w:val="auto"/>
                      <w:sz w:val="21"/>
                      <w:szCs w:val="21"/>
                      <w:u w:val="none"/>
                      <w:vertAlign w:val="baseline"/>
                      <w:lang w:val="en-US" w:eastAsia="zh-CN"/>
                    </w:rPr>
                    <w:t>整治的意见》中禁止的产业；满足《福建省水污染防治行动计划工作</w:t>
                  </w:r>
                  <w:r>
                    <w:rPr>
                      <w:rFonts w:hint="default" w:ascii="Times New Roman" w:hAnsi="Times New Roman" w:cs="Times New Roman"/>
                      <w:color w:val="auto"/>
                      <w:sz w:val="21"/>
                      <w:szCs w:val="21"/>
                      <w:u w:val="none"/>
                      <w:vertAlign w:val="baseline"/>
                      <w:lang w:val="en-US" w:eastAsia="zh-CN"/>
                    </w:rPr>
                    <w:t>方案</w:t>
                  </w:r>
                  <w:r>
                    <w:rPr>
                      <w:rFonts w:hint="default" w:ascii="Times New Roman" w:hAnsi="Times New Roman" w:eastAsia="宋体" w:cs="Times New Roman"/>
                      <w:color w:val="auto"/>
                      <w:sz w:val="21"/>
                      <w:szCs w:val="21"/>
                      <w:u w:val="none"/>
                      <w:vertAlign w:val="baseline"/>
                      <w:lang w:val="en-US" w:eastAsia="zh-CN"/>
                    </w:rPr>
                    <w:t>》相关要求；项目塑料输液瓶（袋）清洗生产线废水经自建污水预处理设施处理达标后，90%回用于摩擦、洗脱、分离沉浮等工序，10%外排至江镜华侨农场污水处理厂</w:t>
                  </w:r>
                  <w:r>
                    <w:rPr>
                      <w:rFonts w:hint="eastAsia" w:cs="Times New Roman"/>
                      <w:color w:val="auto"/>
                      <w:sz w:val="21"/>
                      <w:szCs w:val="21"/>
                      <w:u w:val="none"/>
                      <w:vertAlign w:val="baseline"/>
                      <w:lang w:val="en-US" w:eastAsia="zh-CN"/>
                    </w:rPr>
                    <w:t>，</w:t>
                  </w:r>
                  <w:r>
                    <w:rPr>
                      <w:rFonts w:hint="default" w:ascii="Times New Roman" w:hAnsi="Times New Roman" w:eastAsia="宋体" w:cs="Times New Roman"/>
                      <w:color w:val="auto"/>
                      <w:sz w:val="21"/>
                      <w:szCs w:val="21"/>
                      <w:u w:val="none"/>
                      <w:vertAlign w:val="baseline"/>
                      <w:lang w:val="en-US" w:eastAsia="zh-CN"/>
                    </w:rPr>
                    <w:t>污染因子主要以COD、SS为主。符合《福建省工业项目建设用地控制指标2013年本)》要求。</w:t>
                  </w:r>
                  <w:r>
                    <w:rPr>
                      <w:rFonts w:hint="default" w:ascii="Times New Roman" w:hAnsi="Times New Roman" w:eastAsia="宋体" w:cs="Times New Roman"/>
                      <w:b/>
                      <w:bCs/>
                      <w:color w:val="auto"/>
                      <w:sz w:val="21"/>
                      <w:szCs w:val="21"/>
                      <w:u w:val="none"/>
                      <w:vertAlign w:val="baseline"/>
                      <w:lang w:val="en-US" w:eastAsia="zh-CN"/>
                    </w:rPr>
                    <w:t>本项目</w:t>
                  </w:r>
                  <w:r>
                    <w:rPr>
                      <w:b/>
                      <w:bCs/>
                      <w:color w:val="auto"/>
                    </w:rPr>
                    <w:t>不属于</w:t>
                  </w:r>
                  <w:r>
                    <w:rPr>
                      <w:rFonts w:hint="eastAsia"/>
                      <w:b/>
                      <w:bCs/>
                      <w:color w:val="auto"/>
                    </w:rPr>
                    <w:t>园区产业准入条件要求中的</w:t>
                  </w:r>
                  <w:r>
                    <w:rPr>
                      <w:b/>
                      <w:bCs/>
                      <w:color w:val="auto"/>
                    </w:rPr>
                    <w:t>禁止和限制引入项目</w:t>
                  </w:r>
                  <w:r>
                    <w:rPr>
                      <w:rFonts w:hint="eastAsia" w:cs="Times New Roman"/>
                      <w:color w:val="auto"/>
                      <w:sz w:val="21"/>
                      <w:szCs w:val="21"/>
                      <w:u w:val="none"/>
                      <w:vertAlign w:val="baseline"/>
                      <w:lang w:val="en-US" w:eastAsia="zh-CN"/>
                    </w:rPr>
                    <w:t>且</w:t>
                  </w:r>
                  <w:r>
                    <w:rPr>
                      <w:rFonts w:hint="default" w:ascii="Times New Roman" w:hAnsi="Times New Roman" w:eastAsia="宋体" w:cs="Times New Roman"/>
                      <w:color w:val="auto"/>
                      <w:sz w:val="21"/>
                      <w:szCs w:val="21"/>
                      <w:u w:val="none"/>
                      <w:vertAlign w:val="baseline"/>
                      <w:lang w:val="en-US" w:eastAsia="zh-CN"/>
                    </w:rPr>
                    <w:t>清洁生产能够达到国内先进水平。因此本项目建设与闽台(福州)蓝色经济产业园产业定位不冲突。</w:t>
                  </w:r>
                </w:p>
              </w:tc>
              <w:tc>
                <w:tcPr>
                  <w:tcW w:w="400" w:type="pct"/>
                  <w:vMerge w:val="restart"/>
                  <w:tcBorders>
                    <w:tl2br w:val="nil"/>
                    <w:tr2bl w:val="nil"/>
                  </w:tcBorders>
                  <w:noWrap w:val="0"/>
                  <w:vAlign w:val="center"/>
                </w:tcPr>
                <w:p w14:paraId="0B60903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37E21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35" w:type="pct"/>
                  <w:vMerge w:val="continue"/>
                  <w:tcBorders>
                    <w:tl2br w:val="nil"/>
                    <w:tr2bl w:val="nil"/>
                  </w:tcBorders>
                  <w:noWrap w:val="0"/>
                  <w:vAlign w:val="center"/>
                </w:tcPr>
                <w:p w14:paraId="77EADE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835" w:type="pct"/>
                  <w:tcBorders>
                    <w:tl2br w:val="nil"/>
                    <w:tr2bl w:val="nil"/>
                  </w:tcBorders>
                  <w:noWrap w:val="0"/>
                  <w:vAlign w:val="center"/>
                </w:tcPr>
                <w:p w14:paraId="4FC192F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b/>
                      <w:bCs/>
                      <w:color w:val="auto"/>
                      <w:szCs w:val="21"/>
                    </w:rPr>
                    <w:t>审查意见：</w:t>
                  </w:r>
                  <w:r>
                    <w:rPr>
                      <w:rFonts w:hint="default" w:ascii="Times New Roman" w:hAnsi="Times New Roman" w:cs="Times New Roman"/>
                      <w:color w:val="auto"/>
                      <w:szCs w:val="21"/>
                    </w:rPr>
                    <w:t>重点产业发展海洋装备制造、智能制造与智能服务、铝精深加工与电子功能性材料产业。禁止引入专业电镀项目，配套电镀工序含重金属废水应做到“零”排放。禁止引入以氮、磷排放为主的项目，严格控制挥发性有机物排放，装备涂装鼓励使用水性漆工艺。</w:t>
                  </w:r>
                </w:p>
              </w:tc>
              <w:tc>
                <w:tcPr>
                  <w:tcW w:w="2228" w:type="pct"/>
                  <w:vMerge w:val="continue"/>
                  <w:tcBorders>
                    <w:tl2br w:val="nil"/>
                    <w:tr2bl w:val="nil"/>
                  </w:tcBorders>
                  <w:noWrap w:val="0"/>
                  <w:vAlign w:val="center"/>
                </w:tcPr>
                <w:p w14:paraId="7BEA2C1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400" w:type="pct"/>
                  <w:vMerge w:val="continue"/>
                  <w:tcBorders>
                    <w:tl2br w:val="nil"/>
                    <w:tr2bl w:val="nil"/>
                  </w:tcBorders>
                  <w:noWrap w:val="0"/>
                  <w:vAlign w:val="center"/>
                </w:tcPr>
                <w:p w14:paraId="198C08D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p>
              </w:tc>
            </w:tr>
            <w:tr w14:paraId="48BB0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35" w:type="pct"/>
                  <w:vMerge w:val="restart"/>
                  <w:tcBorders>
                    <w:tl2br w:val="nil"/>
                    <w:tr2bl w:val="nil"/>
                  </w:tcBorders>
                  <w:noWrap w:val="0"/>
                  <w:vAlign w:val="center"/>
                </w:tcPr>
                <w:p w14:paraId="75E203F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环保准入条件要求</w:t>
                  </w:r>
                </w:p>
              </w:tc>
              <w:tc>
                <w:tcPr>
                  <w:tcW w:w="1835" w:type="pct"/>
                  <w:tcBorders>
                    <w:tl2br w:val="nil"/>
                    <w:tr2bl w:val="nil"/>
                  </w:tcBorders>
                  <w:noWrap w:val="0"/>
                  <w:vAlign w:val="center"/>
                </w:tcPr>
                <w:p w14:paraId="3214D82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规划环评：</w:t>
                  </w:r>
                  <w:r>
                    <w:rPr>
                      <w:rFonts w:hint="default" w:ascii="Times New Roman" w:hAnsi="Times New Roman" w:eastAsia="宋体" w:cs="Times New Roman"/>
                      <w:color w:val="auto"/>
                      <w:sz w:val="21"/>
                      <w:szCs w:val="21"/>
                      <w:u w:val="none"/>
                      <w:vertAlign w:val="baseline"/>
                      <w:lang w:val="en-US" w:eastAsia="zh-CN"/>
                    </w:rPr>
                    <w:t>入区项目在三废排放、环保治理措施方面必须符合国家、地方环保要求，单位工业增加值的主要污染物排放量至少应达到同行业国内先进水平，主要污染物排放必须满足园区总量控制要求。禁止引入以氮、磷排放为主的项目，严格控制挥发性有机物排放，装备涂装鼓励使用水性漆工艺；入园企业的清洁生产要达至国内先进水平。园区应禁止新增排放一类重金属及持久性有机污染物的项目，严格控制以排放氨氮、总磷等为主要污染物的项目。</w:t>
                  </w:r>
                </w:p>
              </w:tc>
              <w:tc>
                <w:tcPr>
                  <w:tcW w:w="2228" w:type="pct"/>
                  <w:vMerge w:val="restart"/>
                  <w:tcBorders>
                    <w:tl2br w:val="nil"/>
                    <w:tr2bl w:val="nil"/>
                  </w:tcBorders>
                  <w:noWrap w:val="0"/>
                  <w:vAlign w:val="center"/>
                </w:tcPr>
                <w:p w14:paraId="631635CE">
                  <w:pPr>
                    <w:spacing w:line="340" w:lineRule="exact"/>
                    <w:rPr>
                      <w:color w:val="auto"/>
                    </w:rPr>
                  </w:pPr>
                  <w:r>
                    <w:rPr>
                      <w:rFonts w:hint="eastAsia"/>
                      <w:color w:val="auto"/>
                    </w:rPr>
                    <w:t>①</w:t>
                  </w:r>
                  <w:r>
                    <w:rPr>
                      <w:color w:val="auto"/>
                    </w:rPr>
                    <w:t>项目建设符合国家和地方产业导向；符合国家清洁生产标准要求。</w:t>
                  </w:r>
                </w:p>
                <w:p w14:paraId="6450A769">
                  <w:pPr>
                    <w:spacing w:line="340" w:lineRule="exact"/>
                    <w:rPr>
                      <w:rFonts w:hint="eastAsia"/>
                      <w:color w:val="auto"/>
                      <w:szCs w:val="21"/>
                    </w:rPr>
                  </w:pPr>
                  <w:r>
                    <w:rPr>
                      <w:rFonts w:hint="eastAsia"/>
                      <w:color w:val="auto"/>
                    </w:rPr>
                    <w:t>②</w:t>
                  </w:r>
                  <w:r>
                    <w:rPr>
                      <w:color w:val="auto"/>
                    </w:rPr>
                    <w:t>项目</w:t>
                  </w:r>
                  <w:r>
                    <w:rPr>
                      <w:rFonts w:hint="eastAsia"/>
                      <w:color w:val="auto"/>
                      <w:lang w:val="en-US" w:eastAsia="zh-CN"/>
                    </w:rPr>
                    <w:t>采用湿法破碎，不产生生产废气</w:t>
                  </w:r>
                  <w:r>
                    <w:rPr>
                      <w:rFonts w:hint="eastAsia"/>
                      <w:color w:val="auto"/>
                      <w:szCs w:val="21"/>
                    </w:rPr>
                    <w:t>。</w:t>
                  </w:r>
                </w:p>
                <w:p w14:paraId="56EA1539">
                  <w:pPr>
                    <w:spacing w:line="340" w:lineRule="exact"/>
                    <w:rPr>
                      <w:color w:val="auto"/>
                    </w:rPr>
                  </w:pPr>
                  <w:r>
                    <w:rPr>
                      <w:rFonts w:hint="eastAsia"/>
                      <w:color w:val="auto"/>
                    </w:rPr>
                    <w:t>③项目</w:t>
                  </w:r>
                  <w:r>
                    <w:rPr>
                      <w:color w:val="auto"/>
                    </w:rPr>
                    <w:t>主要外排废水为</w:t>
                  </w:r>
                  <w:r>
                    <w:rPr>
                      <w:rFonts w:hint="eastAsia"/>
                      <w:color w:val="auto"/>
                    </w:rPr>
                    <w:t>塑料输液瓶</w:t>
                  </w:r>
                  <w:r>
                    <w:rPr>
                      <w:rFonts w:hint="eastAsia"/>
                      <w:color w:val="auto"/>
                      <w:lang w:eastAsia="zh-CN"/>
                    </w:rPr>
                    <w:t>（</w:t>
                  </w:r>
                  <w:r>
                    <w:rPr>
                      <w:rFonts w:hint="eastAsia"/>
                      <w:color w:val="auto"/>
                      <w:lang w:val="en-US" w:eastAsia="zh-CN"/>
                    </w:rPr>
                    <w:t>袋</w:t>
                  </w:r>
                  <w:r>
                    <w:rPr>
                      <w:rFonts w:hint="eastAsia"/>
                      <w:color w:val="auto"/>
                      <w:lang w:eastAsia="zh-CN"/>
                    </w:rPr>
                    <w:t>）</w:t>
                  </w:r>
                  <w:r>
                    <w:rPr>
                      <w:rFonts w:hint="eastAsia"/>
                      <w:color w:val="auto"/>
                    </w:rPr>
                    <w:t>清洗生产线</w:t>
                  </w:r>
                  <w:r>
                    <w:rPr>
                      <w:color w:val="auto"/>
                    </w:rPr>
                    <w:t>废水</w:t>
                  </w:r>
                  <w:r>
                    <w:rPr>
                      <w:rFonts w:hint="eastAsia"/>
                      <w:color w:val="auto"/>
                    </w:rPr>
                    <w:t>、地面冲洗废水</w:t>
                  </w:r>
                  <w:r>
                    <w:rPr>
                      <w:color w:val="auto"/>
                    </w:rPr>
                    <w:t>，</w:t>
                  </w:r>
                  <w:r>
                    <w:rPr>
                      <w:rFonts w:hint="eastAsia"/>
                      <w:color w:val="auto"/>
                    </w:rPr>
                    <w:t>污染物以COD、SS为主，</w:t>
                  </w:r>
                  <w:r>
                    <w:rPr>
                      <w:color w:val="auto"/>
                    </w:rPr>
                    <w:t>不含有</w:t>
                  </w:r>
                  <w:r>
                    <w:rPr>
                      <w:rFonts w:hint="eastAsia"/>
                      <w:color w:val="auto"/>
                    </w:rPr>
                    <w:t>第</w:t>
                  </w:r>
                  <w:r>
                    <w:rPr>
                      <w:color w:val="auto"/>
                    </w:rPr>
                    <w:t>一类重金属</w:t>
                  </w:r>
                  <w:r>
                    <w:rPr>
                      <w:rFonts w:hint="eastAsia"/>
                      <w:color w:val="auto"/>
                    </w:rPr>
                    <w:t>及持久性有机污染物排放；生活污水经化粪池处理后纳入园区市政管网，生产综合废水经自建</w:t>
                  </w:r>
                  <w:r>
                    <w:rPr>
                      <w:color w:val="auto"/>
                    </w:rPr>
                    <w:t>污水</w:t>
                  </w:r>
                  <w:r>
                    <w:rPr>
                      <w:rFonts w:hint="eastAsia"/>
                      <w:color w:val="auto"/>
                    </w:rPr>
                    <w:t>预</w:t>
                  </w:r>
                  <w:r>
                    <w:rPr>
                      <w:color w:val="auto"/>
                    </w:rPr>
                    <w:t>处理设施处理达标</w:t>
                  </w:r>
                  <w:r>
                    <w:rPr>
                      <w:rFonts w:hint="eastAsia"/>
                      <w:color w:val="auto"/>
                    </w:rPr>
                    <w:t>后，部分</w:t>
                  </w:r>
                  <w:r>
                    <w:rPr>
                      <w:color w:val="auto"/>
                    </w:rPr>
                    <w:t>回用于</w:t>
                  </w:r>
                  <w:r>
                    <w:rPr>
                      <w:rFonts w:hint="eastAsia"/>
                      <w:color w:val="auto"/>
                    </w:rPr>
                    <w:t>塑料输液瓶生产线</w:t>
                  </w:r>
                  <w:r>
                    <w:rPr>
                      <w:color w:val="auto"/>
                    </w:rPr>
                    <w:t>，</w:t>
                  </w:r>
                  <w:r>
                    <w:rPr>
                      <w:rFonts w:hint="eastAsia"/>
                      <w:color w:val="auto"/>
                    </w:rPr>
                    <w:t>部分</w:t>
                  </w:r>
                  <w:r>
                    <w:rPr>
                      <w:color w:val="auto"/>
                    </w:rPr>
                    <w:t>外排至江镜华侨农场污水处理厂</w:t>
                  </w:r>
                  <w:r>
                    <w:rPr>
                      <w:rFonts w:hint="eastAsia"/>
                      <w:color w:val="auto"/>
                    </w:rPr>
                    <w:t>。</w:t>
                  </w:r>
                </w:p>
                <w:p w14:paraId="2CB48B0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olor w:val="auto"/>
                    </w:rPr>
                    <w:t>④</w:t>
                  </w:r>
                  <w:r>
                    <w:rPr>
                      <w:color w:val="auto"/>
                    </w:rPr>
                    <w:t>污染物排放总量</w:t>
                  </w:r>
                  <w:r>
                    <w:rPr>
                      <w:rFonts w:hint="eastAsia"/>
                      <w:color w:val="auto"/>
                    </w:rPr>
                    <w:t>应</w:t>
                  </w:r>
                  <w:r>
                    <w:rPr>
                      <w:color w:val="auto"/>
                    </w:rPr>
                    <w:t>纳入当地政府污染物排放总量控制计划</w:t>
                  </w:r>
                  <w:r>
                    <w:rPr>
                      <w:rFonts w:hint="eastAsia"/>
                      <w:color w:val="auto"/>
                    </w:rPr>
                    <w:t>。</w:t>
                  </w:r>
                </w:p>
                <w:p w14:paraId="6796553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因此，</w:t>
                  </w:r>
                  <w:r>
                    <w:rPr>
                      <w:rFonts w:hint="default" w:ascii="Times New Roman" w:hAnsi="Times New Roman" w:eastAsia="宋体" w:cs="Times New Roman"/>
                      <w:color w:val="auto"/>
                      <w:sz w:val="21"/>
                      <w:szCs w:val="21"/>
                      <w:u w:val="none"/>
                      <w:vertAlign w:val="baseline"/>
                      <w:lang w:val="en-US" w:eastAsia="zh-CN"/>
                    </w:rPr>
                    <w:t>项目的建设符合闽台(福州)蓝色经济产业园产业引进的环保准入条件中的相关要求。</w:t>
                  </w:r>
                </w:p>
              </w:tc>
              <w:tc>
                <w:tcPr>
                  <w:tcW w:w="400" w:type="pct"/>
                  <w:vMerge w:val="restart"/>
                  <w:tcBorders>
                    <w:tl2br w:val="nil"/>
                    <w:tr2bl w:val="nil"/>
                  </w:tcBorders>
                  <w:noWrap w:val="0"/>
                  <w:vAlign w:val="center"/>
                </w:tcPr>
                <w:p w14:paraId="43EADA0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472B5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5" w:type="pct"/>
                  <w:vMerge w:val="continue"/>
                  <w:tcBorders>
                    <w:tl2br w:val="nil"/>
                    <w:tr2bl w:val="nil"/>
                  </w:tcBorders>
                  <w:noWrap w:val="0"/>
                  <w:vAlign w:val="center"/>
                </w:tcPr>
                <w:p w14:paraId="3030AAB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835" w:type="pct"/>
                  <w:tcBorders>
                    <w:tl2br w:val="nil"/>
                    <w:tr2bl w:val="nil"/>
                  </w:tcBorders>
                  <w:noWrap w:val="0"/>
                  <w:vAlign w:val="center"/>
                </w:tcPr>
                <w:p w14:paraId="04765B6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b/>
                      <w:bCs/>
                      <w:color w:val="auto"/>
                      <w:szCs w:val="21"/>
                    </w:rPr>
                    <w:t>审查意见：</w:t>
                  </w:r>
                  <w:r>
                    <w:rPr>
                      <w:rFonts w:hint="default" w:ascii="Times New Roman" w:hAnsi="Times New Roman" w:cs="Times New Roman"/>
                      <w:color w:val="auto"/>
                      <w:szCs w:val="21"/>
                    </w:rPr>
                    <w:t>落实污染物排放总量控制要求，采取有效措施减少C</w:t>
                  </w:r>
                  <w:r>
                    <w:rPr>
                      <w:rFonts w:hint="eastAsia" w:cs="Times New Roman"/>
                      <w:color w:val="auto"/>
                      <w:szCs w:val="21"/>
                      <w:lang w:val="en-US" w:eastAsia="zh-CN"/>
                    </w:rPr>
                    <w:t>O</w:t>
                  </w:r>
                  <w:r>
                    <w:rPr>
                      <w:rFonts w:hint="default" w:ascii="Times New Roman" w:hAnsi="Times New Roman" w:cs="Times New Roman"/>
                      <w:color w:val="auto"/>
                      <w:szCs w:val="21"/>
                    </w:rPr>
                    <w:t>D、石油类、氨氮、总氮、酸雾、油雾、氟化物、氮氧化物、挥发性有机物等各类污染物排放，园区污染物排放总量应纳入当地政府污染物排放总量控制计划。</w:t>
                  </w:r>
                </w:p>
              </w:tc>
              <w:tc>
                <w:tcPr>
                  <w:tcW w:w="2228" w:type="pct"/>
                  <w:vMerge w:val="continue"/>
                  <w:tcBorders>
                    <w:tl2br w:val="nil"/>
                    <w:tr2bl w:val="nil"/>
                  </w:tcBorders>
                  <w:noWrap w:val="0"/>
                  <w:vAlign w:val="center"/>
                </w:tcPr>
                <w:p w14:paraId="10A9943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400" w:type="pct"/>
                  <w:vMerge w:val="continue"/>
                  <w:tcBorders>
                    <w:tl2br w:val="nil"/>
                    <w:tr2bl w:val="nil"/>
                  </w:tcBorders>
                  <w:noWrap w:val="0"/>
                  <w:vAlign w:val="center"/>
                </w:tcPr>
                <w:p w14:paraId="1B1B512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u w:val="none"/>
                      <w:vertAlign w:val="baseline"/>
                      <w:lang w:val="en-US" w:eastAsia="zh-CN"/>
                    </w:rPr>
                  </w:pPr>
                </w:p>
              </w:tc>
            </w:tr>
          </w:tbl>
          <w:p w14:paraId="18EF9D7F">
            <w:pPr>
              <w:keepNext/>
              <w:keepLines w:val="0"/>
              <w:pageBreakBefore w:val="0"/>
              <w:widowControl w:val="0"/>
              <w:kinsoku/>
              <w:wordWrap/>
              <w:overflowPunct w:val="0"/>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Cs w:val="21"/>
                <w:lang w:eastAsia="zh-CN"/>
              </w:rPr>
            </w:pPr>
          </w:p>
        </w:tc>
      </w:tr>
      <w:tr w14:paraId="26F4D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48" w:type="dxa"/>
            <w:noWrap w:val="0"/>
            <w:vAlign w:val="center"/>
          </w:tcPr>
          <w:p w14:paraId="6BCC6ECC">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其他符合性分析</w:t>
            </w:r>
          </w:p>
        </w:tc>
        <w:tc>
          <w:tcPr>
            <w:tcW w:w="7922" w:type="dxa"/>
            <w:gridSpan w:val="4"/>
            <w:noWrap w:val="0"/>
            <w:vAlign w:val="center"/>
          </w:tcPr>
          <w:p w14:paraId="0D35684B">
            <w:pPr>
              <w:pStyle w:val="86"/>
              <w:keepNext w:val="0"/>
              <w:keepLines w:val="0"/>
              <w:pageBreakBefore w:val="0"/>
              <w:widowControl w:val="0"/>
              <w:tabs>
                <w:tab w:val="left" w:pos="4347"/>
              </w:tabs>
              <w:kinsoku/>
              <w:wordWrap/>
              <w:overflowPunct/>
              <w:topLinePunct w:val="0"/>
              <w:autoSpaceDE w:val="0"/>
              <w:autoSpaceDN w:val="0"/>
              <w:bidi w:val="0"/>
              <w:adjustRightInd w:val="0"/>
              <w:snapToGrid w:val="0"/>
              <w:spacing w:before="157" w:beforeLines="50" w:line="360" w:lineRule="auto"/>
              <w:jc w:val="both"/>
              <w:textAlignment w:val="auto"/>
              <w:outlineLvl w:val="2"/>
              <w:rPr>
                <w:rFonts w:hint="default" w:ascii="Times New Roman" w:hAnsi="Times New Roman" w:eastAsia="宋体" w:cs="Times New Roman"/>
                <w:b/>
                <w:color w:val="auto"/>
                <w:szCs w:val="24"/>
                <w:highlight w:val="none"/>
              </w:rPr>
            </w:pPr>
            <w:r>
              <w:rPr>
                <w:rFonts w:hint="default" w:ascii="Times New Roman" w:hAnsi="Times New Roman" w:eastAsia="宋体" w:cs="Times New Roman"/>
                <w:b/>
                <w:color w:val="auto"/>
                <w:szCs w:val="24"/>
                <w:highlight w:val="none"/>
                <w:lang w:val="en-US" w:eastAsia="zh-CN"/>
              </w:rPr>
              <w:t>1、</w:t>
            </w:r>
            <w:r>
              <w:rPr>
                <w:rFonts w:hint="default" w:ascii="Times New Roman" w:hAnsi="Times New Roman" w:eastAsia="宋体" w:cs="Times New Roman"/>
                <w:b/>
                <w:color w:val="auto"/>
                <w:szCs w:val="24"/>
                <w:highlight w:val="none"/>
              </w:rPr>
              <w:t>产业政策适宜性分析</w:t>
            </w:r>
          </w:p>
          <w:p w14:paraId="766AAB3C">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eastAsia="宋体" w:cs="Times New Roman"/>
                <w:b w:val="0"/>
                <w:bCs w:val="0"/>
                <w:color w:val="auto"/>
                <w:spacing w:val="0"/>
                <w:kern w:val="2"/>
                <w:sz w:val="24"/>
                <w:szCs w:val="24"/>
                <w:lang w:val="en-US" w:eastAsia="zh-CN" w:bidi="ar-SA"/>
              </w:rPr>
            </w:pPr>
            <w:r>
              <w:rPr>
                <w:rFonts w:hint="default" w:ascii="Times New Roman" w:hAnsi="Times New Roman" w:eastAsia="宋体" w:cs="Times New Roman"/>
                <w:b w:val="0"/>
                <w:bCs w:val="0"/>
                <w:color w:val="auto"/>
                <w:spacing w:val="0"/>
                <w:kern w:val="2"/>
                <w:sz w:val="24"/>
                <w:szCs w:val="24"/>
                <w:lang w:val="en-US" w:eastAsia="zh-CN" w:bidi="ar-SA"/>
              </w:rPr>
              <w:t>本项目为未被污染的输液瓶（袋）及生活塑料的回收加工，根据</w:t>
            </w:r>
            <w:r>
              <w:rPr>
                <w:rFonts w:hint="eastAsia" w:cs="Times New Roman"/>
                <w:b w:val="0"/>
                <w:bCs w:val="0"/>
                <w:color w:val="auto"/>
                <w:spacing w:val="0"/>
                <w:kern w:val="2"/>
                <w:sz w:val="24"/>
                <w:szCs w:val="24"/>
                <w:lang w:val="en-US" w:eastAsia="zh-CN" w:bidi="ar-SA"/>
              </w:rPr>
              <w:t>国家卫生健康委员会</w:t>
            </w:r>
            <w:r>
              <w:rPr>
                <w:rFonts w:hint="default" w:ascii="Times New Roman" w:hAnsi="Times New Roman" w:eastAsia="宋体" w:cs="Times New Roman"/>
                <w:b w:val="0"/>
                <w:bCs w:val="0"/>
                <w:color w:val="auto"/>
                <w:spacing w:val="0"/>
                <w:kern w:val="2"/>
                <w:sz w:val="24"/>
                <w:szCs w:val="24"/>
                <w:lang w:val="en-US" w:eastAsia="zh-CN" w:bidi="ar-SA"/>
              </w:rPr>
              <w:t>等部门联合发布的《关于在医疗机构推进生活垃圾分类管理的通知》（国卫办医发〔2017〕30号）明确规定了使用后输液瓶（袋）的分类管理要求。“医疗机构内产生的生活垃圾按照属性分为有害垃圾、易腐垃圾、可回收物和其他垃圾四类。可回收物主要包括未经患者血液、体液、排泄物等污染的输液瓶（袋），塑料类包装袋、包装盒、包装箱、纸张、纸质外包装物，废弃电器电子产品，经过擦拭或熏蒸方式消毒处理后废弃的病床、轮椅、输液架等”“对于未被患者血液、体液和排泄物等污染的输液瓶（袋），应当在其与输液管连接处去除输液管后单独集中回收、存放。去除后的输液管、针头等应当严格按照医疗废物管理，严禁混入未被污染的输液瓶（袋）及其他生活垃圾中。”“医疗机构应当科学、规范、节约用药，提高药物使用效率，减少浪费，降低药品消耗和环境承载压力。”。</w:t>
            </w:r>
          </w:p>
          <w:p w14:paraId="3A6DE010">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eastAsia="宋体" w:cs="Times New Roman"/>
                <w:b w:val="0"/>
                <w:bCs w:val="0"/>
                <w:color w:val="auto"/>
                <w:spacing w:val="0"/>
                <w:kern w:val="2"/>
                <w:sz w:val="24"/>
                <w:szCs w:val="24"/>
                <w:lang w:val="en-US" w:eastAsia="zh-CN" w:bidi="ar-SA"/>
              </w:rPr>
            </w:pPr>
            <w:r>
              <w:rPr>
                <w:rFonts w:hint="default" w:ascii="Times New Roman" w:hAnsi="Times New Roman" w:eastAsia="宋体" w:cs="Times New Roman"/>
                <w:b w:val="0"/>
                <w:bCs w:val="0"/>
                <w:color w:val="auto"/>
                <w:spacing w:val="0"/>
                <w:kern w:val="2"/>
                <w:sz w:val="24"/>
                <w:szCs w:val="24"/>
                <w:lang w:val="en-US" w:eastAsia="zh-CN" w:bidi="ar-SA"/>
              </w:rPr>
              <w:t>根据国卫办医发〔2017〕30 号和国卫医函〔2021〕238 号可知，未被患者血液、体液和排泄物等污染的输液瓶（袋）</w:t>
            </w:r>
            <w:r>
              <w:rPr>
                <w:rFonts w:hint="eastAsia" w:cs="Times New Roman"/>
                <w:b w:val="0"/>
                <w:bCs w:val="0"/>
                <w:color w:val="auto"/>
                <w:spacing w:val="0"/>
                <w:kern w:val="2"/>
                <w:sz w:val="24"/>
                <w:szCs w:val="24"/>
                <w:lang w:val="en-US" w:eastAsia="zh-CN" w:bidi="ar-SA"/>
              </w:rPr>
              <w:t>，不属于医疗废物，</w:t>
            </w:r>
            <w:r>
              <w:rPr>
                <w:rFonts w:hint="default" w:ascii="Times New Roman" w:hAnsi="Times New Roman" w:eastAsia="宋体" w:cs="Times New Roman"/>
                <w:b w:val="0"/>
                <w:bCs w:val="0"/>
                <w:color w:val="auto"/>
                <w:spacing w:val="0"/>
                <w:kern w:val="2"/>
                <w:sz w:val="24"/>
                <w:szCs w:val="24"/>
                <w:lang w:val="en-US" w:eastAsia="zh-CN" w:bidi="ar-SA"/>
              </w:rPr>
              <w:t>属于可回收物，可作为再生资源回收利用；本项目仅回收</w:t>
            </w:r>
            <w:r>
              <w:rPr>
                <w:rFonts w:hint="default" w:ascii="Times New Roman" w:hAnsi="Times New Roman" w:eastAsia="宋体" w:cs="Times New Roman"/>
                <w:b/>
                <w:bCs/>
                <w:color w:val="auto"/>
                <w:spacing w:val="0"/>
                <w:kern w:val="2"/>
                <w:sz w:val="24"/>
                <w:szCs w:val="24"/>
                <w:lang w:val="en-US" w:eastAsia="zh-CN" w:bidi="ar-SA"/>
              </w:rPr>
              <w:t>已去除针头及输液管的未被患者血液、体液和排泄物污染的普通废弃输液瓶（不带输液针头）</w:t>
            </w:r>
            <w:r>
              <w:rPr>
                <w:rFonts w:hint="default" w:ascii="Times New Roman" w:hAnsi="Times New Roman" w:cs="Times New Roman"/>
                <w:b/>
                <w:bCs/>
                <w:color w:val="auto"/>
                <w:spacing w:val="0"/>
                <w:kern w:val="2"/>
                <w:sz w:val="24"/>
                <w:szCs w:val="24"/>
                <w:lang w:val="en-US" w:eastAsia="zh-CN" w:bidi="ar-SA"/>
              </w:rPr>
              <w:t>及生活源塑料</w:t>
            </w:r>
            <w:r>
              <w:rPr>
                <w:rFonts w:hint="eastAsia" w:cs="Times New Roman"/>
                <w:b/>
                <w:bCs/>
                <w:color w:val="auto"/>
                <w:spacing w:val="0"/>
                <w:kern w:val="2"/>
                <w:sz w:val="24"/>
                <w:szCs w:val="24"/>
                <w:lang w:val="en-US" w:eastAsia="zh-CN" w:bidi="ar-SA"/>
              </w:rPr>
              <w:t>（矿泉水瓶）</w:t>
            </w:r>
            <w:r>
              <w:rPr>
                <w:rFonts w:hint="default" w:ascii="Times New Roman" w:hAnsi="Times New Roman" w:eastAsia="宋体" w:cs="Times New Roman"/>
                <w:b/>
                <w:bCs/>
                <w:color w:val="auto"/>
                <w:spacing w:val="0"/>
                <w:kern w:val="2"/>
                <w:sz w:val="24"/>
                <w:szCs w:val="24"/>
                <w:lang w:val="en-US" w:eastAsia="zh-CN" w:bidi="ar-SA"/>
              </w:rPr>
              <w:t>进行清洗、破碎加工</w:t>
            </w:r>
            <w:r>
              <w:rPr>
                <w:rFonts w:hint="default"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bCs/>
                <w:color w:val="auto"/>
                <w:spacing w:val="0"/>
                <w:kern w:val="2"/>
                <w:sz w:val="24"/>
                <w:szCs w:val="24"/>
                <w:lang w:val="en-US" w:eastAsia="zh-CN" w:bidi="ar-SA"/>
              </w:rPr>
              <w:t>不回收</w:t>
            </w:r>
            <w:r>
              <w:rPr>
                <w:rFonts w:hint="default" w:ascii="Times New Roman" w:hAnsi="Times New Roman" w:eastAsia="宋体" w:cs="Times New Roman"/>
                <w:b w:val="0"/>
                <w:bCs w:val="0"/>
                <w:color w:val="auto"/>
                <w:spacing w:val="0"/>
                <w:kern w:val="2"/>
                <w:sz w:val="24"/>
                <w:szCs w:val="24"/>
                <w:lang w:val="en-US" w:eastAsia="zh-CN" w:bidi="ar-SA"/>
              </w:rPr>
              <w:t>传染病区或用于传染病患者、疑似传染病患者以及采取隔离措施的其他患者的输液瓶（袋）、输液涉及使用细胞毒性药物（如肿瘤化疗药物等）的输液瓶（袋）、输液涉及使用麻醉类药品、精神类药品、易制毒药品和放射性药品的输液瓶（袋），</w:t>
            </w:r>
            <w:r>
              <w:rPr>
                <w:rFonts w:hint="default" w:ascii="Times New Roman" w:hAnsi="Times New Roman" w:eastAsia="宋体" w:cs="Times New Roman"/>
                <w:b/>
                <w:bCs/>
                <w:color w:val="auto"/>
                <w:spacing w:val="0"/>
                <w:kern w:val="2"/>
                <w:sz w:val="24"/>
                <w:szCs w:val="24"/>
                <w:lang w:val="en-US" w:eastAsia="zh-CN" w:bidi="ar-SA"/>
              </w:rPr>
              <w:t>不回收</w:t>
            </w:r>
            <w:r>
              <w:rPr>
                <w:rFonts w:hint="default" w:ascii="Times New Roman" w:hAnsi="Times New Roman" w:eastAsia="宋体" w:cs="Times New Roman"/>
                <w:b w:val="0"/>
                <w:bCs w:val="0"/>
                <w:color w:val="auto"/>
                <w:spacing w:val="0"/>
                <w:kern w:val="2"/>
                <w:sz w:val="24"/>
                <w:szCs w:val="24"/>
                <w:lang w:val="en-US" w:eastAsia="zh-CN" w:bidi="ar-SA"/>
              </w:rPr>
              <w:t>危险废物类废塑料，</w:t>
            </w:r>
            <w:r>
              <w:rPr>
                <w:rFonts w:hint="default" w:ascii="Times New Roman" w:hAnsi="Times New Roman" w:eastAsia="宋体" w:cs="Times New Roman"/>
                <w:b/>
                <w:bCs/>
                <w:color w:val="auto"/>
                <w:spacing w:val="0"/>
                <w:kern w:val="2"/>
                <w:sz w:val="24"/>
                <w:szCs w:val="24"/>
                <w:lang w:val="en-US" w:eastAsia="zh-CN" w:bidi="ar-SA"/>
              </w:rPr>
              <w:t>不回收</w:t>
            </w:r>
            <w:r>
              <w:rPr>
                <w:rFonts w:hint="default" w:ascii="Times New Roman" w:hAnsi="Times New Roman" w:eastAsia="宋体" w:cs="Times New Roman"/>
                <w:b w:val="0"/>
                <w:bCs w:val="0"/>
                <w:color w:val="auto"/>
                <w:spacing w:val="0"/>
                <w:kern w:val="2"/>
                <w:sz w:val="24"/>
                <w:szCs w:val="24"/>
                <w:lang w:val="en-US" w:eastAsia="zh-CN" w:bidi="ar-SA"/>
              </w:rPr>
              <w:t>废旧塑料薄膜、盛装农药、化肥、废染料、强酸、强碱及其他化学品包装瓶，项目加工后的塑料颗粒不得用于原用途。</w:t>
            </w:r>
          </w:p>
          <w:p w14:paraId="7A38278C">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eastAsia="宋体" w:cs="Times New Roman"/>
                <w:b w:val="0"/>
                <w:bCs w:val="0"/>
                <w:color w:val="auto"/>
                <w:spacing w:val="0"/>
                <w:kern w:val="2"/>
                <w:sz w:val="24"/>
                <w:szCs w:val="24"/>
                <w:lang w:val="en-US" w:eastAsia="zh-CN" w:bidi="ar-SA"/>
              </w:rPr>
            </w:pPr>
            <w:r>
              <w:rPr>
                <w:rFonts w:hint="default" w:ascii="Times New Roman" w:hAnsi="Times New Roman" w:eastAsia="宋体" w:cs="Times New Roman"/>
                <w:b w:val="0"/>
                <w:bCs w:val="0"/>
                <w:color w:val="auto"/>
                <w:spacing w:val="0"/>
                <w:kern w:val="2"/>
                <w:sz w:val="24"/>
                <w:szCs w:val="24"/>
                <w:lang w:val="en-US" w:eastAsia="zh-CN" w:bidi="ar-SA"/>
              </w:rPr>
              <w:t>根据《产业结构调整指导目录》（2024年本）（2024年2月1日起施行），项目属于“鼓励类”中“四十二、环境保护与资源节约综合利用----8、废钢铁、废有色金属、废纸、废橡胶、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因此，项目符合国家现行产业政策。</w:t>
            </w:r>
          </w:p>
          <w:p w14:paraId="4C90FA2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highlight w:val="none"/>
              </w:rPr>
              <w:t>项目于</w:t>
            </w:r>
            <w:r>
              <w:rPr>
                <w:rFonts w:hint="default" w:ascii="Times New Roman" w:hAnsi="Times New Roman" w:cs="Times New Roman"/>
                <w:color w:val="auto"/>
                <w:spacing w:val="0"/>
                <w:sz w:val="24"/>
                <w:highlight w:val="none"/>
                <w:lang w:eastAsia="zh-CN"/>
              </w:rPr>
              <w:t>2025年11月12日</w:t>
            </w:r>
            <w:r>
              <w:rPr>
                <w:rFonts w:hint="default" w:ascii="Times New Roman" w:hAnsi="Times New Roman" w:eastAsia="宋体" w:cs="Times New Roman"/>
                <w:color w:val="auto"/>
                <w:spacing w:val="0"/>
                <w:sz w:val="24"/>
                <w:highlight w:val="none"/>
              </w:rPr>
              <w:t>通过了</w:t>
            </w:r>
            <w:r>
              <w:rPr>
                <w:rFonts w:hint="default" w:ascii="Times New Roman" w:hAnsi="Times New Roman" w:eastAsia="宋体" w:cs="Times New Roman"/>
                <w:color w:val="auto"/>
                <w:spacing w:val="0"/>
                <w:sz w:val="24"/>
                <w:highlight w:val="none"/>
                <w:lang w:eastAsia="zh-CN"/>
              </w:rPr>
              <w:t>福清市发展和改革局</w:t>
            </w:r>
            <w:r>
              <w:rPr>
                <w:rFonts w:hint="default" w:ascii="Times New Roman" w:hAnsi="Times New Roman" w:eastAsia="宋体" w:cs="Times New Roman"/>
                <w:color w:val="auto"/>
                <w:spacing w:val="0"/>
                <w:sz w:val="24"/>
                <w:highlight w:val="none"/>
              </w:rPr>
              <w:t>的备案(详见附件</w:t>
            </w:r>
            <w:r>
              <w:rPr>
                <w:rFonts w:hint="eastAsia" w:ascii="Times New Roman" w:hAnsi="Times New Roman" w:cs="Times New Roman"/>
                <w:color w:val="auto"/>
                <w:spacing w:val="0"/>
                <w:sz w:val="24"/>
                <w:highlight w:val="none"/>
                <w:lang w:val="en-US" w:eastAsia="zh-CN"/>
              </w:rPr>
              <w:t>二</w:t>
            </w:r>
            <w:r>
              <w:rPr>
                <w:rFonts w:hint="default" w:ascii="Times New Roman" w:hAnsi="Times New Roman" w:eastAsia="宋体" w:cs="Times New Roman"/>
                <w:color w:val="auto"/>
                <w:spacing w:val="0"/>
                <w:sz w:val="24"/>
                <w:highlight w:val="none"/>
              </w:rPr>
              <w:t>)，因此项目</w:t>
            </w:r>
            <w:r>
              <w:rPr>
                <w:rFonts w:hint="default" w:ascii="Times New Roman" w:hAnsi="Times New Roman" w:eastAsia="宋体" w:cs="Times New Roman"/>
                <w:color w:val="auto"/>
                <w:spacing w:val="0"/>
                <w:sz w:val="24"/>
              </w:rPr>
              <w:t>的建设内容符合当前国家</w:t>
            </w:r>
            <w:r>
              <w:rPr>
                <w:rFonts w:hint="default" w:ascii="Times New Roman" w:hAnsi="Times New Roman" w:eastAsia="宋体" w:cs="Times New Roman"/>
                <w:color w:val="auto"/>
                <w:spacing w:val="0"/>
                <w:sz w:val="24"/>
                <w:lang w:eastAsia="zh-CN"/>
              </w:rPr>
              <w:t>和地方</w:t>
            </w:r>
            <w:r>
              <w:rPr>
                <w:rFonts w:hint="default" w:ascii="Times New Roman" w:hAnsi="Times New Roman" w:eastAsia="宋体" w:cs="Times New Roman"/>
                <w:color w:val="auto"/>
                <w:spacing w:val="0"/>
                <w:sz w:val="24"/>
              </w:rPr>
              <w:t>的产业政策。</w:t>
            </w:r>
          </w:p>
          <w:p w14:paraId="27AEC844">
            <w:pPr>
              <w:pStyle w:val="86"/>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auto"/>
                <w:szCs w:val="24"/>
                <w:highlight w:val="none"/>
              </w:rPr>
            </w:pPr>
            <w:r>
              <w:rPr>
                <w:rFonts w:hint="default" w:ascii="Times New Roman" w:hAnsi="Times New Roman" w:eastAsia="宋体" w:cs="Times New Roman"/>
                <w:b/>
                <w:color w:val="auto"/>
                <w:szCs w:val="24"/>
                <w:highlight w:val="none"/>
                <w:lang w:val="en-US" w:eastAsia="zh-CN"/>
              </w:rPr>
              <w:t>2、</w:t>
            </w:r>
            <w:r>
              <w:rPr>
                <w:rFonts w:hint="default" w:ascii="Times New Roman" w:hAnsi="Times New Roman" w:eastAsia="宋体" w:cs="Times New Roman"/>
                <w:b/>
                <w:color w:val="auto"/>
                <w:szCs w:val="24"/>
                <w:highlight w:val="none"/>
              </w:rPr>
              <w:t>环境功能区划符合性分析</w:t>
            </w:r>
          </w:p>
          <w:p w14:paraId="0BFBE88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lang w:eastAsia="zh-CN"/>
              </w:rPr>
              <w:t>项目运营期</w:t>
            </w:r>
            <w:r>
              <w:rPr>
                <w:rFonts w:hint="eastAsia" w:ascii="Times New Roman" w:hAnsi="Times New Roman" w:cs="Times New Roman"/>
                <w:color w:val="auto"/>
                <w:sz w:val="24"/>
                <w:lang w:val="en-US" w:eastAsia="zh-CN"/>
              </w:rPr>
              <w:t>无废气产生</w:t>
            </w:r>
            <w:r>
              <w:rPr>
                <w:rFonts w:hint="default" w:ascii="Times New Roman" w:hAnsi="Times New Roman" w:eastAsia="宋体" w:cs="Times New Roman"/>
                <w:color w:val="auto"/>
                <w:sz w:val="24"/>
                <w:lang w:eastAsia="zh-CN"/>
              </w:rPr>
              <w:t>，对周围环境空气不会产生显著影响，符合《环境空气质量标准》(GB3095-2012)及其修改单中二级标准。</w:t>
            </w:r>
            <w:r>
              <w:rPr>
                <w:rFonts w:hint="eastAsia" w:ascii="Times New Roman" w:hAnsi="Times New Roman" w:cs="Times New Roman"/>
                <w:color w:val="auto"/>
                <w:sz w:val="24"/>
                <w:lang w:val="en-US" w:eastAsia="zh-CN"/>
              </w:rPr>
              <w:t>项目生产废水经处理后同</w:t>
            </w:r>
            <w:r>
              <w:rPr>
                <w:rFonts w:hint="default" w:ascii="Times New Roman" w:hAnsi="Times New Roman" w:eastAsia="宋体" w:cs="Times New Roman"/>
                <w:color w:val="auto"/>
                <w:sz w:val="24"/>
                <w:lang w:eastAsia="zh-CN"/>
              </w:rPr>
              <w:t>生活</w:t>
            </w:r>
            <w:r>
              <w:rPr>
                <w:rFonts w:hint="default" w:ascii="Times New Roman" w:hAnsi="Times New Roman" w:eastAsia="宋体" w:cs="Times New Roman"/>
                <w:color w:val="auto"/>
                <w:sz w:val="24"/>
                <w:szCs w:val="24"/>
                <w:lang w:eastAsia="zh-CN"/>
              </w:rPr>
              <w:t>污水</w:t>
            </w:r>
            <w:r>
              <w:rPr>
                <w:rFonts w:hint="eastAsia" w:ascii="Times New Roman" w:hAnsi="Times New Roman" w:cs="Times New Roman"/>
                <w:color w:val="auto"/>
                <w:sz w:val="24"/>
                <w:szCs w:val="24"/>
                <w:lang w:val="en-US" w:eastAsia="zh-CN"/>
              </w:rPr>
              <w:t>一起</w:t>
            </w:r>
            <w:r>
              <w:rPr>
                <w:rFonts w:hint="default" w:ascii="Times New Roman" w:hAnsi="Times New Roman" w:eastAsia="宋体" w:cs="Times New Roman"/>
                <w:color w:val="auto"/>
                <w:sz w:val="24"/>
                <w:szCs w:val="24"/>
                <w:lang w:eastAsia="zh-CN"/>
              </w:rPr>
              <w:t>排入市政污水管网，送往江镜华侨农场污水处理厂集中处理，不直接排入周边地表水体，几乎不会改变纳污水域的环境质量现状</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color w:val="auto"/>
                <w:sz w:val="24"/>
                <w:szCs w:val="24"/>
                <w:lang w:eastAsia="zh-CN"/>
              </w:rPr>
              <w:t>项目在采取一定的噪声污染防治措施后，项目产生的噪声不会对周围环境产生显著影响，项目所在区域的环境噪声符合《声环境质量标准》(GB3096-2008)的</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类标准，因此，项目建设符合环境功能规划。</w:t>
            </w:r>
          </w:p>
          <w:p w14:paraId="72913A69">
            <w:pPr>
              <w:pStyle w:val="86"/>
              <w:numPr>
                <w:ilvl w:val="0"/>
                <w:numId w:val="0"/>
              </w:numPr>
              <w:tabs>
                <w:tab w:val="left" w:pos="4347"/>
              </w:tabs>
              <w:adjustRightInd/>
              <w:spacing w:line="360" w:lineRule="auto"/>
              <w:jc w:val="both"/>
              <w:outlineLvl w:val="2"/>
              <w:rPr>
                <w:rFonts w:hint="default" w:ascii="Times New Roman" w:hAnsi="Times New Roman" w:eastAsia="宋体" w:cs="Times New Roman"/>
                <w:b/>
                <w:color w:val="auto"/>
                <w:szCs w:val="24"/>
                <w:highlight w:val="none"/>
                <w:lang w:val="en-US" w:eastAsia="zh-CN"/>
              </w:rPr>
            </w:pPr>
            <w:r>
              <w:rPr>
                <w:rFonts w:hint="default" w:ascii="Times New Roman" w:hAnsi="Times New Roman" w:eastAsia="宋体" w:cs="Times New Roman"/>
                <w:b/>
                <w:color w:val="auto"/>
                <w:szCs w:val="24"/>
                <w:highlight w:val="none"/>
                <w:lang w:val="en-US" w:eastAsia="zh-CN"/>
              </w:rPr>
              <w:t>3、选址合理性分析</w:t>
            </w:r>
          </w:p>
          <w:p w14:paraId="2B683F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本项目选址于闽台（福州）蓝色经济产业园（租赁</w:t>
            </w:r>
            <w:r>
              <w:rPr>
                <w:rFonts w:hint="default" w:ascii="Times New Roman" w:hAnsi="Times New Roman" w:cs="Times New Roman"/>
                <w:color w:val="auto"/>
                <w:spacing w:val="0"/>
                <w:sz w:val="24"/>
                <w:szCs w:val="24"/>
                <w:highlight w:val="none"/>
                <w:lang w:val="en-US" w:eastAsia="zh-CN"/>
              </w:rPr>
              <w:t>福州锦佳商贸有限公司</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val="zh-CN" w:eastAsia="zh-CN"/>
              </w:rPr>
              <w:t>，</w:t>
            </w:r>
            <w:r>
              <w:rPr>
                <w:rFonts w:hint="default" w:ascii="Times New Roman" w:hAnsi="Times New Roman" w:eastAsia="宋体" w:cs="Times New Roman"/>
                <w:color w:val="auto"/>
                <w:spacing w:val="0"/>
                <w:sz w:val="24"/>
                <w:szCs w:val="24"/>
                <w:highlight w:val="none"/>
                <w:lang w:val="en-US" w:eastAsia="zh-CN"/>
              </w:rPr>
              <w:t>根据建设单位提供的不动产权证(闽（2023）福清市不动产权第</w:t>
            </w:r>
            <w:r>
              <w:rPr>
                <w:rFonts w:hint="default" w:ascii="Times New Roman" w:hAnsi="Times New Roman" w:cs="Times New Roman"/>
                <w:color w:val="auto"/>
                <w:spacing w:val="0"/>
                <w:sz w:val="24"/>
                <w:szCs w:val="24"/>
                <w:highlight w:val="none"/>
                <w:lang w:val="en-US" w:eastAsia="zh-CN"/>
              </w:rPr>
              <w:t>0017239</w:t>
            </w:r>
            <w:r>
              <w:rPr>
                <w:rFonts w:hint="default" w:ascii="Times New Roman" w:hAnsi="Times New Roman" w:eastAsia="宋体" w:cs="Times New Roman"/>
                <w:color w:val="auto"/>
                <w:spacing w:val="0"/>
                <w:sz w:val="24"/>
                <w:szCs w:val="24"/>
                <w:highlight w:val="none"/>
                <w:lang w:val="en-US" w:eastAsia="zh-CN"/>
              </w:rPr>
              <w:t>号和《闽台(福州)蓝色经济产业园总体规划修编(2017-2035)》，项目所在地土地用途为工业，本场所为非住宅、非违法建筑，不在</w:t>
            </w:r>
            <w:r>
              <w:rPr>
                <w:rFonts w:hint="default" w:ascii="Times New Roman" w:hAnsi="Times New Roman" w:cs="Times New Roman"/>
                <w:color w:val="auto"/>
                <w:spacing w:val="0"/>
                <w:sz w:val="24"/>
                <w:szCs w:val="24"/>
                <w:highlight w:val="none"/>
                <w:lang w:val="en-US" w:eastAsia="zh-CN"/>
              </w:rPr>
              <w:t>拆</w:t>
            </w:r>
            <w:r>
              <w:rPr>
                <w:rFonts w:hint="default" w:ascii="Times New Roman" w:hAnsi="Times New Roman" w:eastAsia="宋体" w:cs="Times New Roman"/>
                <w:color w:val="auto"/>
                <w:spacing w:val="0"/>
                <w:sz w:val="24"/>
                <w:szCs w:val="24"/>
                <w:highlight w:val="none"/>
                <w:lang w:val="en-US" w:eastAsia="zh-CN"/>
              </w:rPr>
              <w:t>迁范围，符合安全生产经营条件，本项目主要从事</w:t>
            </w:r>
            <w:r>
              <w:rPr>
                <w:rFonts w:hint="default" w:ascii="Times New Roman" w:hAnsi="Times New Roman" w:cs="Times New Roman"/>
                <w:color w:val="auto"/>
                <w:spacing w:val="0"/>
                <w:sz w:val="24"/>
                <w:szCs w:val="24"/>
                <w:highlight w:val="none"/>
                <w:lang w:val="en-US" w:eastAsia="zh-CN"/>
              </w:rPr>
              <w:t>未被污染的输液瓶（袋）及生活塑料的回收加工</w:t>
            </w:r>
            <w:r>
              <w:rPr>
                <w:rFonts w:hint="default" w:ascii="Times New Roman" w:hAnsi="Times New Roman" w:eastAsia="宋体" w:cs="Times New Roman"/>
                <w:color w:val="auto"/>
                <w:spacing w:val="0"/>
                <w:sz w:val="24"/>
                <w:szCs w:val="24"/>
                <w:highlight w:val="none"/>
                <w:lang w:val="en-US" w:eastAsia="zh-CN"/>
              </w:rPr>
              <w:t>，属于工业企业，因此，项目选址符合土地利用规划的要求，故项目选址合理。</w:t>
            </w:r>
          </w:p>
          <w:p w14:paraId="092BE0FF">
            <w:pPr>
              <w:pStyle w:val="86"/>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auto"/>
                <w:szCs w:val="24"/>
                <w:highlight w:val="none"/>
              </w:rPr>
            </w:pPr>
            <w:r>
              <w:rPr>
                <w:rFonts w:hint="default" w:ascii="Times New Roman" w:hAnsi="Times New Roman" w:eastAsia="宋体" w:cs="Times New Roman"/>
                <w:b/>
                <w:color w:val="auto"/>
                <w:szCs w:val="24"/>
                <w:highlight w:val="none"/>
                <w:lang w:val="en-US" w:eastAsia="zh-CN"/>
              </w:rPr>
              <w:t>4、</w:t>
            </w:r>
            <w:r>
              <w:rPr>
                <w:rFonts w:hint="default" w:ascii="Times New Roman" w:hAnsi="Times New Roman" w:eastAsia="宋体" w:cs="Times New Roman"/>
                <w:b/>
                <w:color w:val="auto"/>
                <w:szCs w:val="24"/>
                <w:highlight w:val="none"/>
              </w:rPr>
              <w:t>与周边相容性分析</w:t>
            </w:r>
          </w:p>
          <w:p w14:paraId="0DCE9F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val="en-US" w:eastAsia="zh-CN"/>
              </w:rPr>
              <w:t>项目位于闽台（福州）蓝色经济产业园（租赁</w:t>
            </w:r>
            <w:r>
              <w:rPr>
                <w:rFonts w:hint="default" w:ascii="Times New Roman" w:hAnsi="Times New Roman" w:cs="Times New Roman"/>
                <w:color w:val="auto"/>
                <w:spacing w:val="0"/>
                <w:sz w:val="24"/>
                <w:szCs w:val="24"/>
                <w:highlight w:val="none"/>
                <w:lang w:val="en-US" w:eastAsia="zh-CN"/>
              </w:rPr>
              <w:t>福州锦佳商贸有限公司B37栋厂房（二期）</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根据现场勘查，</w:t>
            </w:r>
            <w:r>
              <w:rPr>
                <w:rFonts w:hint="default" w:ascii="Times New Roman" w:hAnsi="Times New Roman" w:eastAsia="宋体" w:cs="Times New Roman"/>
                <w:color w:val="auto"/>
                <w:spacing w:val="0"/>
                <w:sz w:val="24"/>
                <w:szCs w:val="24"/>
                <w:highlight w:val="none"/>
                <w:lang w:eastAsia="zh-CN"/>
              </w:rPr>
              <w:t>周边以工业企业为主，项目周边环境</w:t>
            </w:r>
            <w:r>
              <w:rPr>
                <w:rFonts w:hint="default" w:ascii="Times New Roman" w:hAnsi="Times New Roman" w:cs="Times New Roman"/>
                <w:color w:val="auto"/>
                <w:spacing w:val="0"/>
                <w:sz w:val="24"/>
                <w:szCs w:val="24"/>
                <w:highlight w:val="none"/>
                <w:lang w:eastAsia="zh-CN"/>
              </w:rPr>
              <w:t>现状</w:t>
            </w:r>
            <w:r>
              <w:rPr>
                <w:rFonts w:hint="default" w:ascii="Times New Roman" w:hAnsi="Times New Roman" w:eastAsia="宋体" w:cs="Times New Roman"/>
                <w:color w:val="auto"/>
                <w:spacing w:val="0"/>
                <w:sz w:val="24"/>
                <w:szCs w:val="24"/>
                <w:highlight w:val="none"/>
                <w:lang w:eastAsia="zh-CN"/>
              </w:rPr>
              <w:t>示意图详见附图</w:t>
            </w:r>
            <w:r>
              <w:rPr>
                <w:rFonts w:hint="default" w:ascii="Times New Roman" w:hAnsi="Times New Roman" w:eastAsia="宋体" w:cs="Times New Roman"/>
                <w:color w:val="auto"/>
                <w:spacing w:val="0"/>
                <w:sz w:val="24"/>
                <w:szCs w:val="24"/>
                <w:highlight w:val="none"/>
                <w:lang w:val="en-US" w:eastAsia="zh-CN"/>
              </w:rPr>
              <w:t>2，</w:t>
            </w:r>
            <w:r>
              <w:rPr>
                <w:rFonts w:hint="default" w:ascii="Times New Roman" w:hAnsi="Times New Roman" w:eastAsia="宋体" w:cs="Times New Roman"/>
                <w:color w:val="auto"/>
                <w:spacing w:val="0"/>
                <w:sz w:val="24"/>
                <w:szCs w:val="24"/>
                <w:highlight w:val="none"/>
                <w:lang w:eastAsia="zh-CN"/>
              </w:rPr>
              <w:t>项目周边环境现状拍摄图详见附图</w:t>
            </w:r>
            <w:r>
              <w:rPr>
                <w:rFonts w:hint="default" w:ascii="Times New Roman" w:hAnsi="Times New Roman" w:eastAsia="宋体"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eastAsia="zh-CN"/>
              </w:rPr>
              <w:t>建设单位在确实落实本评价提出的各项污染治理措施的前提下，可实现污染物达标排放</w:t>
            </w:r>
            <w:r>
              <w:rPr>
                <w:rFonts w:hint="eastAsia" w:cs="Times New Roman"/>
                <w:color w:val="auto"/>
                <w:spacing w:val="0"/>
                <w:sz w:val="24"/>
                <w:szCs w:val="24"/>
                <w:highlight w:val="none"/>
                <w:lang w:eastAsia="zh-CN"/>
              </w:rPr>
              <w:t>且</w:t>
            </w:r>
            <w:r>
              <w:rPr>
                <w:rFonts w:hint="default" w:ascii="Times New Roman" w:hAnsi="Times New Roman" w:eastAsia="宋体" w:cs="Times New Roman"/>
                <w:color w:val="auto"/>
                <w:spacing w:val="0"/>
                <w:sz w:val="24"/>
                <w:szCs w:val="24"/>
                <w:highlight w:val="none"/>
                <w:lang w:eastAsia="zh-CN"/>
              </w:rPr>
              <w:t>各污染物排放源强较低，运营期产生的“三废”及噪声对周边环境影响不明显，因此，项目建设与周边环境基本相容。</w:t>
            </w:r>
          </w:p>
          <w:p w14:paraId="52F10DA5">
            <w:pPr>
              <w:autoSpaceDE/>
              <w:autoSpaceDN/>
              <w:spacing w:line="360" w:lineRule="auto"/>
              <w:ind w:firstLine="480" w:firstLineChars="200"/>
              <w:rPr>
                <w:rFonts w:hint="default" w:ascii="Times New Roman" w:hAnsi="Times New Roman" w:eastAsia="宋体" w:cs="Times New Roman"/>
                <w:color w:val="auto"/>
                <w:spacing w:val="0"/>
                <w:sz w:val="24"/>
                <w:szCs w:val="24"/>
                <w:lang w:eastAsia="zh-CN"/>
              </w:rPr>
            </w:pPr>
            <w:r>
              <w:rPr>
                <w:rFonts w:hint="default" w:ascii="Times New Roman" w:hAnsi="Times New Roman" w:eastAsia="宋体" w:cs="Times New Roman"/>
                <w:color w:val="auto"/>
                <w:sz w:val="24"/>
              </w:rPr>
              <w:t>本评价要求建设单位合理设计厂区平面布置，完善废水、废气、噪声及固废治理的环保措施，保证项目产生的废水、废气、噪声及固废都能实现达标排放，最大程度降低项目对周围居民点的影响。</w:t>
            </w:r>
          </w:p>
          <w:p w14:paraId="16991368">
            <w:pPr>
              <w:pStyle w:val="86"/>
              <w:tabs>
                <w:tab w:val="left" w:pos="4347"/>
              </w:tabs>
              <w:adjustRightInd/>
              <w:spacing w:line="360" w:lineRule="auto"/>
              <w:jc w:val="both"/>
              <w:outlineLvl w:val="2"/>
              <w:rPr>
                <w:rFonts w:hint="default" w:ascii="Times New Roman" w:hAnsi="Times New Roman" w:eastAsia="宋体" w:cs="Times New Roman"/>
                <w:b/>
                <w:color w:val="auto"/>
                <w:szCs w:val="24"/>
                <w:highlight w:val="none"/>
                <w:lang w:val="en-US" w:eastAsia="zh-CN"/>
              </w:rPr>
            </w:pPr>
            <w:r>
              <w:rPr>
                <w:rFonts w:hint="default" w:ascii="Times New Roman" w:hAnsi="Times New Roman" w:eastAsia="宋体" w:cs="Times New Roman"/>
                <w:b/>
                <w:color w:val="auto"/>
                <w:szCs w:val="24"/>
                <w:highlight w:val="none"/>
                <w:lang w:val="en-US" w:eastAsia="zh-CN"/>
              </w:rPr>
              <w:t>5、</w:t>
            </w:r>
            <w:r>
              <w:rPr>
                <w:rFonts w:hint="eastAsia" w:cs="Times New Roman"/>
                <w:b/>
                <w:bCs/>
                <w:color w:val="auto"/>
                <w:kern w:val="2"/>
                <w:sz w:val="24"/>
                <w:szCs w:val="24"/>
                <w:highlight w:val="none"/>
                <w:lang w:val="en-US" w:eastAsia="zh-CN" w:bidi="ar"/>
              </w:rPr>
              <w:t>与</w:t>
            </w:r>
            <w:r>
              <w:rPr>
                <w:rFonts w:hint="default" w:ascii="Times New Roman" w:hAnsi="Times New Roman" w:eastAsia="宋体" w:cs="Times New Roman"/>
                <w:b/>
                <w:bCs/>
                <w:color w:val="auto"/>
                <w:kern w:val="2"/>
                <w:sz w:val="24"/>
                <w:szCs w:val="24"/>
                <w:highlight w:val="none"/>
                <w:lang w:val="en-US" w:eastAsia="zh-CN" w:bidi="ar"/>
              </w:rPr>
              <w:t>“福州市生态环境分区管控方案”符合性分析</w:t>
            </w:r>
          </w:p>
          <w:p w14:paraId="24B06D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根据《福州市人民政府办公厅关于印发《福州市生态环境分区管控方案（2023年更新）》</w:t>
            </w:r>
            <w:r>
              <w:rPr>
                <w:rFonts w:hint="eastAsia" w:cs="Times New Roman"/>
                <w:color w:val="auto"/>
                <w:sz w:val="24"/>
                <w:szCs w:val="24"/>
                <w:lang w:val="en-US" w:eastAsia="zh-CN"/>
              </w:rPr>
              <w:t>及《福州市生态环境局关于发布福州市2024年生态环境分区管控动态更新成果的通知》（榕环保综﹝2025〕1号）</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本项目属于重点管控单元，</w:t>
            </w:r>
            <w:r>
              <w:rPr>
                <w:rFonts w:hint="default" w:ascii="Times New Roman" w:hAnsi="Times New Roman" w:eastAsia="宋体" w:cs="Times New Roman"/>
                <w:color w:val="auto"/>
                <w:sz w:val="24"/>
                <w:szCs w:val="24"/>
                <w:lang w:val="en-US" w:eastAsia="zh-CN"/>
              </w:rPr>
              <w:t>项目与福州市“</w:t>
            </w:r>
            <w:r>
              <w:rPr>
                <w:rFonts w:hint="eastAsia" w:cs="Times New Roman"/>
                <w:color w:val="auto"/>
                <w:sz w:val="24"/>
                <w:szCs w:val="24"/>
                <w:lang w:val="en-US" w:eastAsia="zh-CN"/>
              </w:rPr>
              <w:t>生态分区</w:t>
            </w:r>
            <w:r>
              <w:rPr>
                <w:rFonts w:hint="default" w:ascii="Times New Roman" w:hAnsi="Times New Roman" w:eastAsia="宋体" w:cs="Times New Roman"/>
                <w:color w:val="auto"/>
                <w:sz w:val="24"/>
                <w:szCs w:val="24"/>
                <w:lang w:val="en-US" w:eastAsia="zh-CN"/>
              </w:rPr>
              <w:t>”管控要求符合性分析如下：</w:t>
            </w:r>
          </w:p>
          <w:p w14:paraId="10EF23DF">
            <w:pPr>
              <w:keepNext w:val="0"/>
              <w:keepLines w:val="0"/>
              <w:pageBreakBefore w:val="0"/>
              <w:widowControl w:val="0"/>
              <w:kinsoku/>
              <w:wordWrap/>
              <w:overflowPunct/>
              <w:topLinePunct w:val="0"/>
              <w:autoSpaceDE/>
              <w:autoSpaceDN/>
              <w:bidi w:val="0"/>
              <w:adjustRightInd/>
              <w:snapToGrid/>
              <w:spacing w:before="163" w:beforeLines="5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黑体" w:cs="Times New Roman"/>
                <w:color w:val="auto"/>
                <w:sz w:val="24"/>
                <w:szCs w:val="24"/>
                <w:u w:val="none"/>
                <w:lang w:val="en-US" w:eastAsia="zh-CN"/>
              </w:rPr>
              <w:t>表1-4 与福州市生态环境总体准入要求及福州市陆域环境管控单元准入要求的符合性分析(摘录)</w:t>
            </w:r>
          </w:p>
          <w:tbl>
            <w:tblPr>
              <w:tblStyle w:val="27"/>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549"/>
              <w:gridCol w:w="684"/>
              <w:gridCol w:w="3025"/>
              <w:gridCol w:w="2096"/>
              <w:gridCol w:w="346"/>
            </w:tblGrid>
            <w:tr w14:paraId="27BD2C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2" w:type="pct"/>
                  <w:noWrap w:val="0"/>
                  <w:vAlign w:val="center"/>
                </w:tcPr>
                <w:p w14:paraId="0D48DD9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适用范围</w:t>
                  </w:r>
                </w:p>
              </w:tc>
              <w:tc>
                <w:tcPr>
                  <w:tcW w:w="2630" w:type="pct"/>
                  <w:gridSpan w:val="2"/>
                  <w:noWrap w:val="0"/>
                  <w:vAlign w:val="center"/>
                </w:tcPr>
                <w:p w14:paraId="2558FD3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准入要求</w:t>
                  </w:r>
                </w:p>
              </w:tc>
              <w:tc>
                <w:tcPr>
                  <w:tcW w:w="1472" w:type="pct"/>
                  <w:noWrap w:val="0"/>
                  <w:vAlign w:val="center"/>
                </w:tcPr>
                <w:p w14:paraId="03241FF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335" w:type="pct"/>
                  <w:noWrap w:val="0"/>
                  <w:vAlign w:val="center"/>
                </w:tcPr>
                <w:p w14:paraId="36BC58D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14:paraId="26C734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2" w:type="pct"/>
                  <w:vMerge w:val="restart"/>
                  <w:noWrap w:val="0"/>
                  <w:vAlign w:val="center"/>
                </w:tcPr>
                <w:p w14:paraId="2B836A1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福州市</w:t>
                  </w:r>
                </w:p>
                <w:p w14:paraId="03FDA36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陆域</w:t>
                  </w:r>
                </w:p>
              </w:tc>
              <w:tc>
                <w:tcPr>
                  <w:tcW w:w="555" w:type="pct"/>
                  <w:noWrap w:val="0"/>
                  <w:vAlign w:val="center"/>
                </w:tcPr>
                <w:p w14:paraId="7B4E6B3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2074" w:type="pct"/>
                  <w:noWrap w:val="0"/>
                  <w:vAlign w:val="center"/>
                </w:tcPr>
                <w:p w14:paraId="7BBC996F">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1.福州市石化中上游项目重点在江阴化工新材料专区、连江可门化工新材料产业园布局。</w:t>
                  </w:r>
                </w:p>
                <w:p w14:paraId="7975C974">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2.禁止在通风廊道和主导风向的上风向布局大气重污染企业，逐步将大气重污染企业和环境风险企业搬出城市建成区和生态保护红线范围。</w:t>
                  </w:r>
                </w:p>
              </w:tc>
              <w:tc>
                <w:tcPr>
                  <w:tcW w:w="1472" w:type="pct"/>
                  <w:noWrap w:val="0"/>
                  <w:vAlign w:val="center"/>
                </w:tcPr>
                <w:p w14:paraId="654FA962">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1.项目不属于石化企业；</w:t>
                  </w:r>
                </w:p>
                <w:p w14:paraId="2313366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2.项目不属于</w:t>
                  </w:r>
                  <w:r>
                    <w:rPr>
                      <w:rFonts w:hint="default" w:ascii="Times New Roman" w:hAnsi="Times New Roman" w:cs="Times New Roman"/>
                      <w:color w:val="auto"/>
                      <w:sz w:val="21"/>
                      <w:szCs w:val="21"/>
                    </w:rPr>
                    <w:t>大气重污染企业</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产生的废气经采取有效治理措施后，对周边敏感目</w:t>
                  </w:r>
                  <w:r>
                    <w:rPr>
                      <w:rFonts w:hint="eastAsia" w:cs="Times New Roman"/>
                      <w:color w:val="auto"/>
                      <w:sz w:val="21"/>
                      <w:szCs w:val="21"/>
                      <w:lang w:val="en-US" w:eastAsia="zh-CN"/>
                    </w:rPr>
                    <w:t>标</w:t>
                  </w:r>
                  <w:r>
                    <w:rPr>
                      <w:rFonts w:hint="default" w:ascii="Times New Roman" w:hAnsi="Times New Roman" w:cs="Times New Roman"/>
                      <w:color w:val="auto"/>
                      <w:sz w:val="21"/>
                      <w:szCs w:val="21"/>
                      <w:lang w:val="en-US" w:eastAsia="zh-CN"/>
                    </w:rPr>
                    <w:t>影响较小。</w:t>
                  </w:r>
                </w:p>
              </w:tc>
              <w:tc>
                <w:tcPr>
                  <w:tcW w:w="335" w:type="pct"/>
                  <w:noWrap w:val="0"/>
                  <w:vAlign w:val="center"/>
                </w:tcPr>
                <w:p w14:paraId="76D2A2D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r w14:paraId="23C397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2" w:type="pct"/>
                  <w:vMerge w:val="continue"/>
                  <w:noWrap w:val="0"/>
                  <w:vAlign w:val="center"/>
                </w:tcPr>
                <w:p w14:paraId="0A3E312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p>
              </w:tc>
              <w:tc>
                <w:tcPr>
                  <w:tcW w:w="555" w:type="pct"/>
                  <w:noWrap w:val="0"/>
                  <w:vAlign w:val="center"/>
                </w:tcPr>
                <w:p w14:paraId="5981CFB7">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2074" w:type="pct"/>
                  <w:noWrap w:val="0"/>
                  <w:vAlign w:val="center"/>
                </w:tcPr>
                <w:p w14:paraId="1CEB6BC8">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设规划部门划定的县级以上城市建成区及福州市环境总体规划（2013-2030）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1.5倍交易。</w:t>
                  </w:r>
                </w:p>
                <w:p w14:paraId="3ED6E1EB">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2.省级（含）以上工业园区外的工业企业新增主要污染物排放量（不含使用天然气、液化石油气等作为燃料的非火电锅炉和工业炉窑的工业企业新增的二氧化硫、氮氧化物排放量），按不低于1.2倍交易。</w:t>
                  </w:r>
                </w:p>
                <w:p w14:paraId="7B83D15D">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3.涉新增VOCs排放项目，VOCs排放实行区域内倍量替代。</w:t>
                  </w:r>
                </w:p>
                <w:p w14:paraId="55C8F9D4">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14:paraId="57AA8538">
                  <w:pPr>
                    <w:pStyle w:val="8"/>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5.氟化工、印染、电镀等行业企业实行水污染物特别排放限值。</w:t>
                  </w:r>
                </w:p>
              </w:tc>
              <w:tc>
                <w:tcPr>
                  <w:tcW w:w="1472" w:type="pct"/>
                  <w:noWrap w:val="0"/>
                  <w:vAlign w:val="center"/>
                </w:tcPr>
                <w:p w14:paraId="66B011E3">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不涉及二</w:t>
                  </w:r>
                  <w:r>
                    <w:rPr>
                      <w:rFonts w:hint="default" w:ascii="Times New Roman" w:hAnsi="Times New Roman" w:cs="Times New Roman"/>
                      <w:color w:val="auto"/>
                      <w:sz w:val="21"/>
                      <w:szCs w:val="21"/>
                    </w:rPr>
                    <w:t>氧化硫、氮氧化物</w:t>
                  </w:r>
                  <w:r>
                    <w:rPr>
                      <w:rFonts w:hint="default" w:ascii="Times New Roman" w:hAnsi="Times New Roman" w:cs="Times New Roman"/>
                      <w:color w:val="auto"/>
                      <w:sz w:val="21"/>
                      <w:szCs w:val="21"/>
                      <w:lang w:val="en-US" w:eastAsia="zh-CN"/>
                    </w:rPr>
                    <w:t>排放；</w:t>
                  </w:r>
                </w:p>
                <w:p w14:paraId="3B1EF219">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项目</w:t>
                  </w:r>
                  <w:r>
                    <w:rPr>
                      <w:rFonts w:hint="eastAsia" w:cs="Times New Roman"/>
                      <w:color w:val="auto"/>
                      <w:sz w:val="21"/>
                      <w:szCs w:val="21"/>
                      <w:lang w:val="en-US" w:eastAsia="zh-CN"/>
                    </w:rPr>
                    <w:t>不涉及</w:t>
                  </w:r>
                  <w:r>
                    <w:rPr>
                      <w:rFonts w:hint="default" w:ascii="Times New Roman" w:hAnsi="Times New Roman" w:cs="Times New Roman"/>
                      <w:color w:val="auto"/>
                      <w:sz w:val="21"/>
                      <w:szCs w:val="21"/>
                    </w:rPr>
                    <w:t>VOC</w:t>
                  </w:r>
                  <w:r>
                    <w:rPr>
                      <w:rFonts w:hint="default" w:ascii="Times New Roman" w:hAnsi="Times New Roman" w:cs="Times New Roman"/>
                      <w:color w:val="auto"/>
                      <w:sz w:val="21"/>
                      <w:szCs w:val="21"/>
                      <w:vertAlign w:val="subscript"/>
                    </w:rPr>
                    <w:t>S</w:t>
                  </w:r>
                  <w:r>
                    <w:rPr>
                      <w:rFonts w:hint="eastAsia" w:cs="Times New Roman"/>
                      <w:color w:val="auto"/>
                      <w:sz w:val="21"/>
                      <w:szCs w:val="21"/>
                      <w:lang w:val="en-US" w:eastAsia="zh-CN"/>
                    </w:rPr>
                    <w:t>排放</w:t>
                  </w:r>
                  <w:r>
                    <w:rPr>
                      <w:rFonts w:hint="default" w:ascii="Times New Roman" w:hAnsi="Times New Roman" w:cs="Times New Roman"/>
                      <w:color w:val="auto"/>
                      <w:sz w:val="21"/>
                      <w:szCs w:val="21"/>
                      <w:lang w:eastAsia="zh-CN"/>
                    </w:rPr>
                    <w:t>；</w:t>
                  </w:r>
                </w:p>
                <w:p w14:paraId="177A89D6">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3.项目不属于钢</w:t>
                  </w:r>
                  <w:r>
                    <w:rPr>
                      <w:rFonts w:hint="default" w:ascii="Times New Roman" w:hAnsi="Times New Roman" w:cs="Times New Roman"/>
                      <w:color w:val="auto"/>
                      <w:sz w:val="21"/>
                      <w:szCs w:val="21"/>
                    </w:rPr>
                    <w:t>铁、水泥、平板玻璃、有色金属冶炼、化工</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火电、有色等项目，不涉及燃煤锅炉；</w:t>
                  </w:r>
                </w:p>
                <w:p w14:paraId="2F73D082">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4.项目不属于</w:t>
                  </w:r>
                  <w:r>
                    <w:rPr>
                      <w:rFonts w:hint="default" w:ascii="Times New Roman" w:hAnsi="Times New Roman" w:cs="Times New Roman"/>
                      <w:color w:val="auto"/>
                      <w:sz w:val="21"/>
                      <w:szCs w:val="21"/>
                    </w:rPr>
                    <w:t>氟化工、印染、电镀等行业企业</w:t>
                  </w:r>
                  <w:r>
                    <w:rPr>
                      <w:rFonts w:hint="default" w:ascii="Times New Roman" w:hAnsi="Times New Roman" w:cs="Times New Roman"/>
                      <w:color w:val="auto"/>
                      <w:sz w:val="21"/>
                      <w:szCs w:val="21"/>
                      <w:lang w:eastAsia="zh-CN"/>
                    </w:rPr>
                    <w:t>。</w:t>
                  </w:r>
                </w:p>
              </w:tc>
              <w:tc>
                <w:tcPr>
                  <w:tcW w:w="335" w:type="pct"/>
                  <w:noWrap w:val="0"/>
                  <w:vAlign w:val="center"/>
                </w:tcPr>
                <w:p w14:paraId="587C877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BFDFC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2" w:type="pct"/>
                  <w:vMerge w:val="restart"/>
                  <w:noWrap w:val="0"/>
                  <w:vAlign w:val="center"/>
                </w:tcPr>
                <w:p w14:paraId="172C5BB9">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闽台(福州)蓝色经济产业园</w:t>
                  </w:r>
                  <w:r>
                    <w:rPr>
                      <w:rFonts w:hint="default" w:ascii="Times New Roman" w:hAnsi="Times New Roman" w:eastAsia="宋体" w:cs="Times New Roman"/>
                      <w:color w:val="auto"/>
                      <w:kern w:val="0"/>
                      <w:sz w:val="21"/>
                      <w:szCs w:val="21"/>
                      <w:lang w:val="en-US" w:eastAsia="zh-CN"/>
                    </w:rPr>
                    <w:t>（蓝园片区）</w:t>
                  </w:r>
                </w:p>
                <w:p w14:paraId="32F72D3B">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eastAsia"/>
                      <w:color w:val="auto"/>
                      <w:vertAlign w:val="baseline"/>
                      <w:lang w:val="en-US" w:eastAsia="zh-CN"/>
                    </w:rPr>
                    <w:t>ZH35018120005</w:t>
                  </w:r>
                </w:p>
              </w:tc>
              <w:tc>
                <w:tcPr>
                  <w:tcW w:w="555" w:type="pct"/>
                  <w:noWrap w:val="0"/>
                  <w:vAlign w:val="center"/>
                </w:tcPr>
                <w:p w14:paraId="2129EC44">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空间布局约束</w:t>
                  </w:r>
                </w:p>
              </w:tc>
              <w:tc>
                <w:tcPr>
                  <w:tcW w:w="2074" w:type="pct"/>
                  <w:noWrap w:val="0"/>
                  <w:vAlign w:val="center"/>
                </w:tcPr>
                <w:p w14:paraId="5649F324">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1.装备制造产业禁止引入专业电镀项目，配套的电镀工序含重金属废水应做到零排放；海洋高新产业禁止引进化学合成类制药等项目。</w:t>
                  </w:r>
                </w:p>
                <w:p w14:paraId="11CF8E35">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2.禁止引入排放重金属废水及以氮、磷排放为主的项目。</w:t>
                  </w:r>
                </w:p>
                <w:p w14:paraId="185F2DD6">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3.园区内涉及基本农田、沿海防风林的区域在土地性质调整及占补措施落实前应暂缓开发。</w:t>
                  </w:r>
                </w:p>
                <w:p w14:paraId="6E54B223">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4.位于龙田军用机场净空区域内的建筑高度应满足相应的净空限高要求。机场雷达通信站周边半径1.5公里范围内建设应满足相应限制和要求。</w:t>
                  </w:r>
                </w:p>
                <w:p w14:paraId="39EF0613">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5.在核电站应急计划区内不得有10万人以上的城镇</w:t>
                  </w:r>
                  <w:r>
                    <w:rPr>
                      <w:rFonts w:hint="eastAsia" w:cs="Times New Roman"/>
                      <w:color w:val="auto"/>
                      <w:kern w:val="0"/>
                      <w:sz w:val="21"/>
                      <w:szCs w:val="21"/>
                      <w:lang w:eastAsia="zh-CN"/>
                    </w:rPr>
                    <w:t>且</w:t>
                  </w:r>
                  <w:r>
                    <w:rPr>
                      <w:rFonts w:hint="default" w:ascii="Times New Roman" w:hAnsi="Times New Roman" w:eastAsia="宋体" w:cs="Times New Roman"/>
                      <w:color w:val="auto"/>
                      <w:kern w:val="0"/>
                      <w:sz w:val="21"/>
                      <w:szCs w:val="21"/>
                    </w:rPr>
                    <w:t>不宜有人口密度超过1万人/平方公里的人口聚集区。</w:t>
                  </w:r>
                </w:p>
                <w:p w14:paraId="035F9EAC">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6.生产设施与水禽筑巢区、觅食及栖息地等集中分布区须保留安全距离，禁止惊扰鸟类的作业。</w:t>
                  </w:r>
                </w:p>
              </w:tc>
              <w:tc>
                <w:tcPr>
                  <w:tcW w:w="1472" w:type="pct"/>
                  <w:noWrap w:val="0"/>
                  <w:vAlign w:val="center"/>
                </w:tcPr>
                <w:p w14:paraId="16C26E42">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kern w:val="0"/>
                      <w:sz w:val="21"/>
                      <w:szCs w:val="21"/>
                      <w:lang w:val="en-US" w:eastAsia="zh-CN"/>
                    </w:rPr>
                    <w:t>不属于</w:t>
                  </w:r>
                  <w:r>
                    <w:rPr>
                      <w:rFonts w:hint="default" w:ascii="Times New Roman" w:hAnsi="Times New Roman" w:eastAsia="宋体" w:cs="Times New Roman"/>
                      <w:color w:val="auto"/>
                      <w:kern w:val="0"/>
                      <w:sz w:val="21"/>
                      <w:szCs w:val="21"/>
                    </w:rPr>
                    <w:t>装备制造产业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不涉及电镀工艺；不属于</w:t>
                  </w:r>
                  <w:r>
                    <w:rPr>
                      <w:rFonts w:hint="default" w:ascii="Times New Roman" w:hAnsi="Times New Roman" w:eastAsia="宋体" w:cs="Times New Roman"/>
                      <w:color w:val="auto"/>
                      <w:kern w:val="0"/>
                      <w:sz w:val="21"/>
                      <w:szCs w:val="21"/>
                    </w:rPr>
                    <w:t>海洋高新产业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不属于</w:t>
                  </w:r>
                  <w:r>
                    <w:rPr>
                      <w:rFonts w:hint="default" w:ascii="Times New Roman" w:hAnsi="Times New Roman" w:eastAsia="宋体" w:cs="Times New Roman"/>
                      <w:color w:val="auto"/>
                      <w:kern w:val="0"/>
                      <w:sz w:val="21"/>
                      <w:szCs w:val="21"/>
                    </w:rPr>
                    <w:t>化学合成类制药</w:t>
                  </w:r>
                  <w:r>
                    <w:rPr>
                      <w:rFonts w:hint="default" w:ascii="Times New Roman" w:hAnsi="Times New Roman" w:eastAsia="宋体" w:cs="Times New Roman"/>
                      <w:color w:val="auto"/>
                      <w:kern w:val="0"/>
                      <w:sz w:val="21"/>
                      <w:szCs w:val="21"/>
                      <w:lang w:val="en-US" w:eastAsia="zh-CN"/>
                    </w:rPr>
                    <w:t>项目。</w:t>
                  </w:r>
                </w:p>
                <w:p w14:paraId="4DAD4F72">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2.项目不涉及</w:t>
                  </w:r>
                  <w:r>
                    <w:rPr>
                      <w:rFonts w:hint="default" w:ascii="Times New Roman" w:hAnsi="Times New Roman" w:eastAsia="宋体" w:cs="Times New Roman"/>
                      <w:color w:val="auto"/>
                      <w:kern w:val="0"/>
                      <w:sz w:val="21"/>
                      <w:szCs w:val="21"/>
                    </w:rPr>
                    <w:t>重金属废水</w:t>
                  </w:r>
                  <w:r>
                    <w:rPr>
                      <w:rFonts w:hint="default" w:ascii="Times New Roman" w:hAnsi="Times New Roman" w:eastAsia="宋体" w:cs="Times New Roman"/>
                      <w:color w:val="auto"/>
                      <w:kern w:val="0"/>
                      <w:sz w:val="21"/>
                      <w:szCs w:val="21"/>
                      <w:lang w:val="en-US" w:eastAsia="zh-CN"/>
                    </w:rPr>
                    <w:t>排放，不属于</w:t>
                  </w:r>
                  <w:r>
                    <w:rPr>
                      <w:rFonts w:hint="default" w:ascii="Times New Roman" w:hAnsi="Times New Roman" w:eastAsia="宋体" w:cs="Times New Roman"/>
                      <w:color w:val="auto"/>
                      <w:kern w:val="0"/>
                      <w:sz w:val="21"/>
                      <w:szCs w:val="21"/>
                    </w:rPr>
                    <w:t>以氮、磷排放为主的项目</w:t>
                  </w:r>
                  <w:r>
                    <w:rPr>
                      <w:rFonts w:hint="default" w:ascii="Times New Roman" w:hAnsi="Times New Roman" w:eastAsia="宋体" w:cs="Times New Roman"/>
                      <w:color w:val="auto"/>
                      <w:kern w:val="0"/>
                      <w:sz w:val="21"/>
                      <w:szCs w:val="21"/>
                      <w:lang w:eastAsia="zh-CN"/>
                    </w:rPr>
                    <w:t>。</w:t>
                  </w:r>
                </w:p>
                <w:p w14:paraId="3C30E21F">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3.项目用地符合规划，不涉及占用</w:t>
                  </w:r>
                  <w:r>
                    <w:rPr>
                      <w:rFonts w:hint="default" w:ascii="Times New Roman" w:hAnsi="Times New Roman" w:eastAsia="宋体" w:cs="Times New Roman"/>
                      <w:color w:val="auto"/>
                      <w:kern w:val="0"/>
                      <w:sz w:val="21"/>
                      <w:szCs w:val="21"/>
                    </w:rPr>
                    <w:t>基本农田、沿海防风林的区域</w:t>
                  </w:r>
                  <w:r>
                    <w:rPr>
                      <w:rFonts w:hint="default" w:ascii="Times New Roman" w:hAnsi="Times New Roman" w:eastAsia="宋体" w:cs="Times New Roman"/>
                      <w:color w:val="auto"/>
                      <w:kern w:val="0"/>
                      <w:sz w:val="21"/>
                      <w:szCs w:val="21"/>
                      <w:lang w:eastAsia="zh-CN"/>
                    </w:rPr>
                    <w:t>。</w:t>
                  </w:r>
                </w:p>
                <w:p w14:paraId="26E47070">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lang w:eastAsia="zh-CN"/>
                    </w:rPr>
                    <w:t>项目</w:t>
                  </w:r>
                  <w:r>
                    <w:rPr>
                      <w:rFonts w:hint="eastAsia" w:cs="Times New Roman"/>
                      <w:color w:val="auto"/>
                      <w:kern w:val="0"/>
                      <w:sz w:val="21"/>
                      <w:szCs w:val="21"/>
                      <w:lang w:val="en-US" w:eastAsia="zh-CN"/>
                    </w:rPr>
                    <w:t>租赁</w:t>
                  </w:r>
                  <w:r>
                    <w:rPr>
                      <w:rFonts w:hint="default" w:ascii="Times New Roman" w:hAnsi="Times New Roman" w:eastAsia="宋体" w:cs="Times New Roman"/>
                      <w:color w:val="auto"/>
                      <w:kern w:val="0"/>
                      <w:sz w:val="21"/>
                      <w:szCs w:val="21"/>
                      <w:lang w:val="en-US" w:eastAsia="zh-CN"/>
                    </w:rPr>
                    <w:t>已建厂房，厂房高度已</w:t>
                  </w:r>
                  <w:r>
                    <w:rPr>
                      <w:rFonts w:hint="default" w:ascii="Times New Roman" w:hAnsi="Times New Roman" w:cs="Times New Roman"/>
                      <w:color w:val="auto"/>
                      <w:kern w:val="0"/>
                      <w:sz w:val="21"/>
                      <w:szCs w:val="21"/>
                      <w:lang w:val="en-US" w:eastAsia="zh-CN"/>
                    </w:rPr>
                    <w:t>通过</w:t>
                  </w:r>
                  <w:r>
                    <w:rPr>
                      <w:rFonts w:hint="default" w:ascii="Times New Roman" w:hAnsi="Times New Roman" w:eastAsia="宋体" w:cs="Times New Roman"/>
                      <w:color w:val="auto"/>
                      <w:kern w:val="0"/>
                      <w:sz w:val="21"/>
                      <w:szCs w:val="21"/>
                      <w:lang w:val="en-US" w:eastAsia="zh-CN"/>
                    </w:rPr>
                    <w:t>审查，符合规划；</w:t>
                  </w:r>
                </w:p>
                <w:p w14:paraId="1271799E">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5.项目不在</w:t>
                  </w:r>
                  <w:r>
                    <w:rPr>
                      <w:rFonts w:hint="default" w:ascii="Times New Roman" w:hAnsi="Times New Roman" w:eastAsia="宋体" w:cs="Times New Roman"/>
                      <w:color w:val="auto"/>
                      <w:kern w:val="0"/>
                      <w:sz w:val="21"/>
                      <w:szCs w:val="21"/>
                    </w:rPr>
                    <w:t>核电站应急计划区内</w:t>
                  </w:r>
                  <w:r>
                    <w:rPr>
                      <w:rFonts w:hint="default" w:ascii="Times New Roman" w:hAnsi="Times New Roman" w:eastAsia="宋体" w:cs="Times New Roman"/>
                      <w:color w:val="auto"/>
                      <w:kern w:val="0"/>
                      <w:sz w:val="21"/>
                      <w:szCs w:val="21"/>
                      <w:lang w:eastAsia="zh-CN"/>
                    </w:rPr>
                    <w:t>。</w:t>
                  </w:r>
                </w:p>
                <w:p w14:paraId="14EEC28C">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6.项目厂界</w:t>
                  </w:r>
                  <w:r>
                    <w:rPr>
                      <w:rFonts w:hint="default" w:ascii="Times New Roman" w:hAnsi="Times New Roman" w:eastAsia="宋体" w:cs="Times New Roman"/>
                      <w:color w:val="auto"/>
                      <w:kern w:val="0"/>
                      <w:sz w:val="21"/>
                      <w:szCs w:val="21"/>
                    </w:rPr>
                    <w:t>与水禽筑巢区、觅食及栖息地等集中分布区</w:t>
                  </w:r>
                  <w:r>
                    <w:rPr>
                      <w:rFonts w:hint="default" w:ascii="Times New Roman" w:hAnsi="Times New Roman" w:eastAsia="宋体" w:cs="Times New Roman"/>
                      <w:color w:val="auto"/>
                      <w:kern w:val="0"/>
                      <w:sz w:val="21"/>
                      <w:szCs w:val="21"/>
                      <w:lang w:val="en-US" w:eastAsia="zh-CN"/>
                    </w:rPr>
                    <w:t>有足够</w:t>
                  </w:r>
                  <w:r>
                    <w:rPr>
                      <w:rFonts w:hint="default" w:ascii="Times New Roman" w:hAnsi="Times New Roman" w:eastAsia="宋体" w:cs="Times New Roman"/>
                      <w:color w:val="auto"/>
                      <w:kern w:val="0"/>
                      <w:sz w:val="21"/>
                      <w:szCs w:val="21"/>
                    </w:rPr>
                    <w:t>安全距离</w:t>
                  </w:r>
                  <w:r>
                    <w:rPr>
                      <w:rFonts w:hint="default" w:ascii="Times New Roman" w:hAnsi="Times New Roman" w:eastAsia="宋体" w:cs="Times New Roman"/>
                      <w:color w:val="auto"/>
                      <w:kern w:val="0"/>
                      <w:sz w:val="21"/>
                      <w:szCs w:val="21"/>
                      <w:lang w:eastAsia="zh-CN"/>
                    </w:rPr>
                    <w:t>。</w:t>
                  </w:r>
                </w:p>
              </w:tc>
              <w:tc>
                <w:tcPr>
                  <w:tcW w:w="335" w:type="pct"/>
                  <w:noWrap w:val="0"/>
                  <w:vAlign w:val="center"/>
                </w:tcPr>
                <w:p w14:paraId="2385B78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符合</w:t>
                  </w:r>
                </w:p>
              </w:tc>
            </w:tr>
            <w:tr w14:paraId="731932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2" w:type="pct"/>
                  <w:vMerge w:val="continue"/>
                  <w:noWrap w:val="0"/>
                  <w:vAlign w:val="center"/>
                </w:tcPr>
                <w:p w14:paraId="5753B64B">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p>
              </w:tc>
              <w:tc>
                <w:tcPr>
                  <w:tcW w:w="555" w:type="pct"/>
                  <w:noWrap w:val="0"/>
                  <w:vAlign w:val="center"/>
                </w:tcPr>
                <w:p w14:paraId="2FF28A59">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污染物排放管控</w:t>
                  </w:r>
                </w:p>
              </w:tc>
              <w:tc>
                <w:tcPr>
                  <w:tcW w:w="2074" w:type="pct"/>
                  <w:noWrap w:val="0"/>
                  <w:vAlign w:val="center"/>
                </w:tcPr>
                <w:p w14:paraId="0B4D879A">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1.完善建设污水收集管网，确保园区内所有工业废水、生活污水纳入污水处理厂处理并达标排放。</w:t>
                  </w:r>
                </w:p>
                <w:p w14:paraId="5E16D78C">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2.涉新增VOCs排放项目，VOCs排放实行区域内倍量替代。</w:t>
                  </w:r>
                </w:p>
              </w:tc>
              <w:tc>
                <w:tcPr>
                  <w:tcW w:w="1472" w:type="pct"/>
                  <w:noWrap w:val="0"/>
                  <w:vAlign w:val="center"/>
                </w:tcPr>
                <w:p w14:paraId="2AE1697D">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1.项目</w:t>
                  </w:r>
                  <w:r>
                    <w:rPr>
                      <w:rFonts w:hint="default" w:ascii="Times New Roman" w:hAnsi="Times New Roman" w:cs="Times New Roman"/>
                      <w:color w:val="auto"/>
                      <w:sz w:val="21"/>
                      <w:szCs w:val="21"/>
                      <w:lang w:val="en-US" w:eastAsia="zh-CN"/>
                    </w:rPr>
                    <w:t>废水经</w:t>
                  </w:r>
                  <w:r>
                    <w:rPr>
                      <w:rFonts w:hint="default" w:ascii="Times New Roman" w:hAnsi="Times New Roman" w:eastAsia="宋体" w:cs="Times New Roman"/>
                      <w:color w:val="auto"/>
                      <w:sz w:val="21"/>
                      <w:szCs w:val="21"/>
                      <w:lang w:val="en-US" w:eastAsia="zh-CN"/>
                    </w:rPr>
                    <w:t>处理后，可直接经市政污水管网排入</w:t>
                  </w:r>
                  <w:r>
                    <w:rPr>
                      <w:rFonts w:hint="default" w:ascii="Times New Roman" w:hAnsi="Times New Roman" w:eastAsia="宋体" w:cs="Times New Roman"/>
                      <w:color w:val="auto"/>
                      <w:sz w:val="21"/>
                      <w:szCs w:val="21"/>
                      <w:lang w:eastAsia="zh-CN"/>
                    </w:rPr>
                    <w:t>江镜华侨农场污水处理厂</w:t>
                  </w:r>
                  <w:r>
                    <w:rPr>
                      <w:rFonts w:hint="default" w:ascii="Times New Roman" w:hAnsi="Times New Roman" w:eastAsia="宋体" w:cs="Times New Roman"/>
                      <w:color w:val="auto"/>
                      <w:sz w:val="21"/>
                      <w:szCs w:val="21"/>
                      <w:lang w:val="en-US" w:eastAsia="zh-CN"/>
                    </w:rPr>
                    <w:t>进一步</w:t>
                  </w:r>
                  <w:r>
                    <w:rPr>
                      <w:rFonts w:hint="default" w:ascii="Times New Roman" w:hAnsi="Times New Roman" w:eastAsia="宋体" w:cs="Times New Roman"/>
                      <w:color w:val="auto"/>
                      <w:sz w:val="21"/>
                      <w:szCs w:val="21"/>
                      <w:lang w:eastAsia="zh-CN"/>
                    </w:rPr>
                    <w:t>处理；</w:t>
                  </w:r>
                </w:p>
                <w:p w14:paraId="6C0105CD">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2.项目</w:t>
                  </w:r>
                  <w:r>
                    <w:rPr>
                      <w:rFonts w:hint="eastAsia" w:ascii="Times New Roman" w:hAnsi="Times New Roman"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VOCs排放。</w:t>
                  </w:r>
                </w:p>
              </w:tc>
              <w:tc>
                <w:tcPr>
                  <w:tcW w:w="335" w:type="pct"/>
                  <w:noWrap w:val="0"/>
                  <w:vAlign w:val="center"/>
                </w:tcPr>
                <w:p w14:paraId="0BE1EF3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r w14:paraId="065034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2" w:type="pct"/>
                  <w:vMerge w:val="continue"/>
                  <w:noWrap w:val="0"/>
                  <w:vAlign w:val="center"/>
                </w:tcPr>
                <w:p w14:paraId="7555672F">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p>
              </w:tc>
              <w:tc>
                <w:tcPr>
                  <w:tcW w:w="555" w:type="pct"/>
                  <w:noWrap w:val="0"/>
                  <w:vAlign w:val="center"/>
                </w:tcPr>
                <w:p w14:paraId="07068EEC">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环境风险防控</w:t>
                  </w:r>
                </w:p>
              </w:tc>
              <w:tc>
                <w:tcPr>
                  <w:tcW w:w="2074" w:type="pct"/>
                  <w:noWrap w:val="0"/>
                  <w:vAlign w:val="center"/>
                </w:tcPr>
                <w:p w14:paraId="3FA41FF6">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1.建立健全环境风险防控体系，制定环境风险应急预案，建设事故应急池，成立应急组织机构，防止在处理安全生产事故过程中产生的可能严重污染水体的消防废水、废液直接排入水体。</w:t>
                  </w:r>
                </w:p>
                <w:p w14:paraId="79F02386">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2.应采取有效措施防止园区建设对区域地下水、土壤造成污染。</w:t>
                  </w:r>
                </w:p>
              </w:tc>
              <w:tc>
                <w:tcPr>
                  <w:tcW w:w="1472" w:type="pct"/>
                  <w:noWrap w:val="0"/>
                  <w:vAlign w:val="center"/>
                </w:tcPr>
                <w:p w14:paraId="6595102B">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1.建设单位将严格建立健全环境风险防控体系，编制环境风险应急预案，建设事故应急池，成立应急组织机构发生环境风险，防止</w:t>
                  </w:r>
                  <w:r>
                    <w:rPr>
                      <w:rFonts w:hint="default" w:ascii="Times New Roman" w:hAnsi="Times New Roman" w:eastAsia="宋体" w:cs="Times New Roman"/>
                      <w:color w:val="auto"/>
                      <w:sz w:val="21"/>
                      <w:szCs w:val="21"/>
                    </w:rPr>
                    <w:t>可能严重污染水体的消防废水、废液直接排入水体</w:t>
                  </w:r>
                  <w:r>
                    <w:rPr>
                      <w:rFonts w:hint="default" w:ascii="Times New Roman" w:hAnsi="Times New Roman" w:eastAsia="宋体" w:cs="Times New Roman"/>
                      <w:color w:val="auto"/>
                      <w:sz w:val="21"/>
                      <w:szCs w:val="21"/>
                      <w:lang w:val="en-US" w:eastAsia="zh-CN"/>
                    </w:rPr>
                    <w:t>；</w:t>
                  </w:r>
                </w:p>
                <w:p w14:paraId="11C457A6">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2.项目将合理进行分区防渗，严格落实防渗要求，避免对区域地下水、土壤造成污染。</w:t>
                  </w:r>
                </w:p>
              </w:tc>
              <w:tc>
                <w:tcPr>
                  <w:tcW w:w="335" w:type="pct"/>
                  <w:noWrap w:val="0"/>
                  <w:vAlign w:val="center"/>
                </w:tcPr>
                <w:p w14:paraId="296FEB5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bl>
          <w:p w14:paraId="77C7A568">
            <w:pPr>
              <w:pStyle w:val="112"/>
              <w:spacing w:before="120" w:beforeLines="50"/>
              <w:ind w:firstLine="0" w:firstLineChars="0"/>
              <w:rPr>
                <w:rFonts w:hint="default"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b/>
                <w:color w:val="auto"/>
                <w:kern w:val="0"/>
                <w:sz w:val="24"/>
                <w:szCs w:val="24"/>
                <w:highlight w:val="none"/>
                <w:lang w:val="en-US" w:eastAsia="zh-CN" w:bidi="ar-SA"/>
              </w:rPr>
              <w:t>6、与《废塑料污染控制技术规范》（HJ364-2022）符合性分析</w:t>
            </w:r>
          </w:p>
          <w:p w14:paraId="1E41C54D">
            <w:pPr>
              <w:pStyle w:val="112"/>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本项目与《废塑料污染控制技术规范》（HJ364-2022）的符合性见表1-5。</w:t>
            </w:r>
          </w:p>
          <w:p w14:paraId="7C26127E">
            <w:pPr>
              <w:pStyle w:val="112"/>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kern w:val="2"/>
                <w:sz w:val="24"/>
                <w:szCs w:val="24"/>
                <w:u w:val="none"/>
                <w:lang w:val="en-US" w:eastAsia="zh-CN" w:bidi="ar-SA"/>
              </w:rPr>
            </w:pPr>
            <w:r>
              <w:rPr>
                <w:rFonts w:hint="default" w:ascii="Times New Roman" w:hAnsi="Times New Roman" w:eastAsia="黑体" w:cs="Times New Roman"/>
                <w:color w:val="auto"/>
                <w:kern w:val="2"/>
                <w:sz w:val="24"/>
                <w:szCs w:val="24"/>
                <w:u w:val="none"/>
                <w:lang w:val="en-US" w:eastAsia="zh-CN" w:bidi="ar-SA"/>
              </w:rPr>
              <w:t>表1-5   与《废塑料污染控制技术规范》符合性分析一览表</w:t>
            </w:r>
          </w:p>
          <w:tbl>
            <w:tblPr>
              <w:tblStyle w:val="135"/>
              <w:tblW w:w="0" w:type="auto"/>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57" w:type="dxa"/>
                <w:bottom w:w="0" w:type="dxa"/>
                <w:right w:w="57" w:type="dxa"/>
              </w:tblCellMar>
            </w:tblPr>
            <w:tblGrid>
              <w:gridCol w:w="457"/>
              <w:gridCol w:w="4073"/>
              <w:gridCol w:w="2814"/>
              <w:gridCol w:w="362"/>
            </w:tblGrid>
            <w:tr w14:paraId="30C390E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57" w:type="dxa"/>
                  <w:tcBorders>
                    <w:tl2br w:val="nil"/>
                    <w:tr2bl w:val="nil"/>
                  </w:tcBorders>
                  <w:shd w:val="clear" w:color="auto" w:fill="auto"/>
                  <w:vAlign w:val="center"/>
                </w:tcPr>
                <w:p w14:paraId="439D5741">
                  <w:pPr>
                    <w:pStyle w:val="134"/>
                    <w:keepNext w:val="0"/>
                    <w:keepLines w:val="0"/>
                    <w:pageBreakBefore w:val="0"/>
                    <w:widowControl/>
                    <w:kinsoku/>
                    <w:wordWrap/>
                    <w:overflowPunct/>
                    <w:topLinePunct w:val="0"/>
                    <w:autoSpaceDE w:val="0"/>
                    <w:autoSpaceDN w:val="0"/>
                    <w:bidi w:val="0"/>
                    <w:adjustRightInd w:val="0"/>
                    <w:snapToGrid/>
                    <w:spacing w:line="340" w:lineRule="exact"/>
                    <w:ind w:left="0" w:leftChars="0" w:right="0" w:firstLine="0"/>
                    <w:jc w:val="center"/>
                    <w:textAlignment w:val="baseline"/>
                    <w:rPr>
                      <w:rFonts w:hint="default" w:ascii="Times New Roman" w:hAnsi="Times New Roman" w:eastAsia="宋体" w:cs="Times New Roman"/>
                      <w:snapToGrid w:val="0"/>
                      <w:color w:val="auto"/>
                      <w:spacing w:val="0"/>
                      <w:kern w:val="0"/>
                      <w:sz w:val="21"/>
                      <w:szCs w:val="21"/>
                      <w:lang w:val="en-US" w:eastAsia="en-US" w:bidi="ar-SA"/>
                    </w:rPr>
                  </w:pPr>
                  <w:r>
                    <w:rPr>
                      <w:rFonts w:hint="default" w:ascii="Times New Roman" w:hAnsi="Times New Roman" w:eastAsia="宋体" w:cs="Times New Roman"/>
                      <w:b w:val="0"/>
                      <w:bCs w:val="0"/>
                      <w:color w:val="auto"/>
                      <w:spacing w:val="0"/>
                      <w:sz w:val="21"/>
                      <w:szCs w:val="21"/>
                    </w:rPr>
                    <w:t>项目</w:t>
                  </w:r>
                </w:p>
              </w:tc>
              <w:tc>
                <w:tcPr>
                  <w:tcW w:w="4073" w:type="dxa"/>
                  <w:tcBorders>
                    <w:tl2br w:val="nil"/>
                    <w:tr2bl w:val="nil"/>
                  </w:tcBorders>
                  <w:shd w:val="clear" w:color="auto" w:fill="auto"/>
                  <w:vAlign w:val="center"/>
                </w:tcPr>
                <w:p w14:paraId="2C5EBCDE">
                  <w:pPr>
                    <w:pStyle w:val="134"/>
                    <w:keepNext w:val="0"/>
                    <w:keepLines w:val="0"/>
                    <w:pageBreakBefore w:val="0"/>
                    <w:widowControl/>
                    <w:kinsoku/>
                    <w:wordWrap/>
                    <w:overflowPunct/>
                    <w:topLinePunct w:val="0"/>
                    <w:autoSpaceDE w:val="0"/>
                    <w:autoSpaceDN w:val="0"/>
                    <w:bidi w:val="0"/>
                    <w:adjustRightInd w:val="0"/>
                    <w:snapToGrid/>
                    <w:spacing w:line="340" w:lineRule="exact"/>
                    <w:ind w:left="0" w:leftChars="0" w:right="0" w:firstLine="0"/>
                    <w:jc w:val="center"/>
                    <w:textAlignment w:val="baseline"/>
                    <w:rPr>
                      <w:rFonts w:hint="default" w:ascii="Times New Roman" w:hAnsi="Times New Roman" w:eastAsia="宋体" w:cs="Times New Roman"/>
                      <w:b w:val="0"/>
                      <w:bCs w:val="0"/>
                      <w:snapToGrid w:val="0"/>
                      <w:color w:val="auto"/>
                      <w:spacing w:val="0"/>
                      <w:kern w:val="0"/>
                      <w:sz w:val="21"/>
                      <w:szCs w:val="21"/>
                      <w:lang w:val="en-US" w:eastAsia="en-US" w:bidi="ar-SA"/>
                    </w:rPr>
                  </w:pPr>
                  <w:r>
                    <w:rPr>
                      <w:rFonts w:hint="default" w:ascii="Times New Roman" w:hAnsi="Times New Roman" w:eastAsia="宋体" w:cs="Times New Roman"/>
                      <w:b w:val="0"/>
                      <w:bCs w:val="0"/>
                      <w:color w:val="auto"/>
                      <w:spacing w:val="0"/>
                      <w:sz w:val="21"/>
                      <w:szCs w:val="21"/>
                    </w:rPr>
                    <w:t>相关要求</w:t>
                  </w:r>
                </w:p>
              </w:tc>
              <w:tc>
                <w:tcPr>
                  <w:tcW w:w="2814" w:type="dxa"/>
                  <w:tcBorders>
                    <w:tl2br w:val="nil"/>
                    <w:tr2bl w:val="nil"/>
                  </w:tcBorders>
                  <w:shd w:val="clear" w:color="auto" w:fill="auto"/>
                  <w:vAlign w:val="center"/>
                </w:tcPr>
                <w:p w14:paraId="63C08D43">
                  <w:pPr>
                    <w:pStyle w:val="134"/>
                    <w:keepNext w:val="0"/>
                    <w:keepLines w:val="0"/>
                    <w:pageBreakBefore w:val="0"/>
                    <w:widowControl/>
                    <w:kinsoku/>
                    <w:wordWrap/>
                    <w:overflowPunct/>
                    <w:topLinePunct w:val="0"/>
                    <w:autoSpaceDE w:val="0"/>
                    <w:autoSpaceDN w:val="0"/>
                    <w:bidi w:val="0"/>
                    <w:adjustRightInd w:val="0"/>
                    <w:snapToGrid/>
                    <w:spacing w:line="340" w:lineRule="exact"/>
                    <w:ind w:left="0" w:leftChars="0" w:right="0" w:firstLine="0"/>
                    <w:jc w:val="center"/>
                    <w:textAlignment w:val="baseline"/>
                    <w:rPr>
                      <w:rFonts w:hint="default" w:ascii="Times New Roman" w:hAnsi="Times New Roman" w:eastAsia="宋体" w:cs="Times New Roman"/>
                      <w:b w:val="0"/>
                      <w:bCs w:val="0"/>
                      <w:snapToGrid w:val="0"/>
                      <w:color w:val="auto"/>
                      <w:spacing w:val="0"/>
                      <w:kern w:val="0"/>
                      <w:sz w:val="21"/>
                      <w:szCs w:val="21"/>
                      <w:lang w:val="en-US" w:eastAsia="en-US" w:bidi="ar-SA"/>
                    </w:rPr>
                  </w:pPr>
                  <w:r>
                    <w:rPr>
                      <w:rFonts w:hint="default" w:ascii="Times New Roman" w:hAnsi="Times New Roman" w:eastAsia="宋体" w:cs="Times New Roman"/>
                      <w:b w:val="0"/>
                      <w:bCs w:val="0"/>
                      <w:color w:val="auto"/>
                      <w:spacing w:val="0"/>
                      <w:sz w:val="21"/>
                      <w:szCs w:val="21"/>
                    </w:rPr>
                    <w:t>本项目情况</w:t>
                  </w:r>
                </w:p>
              </w:tc>
              <w:tc>
                <w:tcPr>
                  <w:tcW w:w="362" w:type="dxa"/>
                  <w:tcBorders>
                    <w:tl2br w:val="nil"/>
                    <w:tr2bl w:val="nil"/>
                  </w:tcBorders>
                  <w:shd w:val="clear" w:color="auto" w:fill="auto"/>
                  <w:vAlign w:val="center"/>
                </w:tcPr>
                <w:p w14:paraId="7D51B510">
                  <w:pPr>
                    <w:pStyle w:val="134"/>
                    <w:keepNext w:val="0"/>
                    <w:keepLines w:val="0"/>
                    <w:pageBreakBefore w:val="0"/>
                    <w:widowControl/>
                    <w:kinsoku/>
                    <w:wordWrap/>
                    <w:overflowPunct/>
                    <w:topLinePunct w:val="0"/>
                    <w:autoSpaceDE w:val="0"/>
                    <w:autoSpaceDN w:val="0"/>
                    <w:bidi w:val="0"/>
                    <w:adjustRightInd w:val="0"/>
                    <w:snapToGrid/>
                    <w:spacing w:line="340" w:lineRule="exact"/>
                    <w:ind w:left="0" w:leftChars="0" w:right="0" w:firstLine="0"/>
                    <w:jc w:val="center"/>
                    <w:textAlignment w:val="baseline"/>
                    <w:rPr>
                      <w:rFonts w:hint="default" w:ascii="Times New Roman" w:hAnsi="Times New Roman" w:eastAsia="宋体" w:cs="Times New Roman"/>
                      <w:b w:val="0"/>
                      <w:bCs w:val="0"/>
                      <w:snapToGrid w:val="0"/>
                      <w:color w:val="auto"/>
                      <w:spacing w:val="0"/>
                      <w:kern w:val="0"/>
                      <w:sz w:val="21"/>
                      <w:szCs w:val="21"/>
                      <w:lang w:val="en-US" w:eastAsia="zh-CN" w:bidi="ar-SA"/>
                    </w:rPr>
                  </w:pPr>
                  <w:r>
                    <w:rPr>
                      <w:rFonts w:hint="default" w:ascii="Times New Roman" w:hAnsi="Times New Roman" w:eastAsia="宋体" w:cs="Times New Roman"/>
                      <w:b w:val="0"/>
                      <w:bCs w:val="0"/>
                      <w:snapToGrid w:val="0"/>
                      <w:color w:val="auto"/>
                      <w:spacing w:val="0"/>
                      <w:kern w:val="0"/>
                      <w:sz w:val="21"/>
                      <w:szCs w:val="21"/>
                      <w:lang w:val="en-US" w:eastAsia="zh-CN" w:bidi="ar-SA"/>
                    </w:rPr>
                    <w:t>相符性</w:t>
                  </w:r>
                </w:p>
              </w:tc>
            </w:tr>
            <w:tr w14:paraId="26DC15C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57" w:type="dxa"/>
                  <w:tcBorders>
                    <w:tl2br w:val="nil"/>
                    <w:tr2bl w:val="nil"/>
                  </w:tcBorders>
                  <w:vAlign w:val="center"/>
                </w:tcPr>
                <w:p w14:paraId="69E4B99E">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收集运输</w:t>
                  </w:r>
                </w:p>
              </w:tc>
              <w:tc>
                <w:tcPr>
                  <w:tcW w:w="4073" w:type="dxa"/>
                  <w:tcBorders>
                    <w:tl2br w:val="nil"/>
                    <w:tr2bl w:val="nil"/>
                  </w:tcBorders>
                  <w:vAlign w:val="center"/>
                </w:tcPr>
                <w:p w14:paraId="2804453E">
                  <w:pPr>
                    <w:pStyle w:val="134"/>
                    <w:keepNext w:val="0"/>
                    <w:keepLines w:val="0"/>
                    <w:pageBreakBefore w:val="0"/>
                    <w:widowControl/>
                    <w:numPr>
                      <w:ilvl w:val="0"/>
                      <w:numId w:val="4"/>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废塑料收集企业应参照GB/T37547，根据废塑料来源、特性及使用过程对废塑料进行分类收集。</w:t>
                  </w:r>
                </w:p>
                <w:p w14:paraId="7465466E">
                  <w:pPr>
                    <w:pStyle w:val="134"/>
                    <w:keepNext w:val="0"/>
                    <w:keepLines w:val="0"/>
                    <w:pageBreakBefore w:val="0"/>
                    <w:widowControl/>
                    <w:numPr>
                      <w:ilvl w:val="0"/>
                      <w:numId w:val="4"/>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废塑料收集过程中应避免扬散，不得随意倾倒残液及清洗。</w:t>
                  </w:r>
                </w:p>
                <w:p w14:paraId="079238C3">
                  <w:pPr>
                    <w:pStyle w:val="134"/>
                    <w:keepNext w:val="0"/>
                    <w:keepLines w:val="0"/>
                    <w:pageBreakBefore w:val="0"/>
                    <w:widowControl/>
                    <w:numPr>
                      <w:ilvl w:val="0"/>
                      <w:numId w:val="4"/>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废塑料及其预处理产物的装卸及运输过程中，应采取必要的防扬散、防渗漏措施，应保持运输车辆的洁净，避免二次污染。</w:t>
                  </w:r>
                </w:p>
              </w:tc>
              <w:tc>
                <w:tcPr>
                  <w:tcW w:w="2814" w:type="dxa"/>
                  <w:tcBorders>
                    <w:tl2br w:val="nil"/>
                    <w:tr2bl w:val="nil"/>
                  </w:tcBorders>
                  <w:vAlign w:val="center"/>
                </w:tcPr>
                <w:p w14:paraId="27134DA0">
                  <w:pPr>
                    <w:pStyle w:val="134"/>
                    <w:keepNext w:val="0"/>
                    <w:keepLines w:val="0"/>
                    <w:pageBreakBefore w:val="0"/>
                    <w:widowControl/>
                    <w:numPr>
                      <w:ilvl w:val="0"/>
                      <w:numId w:val="5"/>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项目废塑料入厂时均已分好类，成捆打包好。</w:t>
                  </w:r>
                </w:p>
                <w:p w14:paraId="206C2637">
                  <w:pPr>
                    <w:pStyle w:val="134"/>
                    <w:keepNext w:val="0"/>
                    <w:keepLines w:val="0"/>
                    <w:pageBreakBefore w:val="0"/>
                    <w:widowControl/>
                    <w:numPr>
                      <w:ilvl w:val="0"/>
                      <w:numId w:val="5"/>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本项目废塑料贮存在厂区专门贮存场所内。</w:t>
                  </w:r>
                </w:p>
                <w:p w14:paraId="49316D0A">
                  <w:pPr>
                    <w:pStyle w:val="134"/>
                    <w:keepNext w:val="0"/>
                    <w:keepLines w:val="0"/>
                    <w:pageBreakBefore w:val="0"/>
                    <w:widowControl/>
                    <w:numPr>
                      <w:ilvl w:val="0"/>
                      <w:numId w:val="5"/>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本项目废塑料装卸及运输过程中</w:t>
                  </w:r>
                  <w:r>
                    <w:rPr>
                      <w:rFonts w:hint="eastAsia" w:ascii="Times New Roman" w:hAnsi="Times New Roman" w:eastAsia="宋体" w:cs="Times New Roman"/>
                      <w:color w:val="auto"/>
                      <w:spacing w:val="0"/>
                      <w:sz w:val="21"/>
                      <w:szCs w:val="21"/>
                      <w:lang w:eastAsia="zh-CN"/>
                    </w:rPr>
                    <w:t>，具</w:t>
                  </w:r>
                  <w:r>
                    <w:rPr>
                      <w:rFonts w:hint="default" w:ascii="Times New Roman" w:hAnsi="Times New Roman" w:eastAsia="宋体" w:cs="Times New Roman"/>
                      <w:color w:val="auto"/>
                      <w:spacing w:val="0"/>
                      <w:sz w:val="21"/>
                      <w:szCs w:val="21"/>
                    </w:rPr>
                    <w:t>有防雨、防晒、防渗、防尘、防扬散和防火措施。</w:t>
                  </w:r>
                </w:p>
                <w:p w14:paraId="4A0F123E">
                  <w:pPr>
                    <w:pStyle w:val="134"/>
                    <w:keepNext w:val="0"/>
                    <w:keepLines w:val="0"/>
                    <w:pageBreakBefore w:val="0"/>
                    <w:widowControl/>
                    <w:numPr>
                      <w:ilvl w:val="0"/>
                      <w:numId w:val="5"/>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本项目原料按种类、来源分开存放。</w:t>
                  </w:r>
                </w:p>
              </w:tc>
              <w:tc>
                <w:tcPr>
                  <w:tcW w:w="362" w:type="dxa"/>
                  <w:tcBorders>
                    <w:tl2br w:val="nil"/>
                    <w:tr2bl w:val="nil"/>
                  </w:tcBorders>
                  <w:vAlign w:val="center"/>
                </w:tcPr>
                <w:p w14:paraId="1AD97CB2">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3B7726A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57" w:type="dxa"/>
                  <w:tcBorders>
                    <w:tl2br w:val="nil"/>
                    <w:tr2bl w:val="nil"/>
                  </w:tcBorders>
                  <w:vAlign w:val="center"/>
                </w:tcPr>
                <w:p w14:paraId="28BFADE7">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预处理</w:t>
                  </w:r>
                </w:p>
              </w:tc>
              <w:tc>
                <w:tcPr>
                  <w:tcW w:w="4073" w:type="dxa"/>
                  <w:tcBorders>
                    <w:tl2br w:val="nil"/>
                    <w:tr2bl w:val="nil"/>
                  </w:tcBorders>
                  <w:vAlign w:val="center"/>
                </w:tcPr>
                <w:p w14:paraId="1224511B">
                  <w:pPr>
                    <w:pStyle w:val="134"/>
                    <w:keepNext w:val="0"/>
                    <w:keepLines w:val="0"/>
                    <w:pageBreakBefore w:val="0"/>
                    <w:widowControl/>
                    <w:numPr>
                      <w:ilvl w:val="0"/>
                      <w:numId w:val="0"/>
                    </w:numPr>
                    <w:kinsoku/>
                    <w:wordWrap/>
                    <w:overflowPunct/>
                    <w:topLinePunct w:val="0"/>
                    <w:autoSpaceDE w:val="0"/>
                    <w:autoSpaceDN w:val="0"/>
                    <w:bidi w:val="0"/>
                    <w:adjustRightInd w:val="0"/>
                    <w:snapToGrid/>
                    <w:spacing w:line="340" w:lineRule="exact"/>
                    <w:ind w:leftChars="0" w:right="0" w:rightChars="0"/>
                    <w:jc w:val="center"/>
                    <w:textAlignment w:val="baseline"/>
                    <w:rPr>
                      <w:rFonts w:hint="default"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lang w:val="en-US" w:eastAsia="zh-CN"/>
                    </w:rPr>
                    <w:t>1、</w:t>
                  </w:r>
                  <w:r>
                    <w:rPr>
                      <w:rFonts w:hint="default" w:ascii="Times New Roman" w:hAnsi="Times New Roman" w:eastAsia="宋体" w:cs="Times New Roman"/>
                      <w:color w:val="auto"/>
                      <w:spacing w:val="0"/>
                      <w:sz w:val="21"/>
                      <w:szCs w:val="21"/>
                      <w:lang w:val="en-US" w:eastAsia="zh-CN"/>
                    </w:rPr>
                    <w:t>应根据废塑料的来源、特性、污染情况以及后续再生利用或处置的要求，选择合理的预处理方式。</w:t>
                  </w:r>
                </w:p>
                <w:p w14:paraId="6CB60EEE">
                  <w:pPr>
                    <w:pStyle w:val="134"/>
                    <w:keepNext w:val="0"/>
                    <w:keepLines w:val="0"/>
                    <w:pageBreakBefore w:val="0"/>
                    <w:widowControl/>
                    <w:numPr>
                      <w:ilvl w:val="0"/>
                      <w:numId w:val="0"/>
                    </w:numPr>
                    <w:kinsoku/>
                    <w:wordWrap/>
                    <w:overflowPunct/>
                    <w:topLinePunct w:val="0"/>
                    <w:autoSpaceDE w:val="0"/>
                    <w:autoSpaceDN w:val="0"/>
                    <w:bidi w:val="0"/>
                    <w:adjustRightInd w:val="0"/>
                    <w:snapToGrid/>
                    <w:spacing w:line="340" w:lineRule="exact"/>
                    <w:ind w:leftChars="0" w:right="0" w:rightChars="0"/>
                    <w:jc w:val="center"/>
                    <w:textAlignment w:val="baseline"/>
                    <w:rPr>
                      <w:rFonts w:hint="default"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lang w:val="en-US" w:eastAsia="zh-CN"/>
                    </w:rPr>
                    <w:t>2、</w:t>
                  </w:r>
                  <w:r>
                    <w:rPr>
                      <w:rFonts w:hint="default" w:ascii="Times New Roman" w:hAnsi="Times New Roman" w:eastAsia="宋体" w:cs="Times New Roman"/>
                      <w:color w:val="auto"/>
                      <w:spacing w:val="0"/>
                      <w:sz w:val="21"/>
                      <w:szCs w:val="21"/>
                      <w:lang w:val="en-US" w:eastAsia="zh-CN"/>
                    </w:rPr>
                    <w:t>废塑料的预处理应控制二次污染。大气污染物排放应符合 GB 31572或 GB 16297、GB 37822等标准的规定。恶臭污染物排放应符合 GB 14554的规定。废水控制应根据出水受纳水体的功能要求或纳管要求，执行国家和地方相关排放标准，重点控制的污染物指标包括悬浮物、pH值、色度、石油类和化学需氧量等。噪声排放应符合GB 12348 的规定。</w:t>
                  </w:r>
                </w:p>
              </w:tc>
              <w:tc>
                <w:tcPr>
                  <w:tcW w:w="2814" w:type="dxa"/>
                  <w:tcBorders>
                    <w:tl2br w:val="nil"/>
                    <w:tr2bl w:val="nil"/>
                  </w:tcBorders>
                  <w:vAlign w:val="center"/>
                </w:tcPr>
                <w:p w14:paraId="3D8213F4">
                  <w:pPr>
                    <w:pStyle w:val="134"/>
                    <w:keepNext w:val="0"/>
                    <w:keepLines w:val="0"/>
                    <w:pageBreakBefore w:val="0"/>
                    <w:widowControl/>
                    <w:numPr>
                      <w:ilvl w:val="0"/>
                      <w:numId w:val="6"/>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先由各医疗机构负责对一次性医用输液瓶（袋）进行分拣，</w:t>
                  </w:r>
                  <w:r>
                    <w:rPr>
                      <w:rFonts w:hint="eastAsia" w:ascii="Times New Roman" w:hAnsi="Times New Roman" w:eastAsia="宋体" w:cs="Times New Roman"/>
                      <w:color w:val="auto"/>
                      <w:spacing w:val="0"/>
                      <w:sz w:val="21"/>
                      <w:szCs w:val="21"/>
                      <w:lang w:val="en-US" w:eastAsia="zh-CN"/>
                    </w:rPr>
                    <w:t>去除的</w:t>
                  </w:r>
                  <w:r>
                    <w:rPr>
                      <w:rFonts w:hint="default" w:ascii="Times New Roman" w:hAnsi="Times New Roman" w:eastAsia="宋体" w:cs="Times New Roman"/>
                      <w:color w:val="auto"/>
                      <w:spacing w:val="0"/>
                      <w:sz w:val="21"/>
                      <w:szCs w:val="21"/>
                    </w:rPr>
                    <w:t>针头和输液管（作为医疗废物）和一次性医用输液瓶（袋）分开暂存，并将输液袋内残留的液体倒出，</w:t>
                  </w:r>
                  <w:r>
                    <w:rPr>
                      <w:rFonts w:hint="eastAsia" w:ascii="Times New Roman" w:hAnsi="Times New Roman" w:eastAsia="宋体" w:cs="Times New Roman"/>
                      <w:color w:val="auto"/>
                      <w:spacing w:val="0"/>
                      <w:sz w:val="21"/>
                      <w:szCs w:val="21"/>
                      <w:lang w:val="en-US" w:eastAsia="zh-CN"/>
                    </w:rPr>
                    <w:t>去除医用玻璃瓶的瓶塞，</w:t>
                  </w:r>
                  <w:r>
                    <w:rPr>
                      <w:rFonts w:hint="default" w:ascii="Times New Roman" w:hAnsi="Times New Roman" w:eastAsia="宋体" w:cs="Times New Roman"/>
                      <w:color w:val="auto"/>
                      <w:spacing w:val="0"/>
                      <w:sz w:val="21"/>
                      <w:szCs w:val="21"/>
                    </w:rPr>
                    <w:t>然后由密闭车辆运输进入本项目再生利用。</w:t>
                  </w:r>
                </w:p>
                <w:p w14:paraId="7F7D4343">
                  <w:pPr>
                    <w:pStyle w:val="134"/>
                    <w:keepNext w:val="0"/>
                    <w:keepLines w:val="0"/>
                    <w:pageBreakBefore w:val="0"/>
                    <w:widowControl/>
                    <w:numPr>
                      <w:ilvl w:val="0"/>
                      <w:numId w:val="6"/>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本项目需要对原料中废塑料进行预处理，根据废塑料的来源、特性、污染情况以及后续再生利用或处置的要求，本项目拟采用破碎、清洗、分选、脱水等工艺。</w:t>
                  </w:r>
                </w:p>
                <w:p w14:paraId="196DA25B">
                  <w:pPr>
                    <w:pStyle w:val="134"/>
                    <w:keepNext w:val="0"/>
                    <w:keepLines w:val="0"/>
                    <w:pageBreakBefore w:val="0"/>
                    <w:widowControl/>
                    <w:numPr>
                      <w:ilvl w:val="0"/>
                      <w:numId w:val="6"/>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本项目采取湿法破碎，</w:t>
                  </w:r>
                  <w:r>
                    <w:rPr>
                      <w:rFonts w:hint="eastAsia" w:ascii="Times New Roman" w:hAnsi="Times New Roman" w:eastAsia="宋体" w:cs="Times New Roman"/>
                      <w:color w:val="auto"/>
                      <w:spacing w:val="0"/>
                      <w:sz w:val="21"/>
                      <w:szCs w:val="21"/>
                      <w:lang w:val="en-US" w:eastAsia="zh-CN"/>
                    </w:rPr>
                    <w:t>并配套有废水处理设施</w:t>
                  </w:r>
                  <w:r>
                    <w:rPr>
                      <w:rFonts w:hint="default" w:ascii="Times New Roman" w:hAnsi="Times New Roman" w:eastAsia="宋体" w:cs="Times New Roman"/>
                      <w:color w:val="auto"/>
                      <w:spacing w:val="0"/>
                      <w:sz w:val="21"/>
                      <w:szCs w:val="21"/>
                    </w:rPr>
                    <w:t>。生产废水收集后经自建污水处理设施处理，</w:t>
                  </w:r>
                  <w:r>
                    <w:rPr>
                      <w:rFonts w:hint="default" w:ascii="Times New Roman" w:hAnsi="Times New Roman" w:eastAsia="宋体" w:cs="Times New Roman"/>
                      <w:color w:val="auto"/>
                      <w:spacing w:val="0"/>
                      <w:sz w:val="21"/>
                      <w:szCs w:val="21"/>
                      <w:lang w:val="en-US" w:eastAsia="zh-CN"/>
                    </w:rPr>
                    <w:t>清洗、破碎废水</w:t>
                  </w:r>
                  <w:r>
                    <w:rPr>
                      <w:rFonts w:hint="default" w:ascii="Times New Roman" w:hAnsi="Times New Roman" w:eastAsia="宋体" w:cs="Times New Roman"/>
                      <w:color w:val="auto"/>
                      <w:spacing w:val="0"/>
                      <w:sz w:val="21"/>
                      <w:szCs w:val="21"/>
                    </w:rPr>
                    <w:t>约</w:t>
                  </w:r>
                  <w:r>
                    <w:rPr>
                      <w:rFonts w:hint="eastAsia" w:ascii="Times New Roman" w:hAnsi="Times New Roman" w:eastAsia="宋体" w:cs="Times New Roman"/>
                      <w:color w:val="auto"/>
                      <w:spacing w:val="0"/>
                      <w:sz w:val="21"/>
                      <w:szCs w:val="21"/>
                      <w:lang w:val="en-US" w:eastAsia="zh-CN"/>
                    </w:rPr>
                    <w:t>9</w:t>
                  </w:r>
                  <w:r>
                    <w:rPr>
                      <w:rFonts w:hint="default" w:ascii="Times New Roman" w:hAnsi="Times New Roman" w:eastAsia="宋体" w:cs="Times New Roman"/>
                      <w:color w:val="auto"/>
                      <w:spacing w:val="0"/>
                      <w:sz w:val="21"/>
                      <w:szCs w:val="21"/>
                    </w:rPr>
                    <w:t>0%的废水回用于生产，剩余</w:t>
                  </w:r>
                  <w:r>
                    <w:rPr>
                      <w:rFonts w:hint="eastAsia" w:ascii="Times New Roman" w:hAnsi="Times New Roman" w:eastAsia="宋体" w:cs="Times New Roman"/>
                      <w:color w:val="auto"/>
                      <w:spacing w:val="0"/>
                      <w:sz w:val="21"/>
                      <w:szCs w:val="21"/>
                      <w:lang w:val="en-US" w:eastAsia="zh-CN"/>
                    </w:rPr>
                    <w:t>1</w:t>
                  </w:r>
                  <w:r>
                    <w:rPr>
                      <w:rFonts w:hint="default" w:ascii="Times New Roman" w:hAnsi="Times New Roman" w:eastAsia="宋体" w:cs="Times New Roman"/>
                      <w:color w:val="auto"/>
                      <w:spacing w:val="0"/>
                      <w:sz w:val="21"/>
                      <w:szCs w:val="21"/>
                    </w:rPr>
                    <w:t>0%通过园区管网排入</w:t>
                  </w:r>
                  <w:r>
                    <w:rPr>
                      <w:rFonts w:hint="default" w:ascii="Times New Roman" w:hAnsi="Times New Roman" w:eastAsia="宋体" w:cs="Times New Roman"/>
                      <w:color w:val="auto"/>
                      <w:spacing w:val="0"/>
                      <w:sz w:val="21"/>
                      <w:szCs w:val="21"/>
                      <w:lang w:eastAsia="zh-CN"/>
                    </w:rPr>
                    <w:t>江镜华侨农场污水处理厂</w:t>
                  </w:r>
                  <w:r>
                    <w:rPr>
                      <w:rFonts w:hint="default" w:ascii="Times New Roman" w:hAnsi="Times New Roman" w:eastAsia="宋体" w:cs="Times New Roman"/>
                      <w:color w:val="auto"/>
                      <w:spacing w:val="0"/>
                      <w:sz w:val="21"/>
                      <w:szCs w:val="21"/>
                    </w:rPr>
                    <w:t>处理。</w:t>
                  </w:r>
                </w:p>
              </w:tc>
              <w:tc>
                <w:tcPr>
                  <w:tcW w:w="362" w:type="dxa"/>
                  <w:tcBorders>
                    <w:tl2br w:val="nil"/>
                    <w:tr2bl w:val="nil"/>
                  </w:tcBorders>
                  <w:vAlign w:val="center"/>
                </w:tcPr>
                <w:p w14:paraId="3A462326">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p>
              </w:tc>
            </w:tr>
            <w:tr w14:paraId="112088A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57" w:type="dxa"/>
                  <w:tcBorders>
                    <w:tl2br w:val="nil"/>
                    <w:tr2bl w:val="nil"/>
                  </w:tcBorders>
                  <w:vAlign w:val="center"/>
                </w:tcPr>
                <w:p w14:paraId="42F321A2">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分选</w:t>
                  </w:r>
                </w:p>
              </w:tc>
              <w:tc>
                <w:tcPr>
                  <w:tcW w:w="4073" w:type="dxa"/>
                  <w:tcBorders>
                    <w:tl2br w:val="nil"/>
                    <w:tr2bl w:val="nil"/>
                  </w:tcBorders>
                  <w:vAlign w:val="center"/>
                </w:tcPr>
                <w:p w14:paraId="5A94F2C9">
                  <w:pPr>
                    <w:pStyle w:val="134"/>
                    <w:keepNext w:val="0"/>
                    <w:keepLines w:val="0"/>
                    <w:pageBreakBefore w:val="0"/>
                    <w:widowControl/>
                    <w:numPr>
                      <w:ilvl w:val="0"/>
                      <w:numId w:val="7"/>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应采用预分选工艺，将废塑料与其他废物分开，提高下游自动化分选的效率</w:t>
                  </w:r>
                  <w:r>
                    <w:rPr>
                      <w:rFonts w:hint="eastAsia" w:ascii="Times New Roman" w:hAnsi="Times New Roman" w:eastAsia="宋体" w:cs="Times New Roman"/>
                      <w:color w:val="auto"/>
                      <w:spacing w:val="0"/>
                      <w:sz w:val="21"/>
                      <w:szCs w:val="21"/>
                      <w:lang w:eastAsia="zh-CN"/>
                    </w:rPr>
                    <w:t>。</w:t>
                  </w:r>
                </w:p>
                <w:p w14:paraId="7F619243">
                  <w:pPr>
                    <w:pStyle w:val="134"/>
                    <w:keepNext w:val="0"/>
                    <w:keepLines w:val="0"/>
                    <w:pageBreakBefore w:val="0"/>
                    <w:widowControl/>
                    <w:numPr>
                      <w:ilvl w:val="0"/>
                      <w:numId w:val="7"/>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废塑料分选应遵循稳定、二次污染可控的原则，根据废塑料特性，宜采用气流分选、静电分选、X射线荧光分选、近红外分选、熔融过滤分选、低温破碎分选及其他新型的自动化分选等单一或集成化分选技术。</w:t>
                  </w:r>
                </w:p>
              </w:tc>
              <w:tc>
                <w:tcPr>
                  <w:tcW w:w="2814" w:type="dxa"/>
                  <w:tcBorders>
                    <w:tl2br w:val="nil"/>
                    <w:tr2bl w:val="nil"/>
                  </w:tcBorders>
                  <w:vAlign w:val="center"/>
                </w:tcPr>
                <w:p w14:paraId="300D31C2">
                  <w:pPr>
                    <w:pStyle w:val="134"/>
                    <w:keepNext w:val="0"/>
                    <w:keepLines w:val="0"/>
                    <w:pageBreakBefore w:val="0"/>
                    <w:widowControl/>
                    <w:numPr>
                      <w:ilvl w:val="0"/>
                      <w:numId w:val="0"/>
                    </w:numPr>
                    <w:kinsoku/>
                    <w:wordWrap/>
                    <w:overflowPunct/>
                    <w:topLinePunct w:val="0"/>
                    <w:autoSpaceDE w:val="0"/>
                    <w:autoSpaceDN w:val="0"/>
                    <w:bidi w:val="0"/>
                    <w:adjustRightInd w:val="0"/>
                    <w:snapToGrid/>
                    <w:spacing w:line="340" w:lineRule="exact"/>
                    <w:ind w:leftChars="0" w:right="0" w:rightChars="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本项目按照自身生产要求收集对应种类的原材料，采购进的原料废塑料需要在厂区内进行清洗、破碎、分选等工序。</w:t>
                  </w:r>
                </w:p>
              </w:tc>
              <w:tc>
                <w:tcPr>
                  <w:tcW w:w="362" w:type="dxa"/>
                  <w:tcBorders>
                    <w:tl2br w:val="nil"/>
                    <w:tr2bl w:val="nil"/>
                  </w:tcBorders>
                  <w:vAlign w:val="center"/>
                </w:tcPr>
                <w:p w14:paraId="7FEBDD54">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p>
              </w:tc>
            </w:tr>
            <w:tr w14:paraId="4DEA1DB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57" w:type="dxa"/>
                  <w:tcBorders>
                    <w:tl2br w:val="nil"/>
                    <w:tr2bl w:val="nil"/>
                  </w:tcBorders>
                  <w:vAlign w:val="center"/>
                </w:tcPr>
                <w:p w14:paraId="7603A6C7">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eastAsia"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rPr>
                    <w:t>破碎</w:t>
                  </w:r>
                </w:p>
              </w:tc>
              <w:tc>
                <w:tcPr>
                  <w:tcW w:w="4073" w:type="dxa"/>
                  <w:tcBorders>
                    <w:tl2br w:val="nil"/>
                    <w:tr2bl w:val="nil"/>
                  </w:tcBorders>
                  <w:vAlign w:val="center"/>
                </w:tcPr>
                <w:p w14:paraId="315DEEE4">
                  <w:pPr>
                    <w:pStyle w:val="134"/>
                    <w:keepNext w:val="0"/>
                    <w:keepLines w:val="0"/>
                    <w:pageBreakBefore w:val="0"/>
                    <w:widowControl/>
                    <w:numPr>
                      <w:ilvl w:val="0"/>
                      <w:numId w:val="0"/>
                    </w:numPr>
                    <w:kinsoku/>
                    <w:wordWrap/>
                    <w:overflowPunct/>
                    <w:topLinePunct w:val="0"/>
                    <w:autoSpaceDE w:val="0"/>
                    <w:autoSpaceDN w:val="0"/>
                    <w:bidi w:val="0"/>
                    <w:adjustRightInd w:val="0"/>
                    <w:snapToGrid/>
                    <w:spacing w:line="340" w:lineRule="exact"/>
                    <w:ind w:leftChars="0" w:right="0" w:rightChars="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废塑料的破碎方法可分为干法破碎和湿法破碎。使用干法破碎时，应配备相应的防尘、防噪声设备。使用湿法破碎时，应有配套的污水收集和处理设施。</w:t>
                  </w:r>
                </w:p>
              </w:tc>
              <w:tc>
                <w:tcPr>
                  <w:tcW w:w="2814" w:type="dxa"/>
                  <w:tcBorders>
                    <w:tl2br w:val="nil"/>
                    <w:tr2bl w:val="nil"/>
                  </w:tcBorders>
                  <w:vAlign w:val="center"/>
                </w:tcPr>
                <w:p w14:paraId="06F5DDCB">
                  <w:pPr>
                    <w:pStyle w:val="134"/>
                    <w:keepNext w:val="0"/>
                    <w:keepLines w:val="0"/>
                    <w:pageBreakBefore w:val="0"/>
                    <w:widowControl/>
                    <w:numPr>
                      <w:ilvl w:val="0"/>
                      <w:numId w:val="0"/>
                    </w:numPr>
                    <w:kinsoku/>
                    <w:wordWrap/>
                    <w:overflowPunct/>
                    <w:topLinePunct w:val="0"/>
                    <w:autoSpaceDE w:val="0"/>
                    <w:autoSpaceDN w:val="0"/>
                    <w:bidi w:val="0"/>
                    <w:adjustRightInd w:val="0"/>
                    <w:snapToGrid/>
                    <w:spacing w:line="340" w:lineRule="exact"/>
                    <w:ind w:leftChars="0" w:right="0" w:rightChars="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本项目采用湿法破碎，生产废水收集后经自建污水处理设施处理</w:t>
                  </w:r>
                  <w:r>
                    <w:rPr>
                      <w:rFonts w:hint="eastAsia" w:ascii="Times New Roman" w:hAnsi="Times New Roman" w:eastAsia="宋体" w:cs="Times New Roman"/>
                      <w:color w:val="auto"/>
                      <w:spacing w:val="0"/>
                      <w:sz w:val="21"/>
                      <w:szCs w:val="21"/>
                      <w:lang w:eastAsia="zh-CN"/>
                    </w:rPr>
                    <w:t>。</w:t>
                  </w:r>
                </w:p>
              </w:tc>
              <w:tc>
                <w:tcPr>
                  <w:tcW w:w="362" w:type="dxa"/>
                  <w:tcBorders>
                    <w:tl2br w:val="nil"/>
                    <w:tr2bl w:val="nil"/>
                  </w:tcBorders>
                  <w:vAlign w:val="center"/>
                </w:tcPr>
                <w:p w14:paraId="2847F91E">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p>
              </w:tc>
            </w:tr>
            <w:tr w14:paraId="6F359F7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57" w:type="dxa"/>
                  <w:tcBorders>
                    <w:tl2br w:val="nil"/>
                    <w:tr2bl w:val="nil"/>
                  </w:tcBorders>
                  <w:vAlign w:val="center"/>
                </w:tcPr>
                <w:p w14:paraId="493FE1F8">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lang w:val="en-US" w:eastAsia="zh-CN"/>
                    </w:rPr>
                    <w:t>清洗</w:t>
                  </w:r>
                </w:p>
              </w:tc>
              <w:tc>
                <w:tcPr>
                  <w:tcW w:w="4073" w:type="dxa"/>
                  <w:tcBorders>
                    <w:tl2br w:val="nil"/>
                    <w:tr2bl w:val="nil"/>
                  </w:tcBorders>
                  <w:vAlign w:val="center"/>
                </w:tcPr>
                <w:p w14:paraId="3EFAEE8A">
                  <w:pPr>
                    <w:pStyle w:val="134"/>
                    <w:keepNext w:val="0"/>
                    <w:keepLines w:val="0"/>
                    <w:pageBreakBefore w:val="0"/>
                    <w:widowControl/>
                    <w:numPr>
                      <w:ilvl w:val="0"/>
                      <w:numId w:val="8"/>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宜采用节水的自动化清洗技术，宜采用无磷清洗剂或其他绿色清洗剂，不得使用有毒有害的清洗剂。</w:t>
                  </w:r>
                </w:p>
                <w:p w14:paraId="28CE84BA">
                  <w:pPr>
                    <w:pStyle w:val="134"/>
                    <w:keepNext w:val="0"/>
                    <w:keepLines w:val="0"/>
                    <w:pageBreakBefore w:val="0"/>
                    <w:widowControl/>
                    <w:numPr>
                      <w:ilvl w:val="0"/>
                      <w:numId w:val="8"/>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应根据清洗废水中污染物的种类和浓度，配备相应的废水收集和处理设施，清洗废水处理后宜循环使用。</w:t>
                  </w:r>
                </w:p>
              </w:tc>
              <w:tc>
                <w:tcPr>
                  <w:tcW w:w="2814" w:type="dxa"/>
                  <w:tcBorders>
                    <w:tl2br w:val="nil"/>
                    <w:tr2bl w:val="nil"/>
                  </w:tcBorders>
                  <w:vAlign w:val="center"/>
                </w:tcPr>
                <w:p w14:paraId="350B7DC9">
                  <w:pPr>
                    <w:pStyle w:val="134"/>
                    <w:keepNext w:val="0"/>
                    <w:keepLines w:val="0"/>
                    <w:pageBreakBefore w:val="0"/>
                    <w:widowControl/>
                    <w:numPr>
                      <w:ilvl w:val="0"/>
                      <w:numId w:val="0"/>
                    </w:numPr>
                    <w:kinsoku/>
                    <w:wordWrap/>
                    <w:overflowPunct/>
                    <w:topLinePunct w:val="0"/>
                    <w:autoSpaceDE w:val="0"/>
                    <w:autoSpaceDN w:val="0"/>
                    <w:bidi w:val="0"/>
                    <w:adjustRightInd w:val="0"/>
                    <w:snapToGrid/>
                    <w:spacing w:line="340" w:lineRule="exact"/>
                    <w:ind w:leftChars="0" w:right="0" w:rightChars="0"/>
                    <w:jc w:val="center"/>
                    <w:textAlignment w:val="baseline"/>
                    <w:rPr>
                      <w:rFonts w:hint="default"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lang w:val="en-US" w:eastAsia="zh-CN"/>
                    </w:rPr>
                    <w:t>经</w:t>
                  </w:r>
                  <w:r>
                    <w:rPr>
                      <w:rFonts w:hint="default" w:ascii="Times New Roman" w:hAnsi="Times New Roman" w:eastAsia="宋体" w:cs="Times New Roman"/>
                      <w:color w:val="auto"/>
                      <w:spacing w:val="0"/>
                      <w:sz w:val="21"/>
                      <w:szCs w:val="21"/>
                    </w:rPr>
                    <w:t>处理后</w:t>
                  </w:r>
                  <w:r>
                    <w:rPr>
                      <w:rFonts w:hint="eastAsia" w:ascii="Times New Roman" w:hAnsi="Times New Roman" w:eastAsia="宋体" w:cs="Times New Roman"/>
                      <w:color w:val="auto"/>
                      <w:spacing w:val="0"/>
                      <w:sz w:val="21"/>
                      <w:szCs w:val="21"/>
                      <w:lang w:eastAsia="zh-CN"/>
                    </w:rPr>
                    <w:t>的</w:t>
                  </w:r>
                  <w:r>
                    <w:rPr>
                      <w:rFonts w:hint="eastAsia" w:ascii="Times New Roman" w:hAnsi="Times New Roman" w:eastAsia="宋体" w:cs="Times New Roman"/>
                      <w:color w:val="auto"/>
                      <w:spacing w:val="0"/>
                      <w:sz w:val="21"/>
                      <w:szCs w:val="21"/>
                      <w:lang w:val="en-US" w:eastAsia="zh-CN"/>
                    </w:rPr>
                    <w:t>清洗、破碎废水</w:t>
                  </w:r>
                  <w:r>
                    <w:rPr>
                      <w:rFonts w:hint="default" w:ascii="Times New Roman" w:hAnsi="Times New Roman" w:eastAsia="宋体" w:cs="Times New Roman"/>
                      <w:color w:val="auto"/>
                      <w:spacing w:val="0"/>
                      <w:sz w:val="21"/>
                      <w:szCs w:val="21"/>
                    </w:rPr>
                    <w:t>约</w:t>
                  </w:r>
                  <w:r>
                    <w:rPr>
                      <w:rFonts w:hint="eastAsia" w:ascii="Times New Roman" w:hAnsi="Times New Roman" w:eastAsia="宋体" w:cs="Times New Roman"/>
                      <w:color w:val="auto"/>
                      <w:spacing w:val="0"/>
                      <w:sz w:val="21"/>
                      <w:szCs w:val="21"/>
                      <w:lang w:val="en-US" w:eastAsia="zh-CN"/>
                    </w:rPr>
                    <w:t>9</w:t>
                  </w:r>
                  <w:r>
                    <w:rPr>
                      <w:rFonts w:hint="default" w:ascii="Times New Roman" w:hAnsi="Times New Roman" w:eastAsia="宋体" w:cs="Times New Roman"/>
                      <w:color w:val="auto"/>
                      <w:spacing w:val="0"/>
                      <w:sz w:val="21"/>
                      <w:szCs w:val="21"/>
                    </w:rPr>
                    <w:t>0%的回用于生产，剩余</w:t>
                  </w:r>
                  <w:r>
                    <w:rPr>
                      <w:rFonts w:hint="eastAsia" w:ascii="Times New Roman" w:hAnsi="Times New Roman" w:eastAsia="宋体" w:cs="Times New Roman"/>
                      <w:color w:val="auto"/>
                      <w:spacing w:val="0"/>
                      <w:sz w:val="21"/>
                      <w:szCs w:val="21"/>
                      <w:lang w:val="en-US" w:eastAsia="zh-CN"/>
                    </w:rPr>
                    <w:t>1</w:t>
                  </w:r>
                  <w:r>
                    <w:rPr>
                      <w:rFonts w:hint="default" w:ascii="Times New Roman" w:hAnsi="Times New Roman" w:eastAsia="宋体" w:cs="Times New Roman"/>
                      <w:color w:val="auto"/>
                      <w:spacing w:val="0"/>
                      <w:sz w:val="21"/>
                      <w:szCs w:val="21"/>
                    </w:rPr>
                    <w:t>0%通过园区管网排入</w:t>
                  </w:r>
                  <w:r>
                    <w:rPr>
                      <w:rFonts w:hint="default" w:ascii="Times New Roman" w:hAnsi="Times New Roman" w:eastAsia="宋体" w:cs="Times New Roman"/>
                      <w:color w:val="auto"/>
                      <w:spacing w:val="0"/>
                      <w:sz w:val="21"/>
                      <w:szCs w:val="21"/>
                      <w:lang w:eastAsia="zh-CN"/>
                    </w:rPr>
                    <w:t>江镜华侨农场污水处理厂</w:t>
                  </w:r>
                  <w:r>
                    <w:rPr>
                      <w:rFonts w:hint="default" w:ascii="Times New Roman" w:hAnsi="Times New Roman" w:eastAsia="宋体" w:cs="Times New Roman"/>
                      <w:color w:val="auto"/>
                      <w:spacing w:val="0"/>
                      <w:sz w:val="21"/>
                      <w:szCs w:val="21"/>
                    </w:rPr>
                    <w:t>处理</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本项目生产过程中不使用清洗剂。</w:t>
                  </w:r>
                </w:p>
              </w:tc>
              <w:tc>
                <w:tcPr>
                  <w:tcW w:w="362" w:type="dxa"/>
                  <w:tcBorders>
                    <w:tl2br w:val="nil"/>
                    <w:tr2bl w:val="nil"/>
                  </w:tcBorders>
                  <w:vAlign w:val="center"/>
                </w:tcPr>
                <w:p w14:paraId="25D90CFC">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p>
              </w:tc>
            </w:tr>
            <w:tr w14:paraId="6CBE329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57" w:type="dxa"/>
                  <w:tcBorders>
                    <w:tl2br w:val="nil"/>
                    <w:tr2bl w:val="nil"/>
                  </w:tcBorders>
                  <w:vAlign w:val="center"/>
                </w:tcPr>
                <w:p w14:paraId="2D3ACA97">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干燥</w:t>
                  </w:r>
                </w:p>
              </w:tc>
              <w:tc>
                <w:tcPr>
                  <w:tcW w:w="4073" w:type="dxa"/>
                  <w:tcBorders>
                    <w:tl2br w:val="nil"/>
                    <w:tr2bl w:val="nil"/>
                  </w:tcBorders>
                  <w:vAlign w:val="center"/>
                </w:tcPr>
                <w:p w14:paraId="5F9F0976">
                  <w:pPr>
                    <w:pStyle w:val="134"/>
                    <w:keepNext w:val="0"/>
                    <w:keepLines w:val="0"/>
                    <w:pageBreakBefore w:val="0"/>
                    <w:widowControl/>
                    <w:numPr>
                      <w:ilvl w:val="0"/>
                      <w:numId w:val="9"/>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宜选择闭路循环式干燥设备。干燥环节应配备废气收集和处理设施，防止二次污染。</w:t>
                  </w:r>
                </w:p>
              </w:tc>
              <w:tc>
                <w:tcPr>
                  <w:tcW w:w="2814" w:type="dxa"/>
                  <w:tcBorders>
                    <w:tl2br w:val="nil"/>
                    <w:tr2bl w:val="nil"/>
                  </w:tcBorders>
                  <w:vAlign w:val="center"/>
                </w:tcPr>
                <w:p w14:paraId="0FC1D404">
                  <w:pPr>
                    <w:pStyle w:val="134"/>
                    <w:keepNext w:val="0"/>
                    <w:keepLines w:val="0"/>
                    <w:pageBreakBefore w:val="0"/>
                    <w:widowControl/>
                    <w:numPr>
                      <w:ilvl w:val="0"/>
                      <w:numId w:val="0"/>
                    </w:numPr>
                    <w:kinsoku/>
                    <w:wordWrap/>
                    <w:overflowPunct/>
                    <w:topLinePunct w:val="0"/>
                    <w:autoSpaceDE w:val="0"/>
                    <w:autoSpaceDN w:val="0"/>
                    <w:bidi w:val="0"/>
                    <w:adjustRightInd w:val="0"/>
                    <w:snapToGrid/>
                    <w:spacing w:line="340" w:lineRule="exact"/>
                    <w:ind w:leftChars="0" w:right="0" w:rightChars="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本项目采用低温电烘干，烘干温度控制在70~80℃。聚丙烯熔点在164~170℃</w:t>
                  </w:r>
                  <w:r>
                    <w:rPr>
                      <w:rFonts w:hint="eastAsia"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烘干过程不会产生非甲烷总烃，因此本项目的建设不违背相关要求。</w:t>
                  </w:r>
                </w:p>
              </w:tc>
              <w:tc>
                <w:tcPr>
                  <w:tcW w:w="362" w:type="dxa"/>
                  <w:tcBorders>
                    <w:tl2br w:val="nil"/>
                    <w:tr2bl w:val="nil"/>
                  </w:tcBorders>
                  <w:vAlign w:val="center"/>
                </w:tcPr>
                <w:p w14:paraId="4D6C0293">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59B3C66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57" w:type="dxa"/>
                  <w:tcBorders>
                    <w:tl2br w:val="nil"/>
                    <w:tr2bl w:val="nil"/>
                  </w:tcBorders>
                  <w:vAlign w:val="center"/>
                </w:tcPr>
                <w:p w14:paraId="04B3E9CD">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项目建设管理要求</w:t>
                  </w:r>
                </w:p>
              </w:tc>
              <w:tc>
                <w:tcPr>
                  <w:tcW w:w="4073" w:type="dxa"/>
                  <w:tcBorders>
                    <w:tl2br w:val="nil"/>
                    <w:tr2bl w:val="nil"/>
                  </w:tcBorders>
                  <w:vAlign w:val="center"/>
                </w:tcPr>
                <w:p w14:paraId="121A7AF1">
                  <w:pPr>
                    <w:pStyle w:val="134"/>
                    <w:keepNext w:val="0"/>
                    <w:keepLines w:val="0"/>
                    <w:pageBreakBefore w:val="0"/>
                    <w:widowControl/>
                    <w:numPr>
                      <w:ilvl w:val="0"/>
                      <w:numId w:val="10"/>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废塑料的再生利用项目应严格执行环境影响评价和“三同时”制度</w:t>
                  </w:r>
                  <w:r>
                    <w:rPr>
                      <w:rFonts w:hint="default" w:ascii="Times New Roman" w:hAnsi="Times New Roman" w:eastAsia="宋体" w:cs="Times New Roman"/>
                      <w:color w:val="auto"/>
                      <w:spacing w:val="0"/>
                      <w:sz w:val="21"/>
                      <w:szCs w:val="21"/>
                      <w:lang w:eastAsia="zh-CN"/>
                    </w:rPr>
                    <w:t>，</w:t>
                  </w:r>
                </w:p>
                <w:p w14:paraId="48222D9A">
                  <w:pPr>
                    <w:pStyle w:val="134"/>
                    <w:keepNext w:val="0"/>
                    <w:keepLines w:val="0"/>
                    <w:pageBreakBefore w:val="0"/>
                    <w:widowControl/>
                    <w:numPr>
                      <w:ilvl w:val="0"/>
                      <w:numId w:val="10"/>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新建和改扩建废塑料再生利用项目的选址应符合当地城市总体发展、规划、用地规划、生态环境分区管控方案、规划环评及其他环境保护要求</w:t>
                  </w:r>
                  <w:r>
                    <w:rPr>
                      <w:rFonts w:hint="default" w:ascii="Times New Roman" w:hAnsi="Times New Roman" w:eastAsia="宋体" w:cs="Times New Roman"/>
                      <w:color w:val="auto"/>
                      <w:spacing w:val="0"/>
                      <w:sz w:val="21"/>
                      <w:szCs w:val="21"/>
                      <w:lang w:eastAsia="zh-CN"/>
                    </w:rPr>
                    <w:t>。</w:t>
                  </w:r>
                </w:p>
                <w:p w14:paraId="3146EDD8">
                  <w:pPr>
                    <w:pStyle w:val="134"/>
                    <w:keepNext w:val="0"/>
                    <w:keepLines w:val="0"/>
                    <w:pageBreakBefore w:val="0"/>
                    <w:widowControl/>
                    <w:numPr>
                      <w:ilvl w:val="0"/>
                      <w:numId w:val="10"/>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废塑料再生利用项目应按功能划分厂区，包括管理区、原料贮存区、生产区、产品贮存区、不可利用废物的贮存和处理区等，各功能区应有明显的界线或标识。</w:t>
                  </w:r>
                </w:p>
              </w:tc>
              <w:tc>
                <w:tcPr>
                  <w:tcW w:w="2814" w:type="dxa"/>
                  <w:tcBorders>
                    <w:tl2br w:val="nil"/>
                    <w:tr2bl w:val="nil"/>
                  </w:tcBorders>
                  <w:vAlign w:val="center"/>
                </w:tcPr>
                <w:p w14:paraId="1250A572">
                  <w:pPr>
                    <w:pStyle w:val="134"/>
                    <w:keepNext w:val="0"/>
                    <w:keepLines w:val="0"/>
                    <w:pageBreakBefore w:val="0"/>
                    <w:widowControl/>
                    <w:numPr>
                      <w:ilvl w:val="0"/>
                      <w:numId w:val="11"/>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本项目严格执行环境影响评价和“三同时”制度；</w:t>
                  </w:r>
                </w:p>
                <w:p w14:paraId="54FB92C4">
                  <w:pPr>
                    <w:pStyle w:val="134"/>
                    <w:keepNext w:val="0"/>
                    <w:keepLines w:val="0"/>
                    <w:pageBreakBefore w:val="0"/>
                    <w:widowControl/>
                    <w:numPr>
                      <w:ilvl w:val="0"/>
                      <w:numId w:val="11"/>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本项目用地性质为建设用地，所在地属于“重点管控单元”，符合“</w:t>
                  </w:r>
                  <w:r>
                    <w:rPr>
                      <w:rFonts w:hint="eastAsia" w:ascii="Times New Roman" w:hAnsi="Times New Roman" w:eastAsia="宋体" w:cs="Times New Roman"/>
                      <w:color w:val="auto"/>
                      <w:spacing w:val="0"/>
                      <w:sz w:val="21"/>
                      <w:szCs w:val="21"/>
                      <w:lang w:val="en-US" w:eastAsia="zh-CN"/>
                    </w:rPr>
                    <w:t>生态分区管控</w:t>
                  </w:r>
                  <w:r>
                    <w:rPr>
                      <w:rFonts w:hint="default" w:ascii="Times New Roman" w:hAnsi="Times New Roman" w:eastAsia="宋体" w:cs="Times New Roman"/>
                      <w:color w:val="auto"/>
                      <w:spacing w:val="0"/>
                      <w:sz w:val="21"/>
                      <w:szCs w:val="21"/>
                    </w:rPr>
                    <w:t>”相关管控要求。</w:t>
                  </w:r>
                </w:p>
                <w:p w14:paraId="0B359979">
                  <w:pPr>
                    <w:pStyle w:val="134"/>
                    <w:keepNext w:val="0"/>
                    <w:keepLines w:val="0"/>
                    <w:pageBreakBefore w:val="0"/>
                    <w:widowControl/>
                    <w:numPr>
                      <w:ilvl w:val="0"/>
                      <w:numId w:val="11"/>
                    </w:numPr>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厂区按功能区划分厂区，各功能区应有明显的界限和标志。功能区设施封闭或半封闭，采取防风、防雨、防渗，防火等措施，有足够的疏散通道。</w:t>
                  </w:r>
                </w:p>
              </w:tc>
              <w:tc>
                <w:tcPr>
                  <w:tcW w:w="362" w:type="dxa"/>
                  <w:tcBorders>
                    <w:tl2br w:val="nil"/>
                    <w:tr2bl w:val="nil"/>
                  </w:tcBorders>
                  <w:vAlign w:val="center"/>
                </w:tcPr>
                <w:p w14:paraId="79B0A167">
                  <w:pPr>
                    <w:pStyle w:val="134"/>
                    <w:keepNext w:val="0"/>
                    <w:keepLines w:val="0"/>
                    <w:pageBreakBefore w:val="0"/>
                    <w:widowControl/>
                    <w:kinsoku/>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bl>
          <w:p w14:paraId="143F490A">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0"/>
              <w:textAlignment w:val="auto"/>
              <w:rPr>
                <w:rFonts w:hint="default"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b/>
                <w:color w:val="auto"/>
                <w:kern w:val="0"/>
                <w:sz w:val="24"/>
                <w:szCs w:val="24"/>
                <w:highlight w:val="none"/>
                <w:lang w:val="en-US" w:eastAsia="zh-CN" w:bidi="ar-SA"/>
              </w:rPr>
              <w:t>7、与《废塑料综合利用行业规范条件》（中华人民共和国</w:t>
            </w:r>
            <w:r>
              <w:rPr>
                <w:rFonts w:hint="eastAsia" w:ascii="Times New Roman" w:hAnsi="Times New Roman" w:eastAsia="宋体" w:cs="Times New Roman"/>
                <w:b/>
                <w:color w:val="auto"/>
                <w:kern w:val="0"/>
                <w:sz w:val="24"/>
                <w:szCs w:val="24"/>
                <w:highlight w:val="none"/>
                <w:lang w:val="en-US" w:eastAsia="zh-CN" w:bidi="ar-SA"/>
              </w:rPr>
              <w:t>工业和信息化部</w:t>
            </w:r>
            <w:r>
              <w:rPr>
                <w:rFonts w:hint="default" w:ascii="Times New Roman" w:hAnsi="Times New Roman" w:eastAsia="宋体" w:cs="Times New Roman"/>
                <w:b/>
                <w:color w:val="auto"/>
                <w:kern w:val="0"/>
                <w:sz w:val="24"/>
                <w:szCs w:val="24"/>
                <w:highlight w:val="none"/>
                <w:lang w:val="en-US" w:eastAsia="zh-CN" w:bidi="ar-SA"/>
              </w:rPr>
              <w:t>公告 2015 年第81 号）符合性分析</w:t>
            </w:r>
          </w:p>
          <w:p w14:paraId="00BE1900">
            <w:pPr>
              <w:pStyle w:val="11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本项目与《废塑料综合利用行业规范条件》（ 中华人民共和国</w:t>
            </w:r>
            <w:r>
              <w:rPr>
                <w:rFonts w:hint="eastAsia" w:cs="Times New Roman"/>
                <w:color w:val="auto"/>
                <w:kern w:val="2"/>
                <w:sz w:val="24"/>
                <w:szCs w:val="24"/>
                <w:lang w:val="en-US" w:eastAsia="zh-CN" w:bidi="ar-SA"/>
              </w:rPr>
              <w:t>工业和信息化部</w:t>
            </w:r>
            <w:r>
              <w:rPr>
                <w:rFonts w:hint="default" w:ascii="Times New Roman" w:hAnsi="Times New Roman" w:eastAsia="宋体" w:cs="Times New Roman"/>
                <w:color w:val="auto"/>
                <w:kern w:val="2"/>
                <w:sz w:val="24"/>
                <w:szCs w:val="24"/>
                <w:lang w:val="en-US" w:eastAsia="zh-CN" w:bidi="ar-SA"/>
              </w:rPr>
              <w:t>公告 2015 年第 81 号）的符合性见表1-6。</w:t>
            </w:r>
          </w:p>
          <w:p w14:paraId="03328A09">
            <w:pPr>
              <w:pStyle w:val="112"/>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kern w:val="2"/>
                <w:sz w:val="24"/>
                <w:szCs w:val="24"/>
                <w:u w:val="none"/>
                <w:lang w:val="en-US" w:eastAsia="zh-CN" w:bidi="ar-SA"/>
              </w:rPr>
            </w:pPr>
          </w:p>
          <w:p w14:paraId="4A7426D4">
            <w:pPr>
              <w:pStyle w:val="112"/>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kern w:val="2"/>
                <w:sz w:val="24"/>
                <w:szCs w:val="24"/>
                <w:u w:val="none"/>
                <w:lang w:val="en-US" w:eastAsia="zh-CN" w:bidi="ar-SA"/>
              </w:rPr>
            </w:pPr>
            <w:r>
              <w:rPr>
                <w:rFonts w:hint="default" w:ascii="Times New Roman" w:hAnsi="Times New Roman" w:eastAsia="黑体" w:cs="Times New Roman"/>
                <w:color w:val="auto"/>
                <w:kern w:val="2"/>
                <w:sz w:val="24"/>
                <w:szCs w:val="24"/>
                <w:u w:val="none"/>
                <w:lang w:val="en-US" w:eastAsia="zh-CN" w:bidi="ar-SA"/>
              </w:rPr>
              <w:t>表1-6   与《废塑料综合利用行业规范条件》符合性分析</w:t>
            </w:r>
          </w:p>
          <w:tbl>
            <w:tblPr>
              <w:tblStyle w:val="135"/>
              <w:tblW w:w="4998" w:type="pct"/>
              <w:tblInd w:w="2"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57" w:type="dxa"/>
                <w:bottom w:w="0" w:type="dxa"/>
                <w:right w:w="57" w:type="dxa"/>
              </w:tblCellMar>
            </w:tblPr>
            <w:tblGrid>
              <w:gridCol w:w="715"/>
              <w:gridCol w:w="3135"/>
              <w:gridCol w:w="2991"/>
              <w:gridCol w:w="862"/>
            </w:tblGrid>
            <w:tr w14:paraId="569654A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tcBorders>
                    <w:tl2br w:val="nil"/>
                    <w:tr2bl w:val="nil"/>
                  </w:tcBorders>
                  <w:vAlign w:val="center"/>
                </w:tcPr>
                <w:p w14:paraId="01E2963D">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b/>
                      <w:bCs/>
                      <w:color w:val="auto"/>
                      <w:spacing w:val="0"/>
                      <w:w w:val="100"/>
                      <w:sz w:val="21"/>
                      <w:szCs w:val="21"/>
                    </w:rPr>
                    <w:t>项目</w:t>
                  </w:r>
                </w:p>
              </w:tc>
              <w:tc>
                <w:tcPr>
                  <w:tcW w:w="2034" w:type="pct"/>
                  <w:tcBorders>
                    <w:tl2br w:val="nil"/>
                    <w:tr2bl w:val="nil"/>
                  </w:tcBorders>
                  <w:vAlign w:val="center"/>
                </w:tcPr>
                <w:p w14:paraId="539C7D06">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b/>
                      <w:bCs/>
                      <w:color w:val="auto"/>
                      <w:spacing w:val="0"/>
                      <w:w w:val="100"/>
                      <w:sz w:val="21"/>
                      <w:szCs w:val="21"/>
                    </w:rPr>
                    <w:t>相关要求</w:t>
                  </w:r>
                </w:p>
              </w:tc>
              <w:tc>
                <w:tcPr>
                  <w:tcW w:w="1941" w:type="pct"/>
                  <w:tcBorders>
                    <w:tl2br w:val="nil"/>
                    <w:tr2bl w:val="nil"/>
                  </w:tcBorders>
                  <w:vAlign w:val="center"/>
                </w:tcPr>
                <w:p w14:paraId="3F8835A2">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b/>
                      <w:bCs/>
                      <w:color w:val="auto"/>
                      <w:spacing w:val="0"/>
                      <w:w w:val="100"/>
                      <w:sz w:val="21"/>
                      <w:szCs w:val="21"/>
                    </w:rPr>
                    <w:t>本项目情况</w:t>
                  </w:r>
                </w:p>
              </w:tc>
              <w:tc>
                <w:tcPr>
                  <w:tcW w:w="559" w:type="pct"/>
                  <w:tcBorders>
                    <w:tl2br w:val="nil"/>
                    <w:tr2bl w:val="nil"/>
                  </w:tcBorders>
                  <w:vAlign w:val="center"/>
                </w:tcPr>
                <w:p w14:paraId="436DD006">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b/>
                      <w:bCs/>
                      <w:color w:val="auto"/>
                      <w:spacing w:val="0"/>
                      <w:w w:val="100"/>
                      <w:sz w:val="21"/>
                      <w:szCs w:val="21"/>
                    </w:rPr>
                    <w:t>相符性</w:t>
                  </w:r>
                </w:p>
              </w:tc>
            </w:tr>
            <w:tr w14:paraId="6F3C153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restart"/>
                  <w:tcBorders>
                    <w:tl2br w:val="nil"/>
                    <w:tr2bl w:val="nil"/>
                  </w:tcBorders>
                  <w:vAlign w:val="center"/>
                </w:tcPr>
                <w:p w14:paraId="25A57A5B">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企业的设立和布局</w:t>
                  </w:r>
                </w:p>
              </w:tc>
              <w:tc>
                <w:tcPr>
                  <w:tcW w:w="2034" w:type="pct"/>
                  <w:tcBorders>
                    <w:tl2br w:val="nil"/>
                    <w:tr2bl w:val="nil"/>
                  </w:tcBorders>
                  <w:vAlign w:val="center"/>
                </w:tcPr>
                <w:p w14:paraId="3135AAD9">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废塑料综合利用企业所涉及的热塑性废塑料原料，不包括受到危险化学品、农药等污染的废弃塑料包装物、废弃一次性医疗用塑料制品等塑料类危险废物，以及氟塑料等特种工程塑料。</w:t>
                  </w:r>
                </w:p>
              </w:tc>
              <w:tc>
                <w:tcPr>
                  <w:tcW w:w="1941" w:type="pct"/>
                  <w:tcBorders>
                    <w:tl2br w:val="nil"/>
                    <w:tr2bl w:val="nil"/>
                  </w:tcBorders>
                  <w:vAlign w:val="center"/>
                </w:tcPr>
                <w:p w14:paraId="2CCAB76A">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本项目分类回收</w:t>
                  </w:r>
                  <w:r>
                    <w:rPr>
                      <w:rFonts w:hint="eastAsia" w:ascii="Times New Roman" w:hAnsi="Times New Roman" w:eastAsia="宋体" w:cs="Times New Roman"/>
                      <w:color w:val="auto"/>
                      <w:spacing w:val="0"/>
                      <w:w w:val="100"/>
                      <w:sz w:val="21"/>
                      <w:szCs w:val="21"/>
                      <w:lang w:val="en-US" w:eastAsia="zh-CN"/>
                    </w:rPr>
                    <w:t>福建省内</w:t>
                  </w:r>
                  <w:r>
                    <w:rPr>
                      <w:rFonts w:hint="default" w:ascii="Times New Roman" w:hAnsi="Times New Roman" w:eastAsia="宋体" w:cs="Times New Roman"/>
                      <w:color w:val="auto"/>
                      <w:spacing w:val="0"/>
                      <w:w w:val="100"/>
                      <w:sz w:val="21"/>
                      <w:szCs w:val="21"/>
                    </w:rPr>
                    <w:t>各级医院未被污染的医用（一次性塑料）输液瓶（袋）</w:t>
                  </w:r>
                  <w:r>
                    <w:rPr>
                      <w:rFonts w:hint="eastAsia" w:ascii="Times New Roman" w:hAnsi="Times New Roman" w:eastAsia="宋体" w:cs="Times New Roman"/>
                      <w:color w:val="auto"/>
                      <w:spacing w:val="0"/>
                      <w:w w:val="100"/>
                      <w:sz w:val="21"/>
                      <w:szCs w:val="21"/>
                      <w:lang w:val="en-US" w:eastAsia="zh-CN"/>
                    </w:rPr>
                    <w:t>及矿泉水瓶</w:t>
                  </w:r>
                  <w:r>
                    <w:rPr>
                      <w:rFonts w:hint="default" w:ascii="Times New Roman" w:hAnsi="Times New Roman" w:eastAsia="宋体" w:cs="Times New Roman"/>
                      <w:color w:val="auto"/>
                      <w:spacing w:val="0"/>
                      <w:w w:val="100"/>
                      <w:sz w:val="21"/>
                      <w:szCs w:val="21"/>
                    </w:rPr>
                    <w:t>作为原料进行清洗、破碎，不利用属于医疗废物和危险废物的废塑料。本项目不回收受到危险化学品、农药等污染的废弃塑料包装物、废弃一次性医疗用塑料制品等塑料类危险废物，以及氟塑料等特种工程塑料。</w:t>
                  </w:r>
                </w:p>
              </w:tc>
              <w:tc>
                <w:tcPr>
                  <w:tcW w:w="559" w:type="pct"/>
                  <w:tcBorders>
                    <w:tl2br w:val="nil"/>
                    <w:tr2bl w:val="nil"/>
                  </w:tcBorders>
                  <w:vAlign w:val="center"/>
                </w:tcPr>
                <w:p w14:paraId="2A4A79FD">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符合</w:t>
                  </w:r>
                </w:p>
              </w:tc>
            </w:tr>
            <w:tr w14:paraId="44BF7C4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1ED7CEF7">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p>
              </w:tc>
              <w:tc>
                <w:tcPr>
                  <w:tcW w:w="2034" w:type="pct"/>
                  <w:tcBorders>
                    <w:tl2br w:val="nil"/>
                    <w:tr2bl w:val="nil"/>
                  </w:tcBorders>
                  <w:vAlign w:val="center"/>
                </w:tcPr>
                <w:p w14:paraId="4842E3D8">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在国家法律、法规、规章和规划确定或县级及以上人民政府规定的自然保护区、风景名胜区、饮用水源保护区、基本农田保护区和其他需要特别保护的区域内，不得新建废塑料综合利用企业。</w:t>
                  </w:r>
                </w:p>
              </w:tc>
              <w:tc>
                <w:tcPr>
                  <w:tcW w:w="1941" w:type="pct"/>
                  <w:tcBorders>
                    <w:tl2br w:val="nil"/>
                    <w:tr2bl w:val="nil"/>
                  </w:tcBorders>
                  <w:vAlign w:val="center"/>
                </w:tcPr>
                <w:p w14:paraId="056C8DDD">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本项目选址不在自然保护区、风景名胜区、饮用水源保护区、基本农田保护区和其他需要特别保护的区域内。本项目位于</w:t>
                  </w:r>
                  <w:r>
                    <w:rPr>
                      <w:rFonts w:hint="default" w:ascii="Times New Roman" w:hAnsi="Times New Roman" w:eastAsia="宋体" w:cs="Times New Roman"/>
                      <w:color w:val="auto"/>
                      <w:spacing w:val="0"/>
                      <w:w w:val="100"/>
                      <w:sz w:val="21"/>
                      <w:szCs w:val="21"/>
                      <w:lang w:val="en-US" w:eastAsia="zh-CN"/>
                    </w:rPr>
                    <w:t>闽台（福州）蓝色经济产业园内</w:t>
                  </w:r>
                  <w:r>
                    <w:rPr>
                      <w:rFonts w:hint="default" w:ascii="Times New Roman" w:hAnsi="Times New Roman" w:eastAsia="宋体" w:cs="Times New Roman"/>
                      <w:color w:val="auto"/>
                      <w:spacing w:val="0"/>
                      <w:w w:val="100"/>
                      <w:sz w:val="21"/>
                      <w:szCs w:val="21"/>
                    </w:rPr>
                    <w:t>。</w:t>
                  </w:r>
                </w:p>
              </w:tc>
              <w:tc>
                <w:tcPr>
                  <w:tcW w:w="559" w:type="pct"/>
                  <w:tcBorders>
                    <w:tl2br w:val="nil"/>
                    <w:tr2bl w:val="nil"/>
                  </w:tcBorders>
                  <w:vAlign w:val="center"/>
                </w:tcPr>
                <w:p w14:paraId="0DD5A614">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符合</w:t>
                  </w:r>
                </w:p>
              </w:tc>
            </w:tr>
            <w:tr w14:paraId="38E04CA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tcBorders>
                    <w:tl2br w:val="nil"/>
                    <w:tr2bl w:val="nil"/>
                  </w:tcBorders>
                  <w:vAlign w:val="center"/>
                </w:tcPr>
                <w:p w14:paraId="09413A21">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资源综合利用及能耗</w:t>
                  </w:r>
                </w:p>
              </w:tc>
              <w:tc>
                <w:tcPr>
                  <w:tcW w:w="2034" w:type="pct"/>
                  <w:tcBorders>
                    <w:tl2br w:val="nil"/>
                    <w:tr2bl w:val="nil"/>
                  </w:tcBorders>
                  <w:shd w:val="clear" w:color="auto" w:fill="auto"/>
                  <w:vAlign w:val="center"/>
                </w:tcPr>
                <w:p w14:paraId="628DE4C2">
                  <w:pPr>
                    <w:pStyle w:val="134"/>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en-US" w:bidi="ar-SA"/>
                    </w:rPr>
                  </w:pPr>
                  <w:r>
                    <w:rPr>
                      <w:rFonts w:hint="default" w:ascii="Times New Roman" w:hAnsi="Times New Roman" w:eastAsia="宋体" w:cs="Times New Roman"/>
                      <w:color w:val="auto"/>
                      <w:spacing w:val="0"/>
                      <w:w w:val="100"/>
                      <w:sz w:val="21"/>
                      <w:szCs w:val="21"/>
                    </w:rPr>
                    <w:t>PET再生瓶片类企业与废塑料破碎、清洗、分选类企业的综合新水消耗低于1.5吨/吨废塑料。塑料再生造粒类企业的综合新水消耗低于0.2吨/吨废塑料。</w:t>
                  </w:r>
                </w:p>
              </w:tc>
              <w:tc>
                <w:tcPr>
                  <w:tcW w:w="1941" w:type="pct"/>
                  <w:tcBorders>
                    <w:tl2br w:val="nil"/>
                    <w:tr2bl w:val="nil"/>
                  </w:tcBorders>
                  <w:shd w:val="clear" w:color="auto" w:fill="auto"/>
                  <w:vAlign w:val="center"/>
                </w:tcPr>
                <w:p w14:paraId="4F5AE28C">
                  <w:pPr>
                    <w:pStyle w:val="134"/>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en-US" w:bidi="ar-SA"/>
                    </w:rPr>
                  </w:pPr>
                  <w:r>
                    <w:rPr>
                      <w:rFonts w:hint="default" w:ascii="Times New Roman" w:hAnsi="Times New Roman" w:eastAsia="宋体" w:cs="Times New Roman"/>
                      <w:color w:val="auto"/>
                      <w:spacing w:val="0"/>
                      <w:w w:val="100"/>
                      <w:sz w:val="21"/>
                      <w:szCs w:val="21"/>
                    </w:rPr>
                    <w:t>本项目综合新水消耗低于</w:t>
                  </w:r>
                  <w:r>
                    <w:rPr>
                      <w:rFonts w:hint="eastAsia" w:ascii="Times New Roman" w:hAnsi="Times New Roman" w:eastAsia="宋体" w:cs="Times New Roman"/>
                      <w:color w:val="auto"/>
                      <w:spacing w:val="0"/>
                      <w:w w:val="100"/>
                      <w:sz w:val="21"/>
                      <w:szCs w:val="21"/>
                      <w:lang w:val="en-US" w:eastAsia="zh-CN"/>
                    </w:rPr>
                    <w:t>1.5</w:t>
                  </w:r>
                  <w:r>
                    <w:rPr>
                      <w:rFonts w:hint="default" w:ascii="Times New Roman" w:hAnsi="Times New Roman" w:eastAsia="宋体" w:cs="Times New Roman"/>
                      <w:color w:val="auto"/>
                      <w:spacing w:val="0"/>
                      <w:w w:val="100"/>
                      <w:sz w:val="21"/>
                      <w:szCs w:val="21"/>
                    </w:rPr>
                    <w:t>吨/吨废塑料。</w:t>
                  </w:r>
                </w:p>
              </w:tc>
              <w:tc>
                <w:tcPr>
                  <w:tcW w:w="559" w:type="pct"/>
                  <w:tcBorders>
                    <w:tl2br w:val="nil"/>
                    <w:tr2bl w:val="nil"/>
                  </w:tcBorders>
                  <w:shd w:val="clear" w:color="auto" w:fill="auto"/>
                  <w:vAlign w:val="center"/>
                </w:tcPr>
                <w:p w14:paraId="21BD3B83">
                  <w:pPr>
                    <w:pStyle w:val="134"/>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en-US" w:bidi="ar-SA"/>
                    </w:rPr>
                  </w:pPr>
                  <w:r>
                    <w:rPr>
                      <w:rFonts w:hint="default" w:ascii="Times New Roman" w:hAnsi="Times New Roman" w:eastAsia="宋体" w:cs="Times New Roman"/>
                      <w:color w:val="auto"/>
                      <w:spacing w:val="0"/>
                      <w:w w:val="100"/>
                      <w:sz w:val="21"/>
                      <w:szCs w:val="21"/>
                    </w:rPr>
                    <w:t>符合</w:t>
                  </w:r>
                </w:p>
              </w:tc>
            </w:tr>
            <w:tr w14:paraId="167E36D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restart"/>
                  <w:tcBorders>
                    <w:tl2br w:val="nil"/>
                    <w:tr2bl w:val="nil"/>
                  </w:tcBorders>
                  <w:vAlign w:val="center"/>
                </w:tcPr>
                <w:p w14:paraId="22B077D2">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工艺与装备</w:t>
                  </w:r>
                </w:p>
              </w:tc>
              <w:tc>
                <w:tcPr>
                  <w:tcW w:w="2034" w:type="pct"/>
                  <w:tcBorders>
                    <w:tl2br w:val="nil"/>
                    <w:tr2bl w:val="nil"/>
                  </w:tcBorders>
                  <w:vAlign w:val="center"/>
                </w:tcPr>
                <w:p w14:paraId="738F3D39">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1941" w:type="pct"/>
                  <w:tcBorders>
                    <w:tl2br w:val="nil"/>
                    <w:tr2bl w:val="nil"/>
                  </w:tcBorders>
                  <w:vAlign w:val="center"/>
                </w:tcPr>
                <w:p w14:paraId="599033AF">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本项目废塑料破碎、清洗采用自动化处理设备和设施，破碎工序采用具有减振与降噪功能的密闭破碎设备，清洗工序使用水，不使用清洗剂。</w:t>
                  </w:r>
                </w:p>
              </w:tc>
              <w:tc>
                <w:tcPr>
                  <w:tcW w:w="559" w:type="pct"/>
                  <w:tcBorders>
                    <w:tl2br w:val="nil"/>
                    <w:tr2bl w:val="nil"/>
                  </w:tcBorders>
                  <w:vAlign w:val="center"/>
                </w:tcPr>
                <w:p w14:paraId="7035B62C">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符合</w:t>
                  </w:r>
                </w:p>
              </w:tc>
            </w:tr>
            <w:tr w14:paraId="4CDDBA9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000" w:hRule="atLeast"/>
              </w:trPr>
              <w:tc>
                <w:tcPr>
                  <w:tcW w:w="464" w:type="pct"/>
                  <w:vMerge w:val="continue"/>
                  <w:tcBorders>
                    <w:tl2br w:val="nil"/>
                    <w:tr2bl w:val="nil"/>
                  </w:tcBorders>
                  <w:vAlign w:val="center"/>
                </w:tcPr>
                <w:p w14:paraId="7AB18E10">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p>
              </w:tc>
              <w:tc>
                <w:tcPr>
                  <w:tcW w:w="2034" w:type="pct"/>
                  <w:tcBorders>
                    <w:tl2br w:val="nil"/>
                    <w:tr2bl w:val="nil"/>
                  </w:tcBorders>
                  <w:vAlign w:val="center"/>
                </w:tcPr>
                <w:p w14:paraId="7047309D">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1941" w:type="pct"/>
                  <w:tcBorders>
                    <w:tl2br w:val="nil"/>
                    <w:tr2bl w:val="nil"/>
                  </w:tcBorders>
                  <w:vAlign w:val="center"/>
                </w:tcPr>
                <w:p w14:paraId="23954E3A">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本项目正在进行环境影响评价。要求建设单位按照要求配套相应环境保护措施，编制环境风险应急预案，并依法进行竣工环境保护验收。</w:t>
                  </w:r>
                </w:p>
              </w:tc>
              <w:tc>
                <w:tcPr>
                  <w:tcW w:w="559" w:type="pct"/>
                  <w:tcBorders>
                    <w:tl2br w:val="nil"/>
                    <w:tr2bl w:val="nil"/>
                  </w:tcBorders>
                  <w:vAlign w:val="center"/>
                </w:tcPr>
                <w:p w14:paraId="098C8265">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符合</w:t>
                  </w:r>
                </w:p>
              </w:tc>
            </w:tr>
            <w:tr w14:paraId="0738FAB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091761A2">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p>
              </w:tc>
              <w:tc>
                <w:tcPr>
                  <w:tcW w:w="2034" w:type="pct"/>
                  <w:tcBorders>
                    <w:tl2br w:val="nil"/>
                    <w:tr2bl w:val="nil"/>
                  </w:tcBorders>
                  <w:vAlign w:val="center"/>
                </w:tcPr>
                <w:p w14:paraId="6F86FD2C">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企业加工存储场地应建有围墙，在园区内的企业可为单独厂房，地面全部硬化且无明显破损现象。</w:t>
                  </w:r>
                </w:p>
              </w:tc>
              <w:tc>
                <w:tcPr>
                  <w:tcW w:w="1941" w:type="pct"/>
                  <w:tcBorders>
                    <w:tl2br w:val="nil"/>
                    <w:tr2bl w:val="nil"/>
                  </w:tcBorders>
                  <w:vAlign w:val="center"/>
                </w:tcPr>
                <w:p w14:paraId="791C345F">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lang w:val="en-US" w:eastAsia="zh-CN"/>
                    </w:rPr>
                    <w:t>项目租赁在工业</w:t>
                  </w:r>
                  <w:r>
                    <w:rPr>
                      <w:rFonts w:hint="default" w:ascii="Times New Roman" w:hAnsi="Times New Roman" w:eastAsia="宋体" w:cs="Times New Roman"/>
                      <w:color w:val="auto"/>
                      <w:spacing w:val="0"/>
                      <w:w w:val="100"/>
                      <w:sz w:val="21"/>
                      <w:szCs w:val="21"/>
                    </w:rPr>
                    <w:t>园区内</w:t>
                  </w:r>
                  <w:r>
                    <w:rPr>
                      <w:rFonts w:hint="default" w:ascii="Times New Roman" w:hAnsi="Times New Roman" w:eastAsia="宋体" w:cs="Times New Roman"/>
                      <w:color w:val="auto"/>
                      <w:spacing w:val="0"/>
                      <w:w w:val="100"/>
                      <w:sz w:val="21"/>
                      <w:szCs w:val="21"/>
                      <w:lang w:eastAsia="zh-CN"/>
                    </w:rPr>
                    <w:t>，</w:t>
                  </w:r>
                  <w:r>
                    <w:rPr>
                      <w:rFonts w:hint="default" w:ascii="Times New Roman" w:hAnsi="Times New Roman" w:eastAsia="宋体" w:cs="Times New Roman"/>
                      <w:color w:val="auto"/>
                      <w:spacing w:val="0"/>
                      <w:w w:val="100"/>
                      <w:sz w:val="21"/>
                      <w:szCs w:val="21"/>
                    </w:rPr>
                    <w:t>为</w:t>
                  </w:r>
                  <w:r>
                    <w:rPr>
                      <w:rFonts w:hint="default" w:ascii="Times New Roman" w:hAnsi="Times New Roman" w:eastAsia="宋体" w:cs="Times New Roman"/>
                      <w:color w:val="auto"/>
                      <w:spacing w:val="0"/>
                      <w:w w:val="100"/>
                      <w:sz w:val="21"/>
                      <w:szCs w:val="21"/>
                      <w:lang w:val="en-US" w:eastAsia="zh-CN"/>
                    </w:rPr>
                    <w:t>独立</w:t>
                  </w:r>
                  <w:r>
                    <w:rPr>
                      <w:rFonts w:hint="default" w:ascii="Times New Roman" w:hAnsi="Times New Roman" w:eastAsia="宋体" w:cs="Times New Roman"/>
                      <w:color w:val="auto"/>
                      <w:spacing w:val="0"/>
                      <w:w w:val="100"/>
                      <w:sz w:val="21"/>
                      <w:szCs w:val="21"/>
                    </w:rPr>
                    <w:t>厂房，地面全部硬化且无明显破损现象。</w:t>
                  </w:r>
                </w:p>
              </w:tc>
              <w:tc>
                <w:tcPr>
                  <w:tcW w:w="559" w:type="pct"/>
                  <w:tcBorders>
                    <w:tl2br w:val="nil"/>
                    <w:tr2bl w:val="nil"/>
                  </w:tcBorders>
                  <w:vAlign w:val="center"/>
                </w:tcPr>
                <w:p w14:paraId="7E113BD4">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符合</w:t>
                  </w:r>
                </w:p>
              </w:tc>
            </w:tr>
            <w:tr w14:paraId="74C2857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171784D5">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p>
              </w:tc>
              <w:tc>
                <w:tcPr>
                  <w:tcW w:w="2034" w:type="pct"/>
                  <w:tcBorders>
                    <w:tl2br w:val="nil"/>
                    <w:tr2bl w:val="nil"/>
                  </w:tcBorders>
                  <w:vAlign w:val="center"/>
                </w:tcPr>
                <w:p w14:paraId="77677CAB">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企业必须配备废塑料分类存放场所。原料、产品、本企业不能利用废塑料及不可利用废物贮存在具有防雨、防风、防渗等功能的厂房或加盖雨棚的专门贮存场地内，无露天堆放现象。</w:t>
                  </w:r>
                </w:p>
              </w:tc>
              <w:tc>
                <w:tcPr>
                  <w:tcW w:w="1941" w:type="pct"/>
                  <w:tcBorders>
                    <w:tl2br w:val="nil"/>
                    <w:tr2bl w:val="nil"/>
                  </w:tcBorders>
                  <w:vAlign w:val="center"/>
                </w:tcPr>
                <w:p w14:paraId="6C1B26DD">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本项目原料和产品均存放在厂房内，一般工业固体废物按照《一般工业固体废物贮存和填埋污染控制标准》（GB18599-2020）要求储存。无露天堆放现象。</w:t>
                  </w:r>
                </w:p>
              </w:tc>
              <w:tc>
                <w:tcPr>
                  <w:tcW w:w="559" w:type="pct"/>
                  <w:tcBorders>
                    <w:tl2br w:val="nil"/>
                    <w:tr2bl w:val="nil"/>
                  </w:tcBorders>
                  <w:vAlign w:val="center"/>
                </w:tcPr>
                <w:p w14:paraId="47ABBE1E">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符合</w:t>
                  </w:r>
                </w:p>
              </w:tc>
            </w:tr>
            <w:tr w14:paraId="679EC52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3DA0BD6C">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p>
              </w:tc>
              <w:tc>
                <w:tcPr>
                  <w:tcW w:w="2034" w:type="pct"/>
                  <w:tcBorders>
                    <w:tl2br w:val="nil"/>
                    <w:tr2bl w:val="nil"/>
                  </w:tcBorders>
                  <w:vAlign w:val="center"/>
                </w:tcPr>
                <w:p w14:paraId="190F6A1C">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企业对收集的废塑料中的金属、橡胶、纤维、渣土、油脂、添加物等夹杂物，应采取相应的处理措施。如企业不具备处理条件，应委托其他具有处理能力的企业处理，不得擅自丢弃、倾倒、焚烧与填埋。</w:t>
                  </w:r>
                </w:p>
              </w:tc>
              <w:tc>
                <w:tcPr>
                  <w:tcW w:w="1941" w:type="pct"/>
                  <w:tcBorders>
                    <w:tl2br w:val="nil"/>
                    <w:tr2bl w:val="nil"/>
                  </w:tcBorders>
                  <w:vAlign w:val="center"/>
                </w:tcPr>
                <w:p w14:paraId="2CE0A2B5">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本项目的塑料来源于</w:t>
                  </w:r>
                  <w:r>
                    <w:rPr>
                      <w:rFonts w:hint="eastAsia" w:ascii="Times New Roman" w:hAnsi="Times New Roman" w:eastAsia="宋体" w:cs="Times New Roman"/>
                      <w:color w:val="auto"/>
                      <w:spacing w:val="0"/>
                      <w:w w:val="100"/>
                      <w:sz w:val="21"/>
                      <w:szCs w:val="21"/>
                      <w:lang w:val="en-US" w:eastAsia="zh-CN"/>
                    </w:rPr>
                    <w:t>福建省内</w:t>
                  </w:r>
                  <w:r>
                    <w:rPr>
                      <w:rFonts w:hint="default" w:ascii="Times New Roman" w:hAnsi="Times New Roman" w:eastAsia="宋体" w:cs="Times New Roman"/>
                      <w:color w:val="auto"/>
                      <w:spacing w:val="0"/>
                      <w:w w:val="100"/>
                      <w:sz w:val="21"/>
                      <w:szCs w:val="21"/>
                    </w:rPr>
                    <w:t>各级医院未被污染的医用（一次性塑料）输液瓶（袋）</w:t>
                  </w:r>
                  <w:r>
                    <w:rPr>
                      <w:rFonts w:hint="eastAsia" w:ascii="Times New Roman" w:hAnsi="Times New Roman" w:eastAsia="宋体" w:cs="Times New Roman"/>
                      <w:color w:val="auto"/>
                      <w:spacing w:val="0"/>
                      <w:w w:val="100"/>
                      <w:sz w:val="21"/>
                      <w:szCs w:val="21"/>
                      <w:lang w:val="en-US" w:eastAsia="zh-CN"/>
                    </w:rPr>
                    <w:t>及矿泉水瓶</w:t>
                  </w:r>
                  <w:r>
                    <w:rPr>
                      <w:rFonts w:hint="default" w:ascii="Times New Roman" w:hAnsi="Times New Roman" w:eastAsia="宋体" w:cs="Times New Roman"/>
                      <w:color w:val="auto"/>
                      <w:spacing w:val="0"/>
                      <w:w w:val="100"/>
                      <w:sz w:val="21"/>
                      <w:szCs w:val="21"/>
                    </w:rPr>
                    <w:t>，其夹带杂物主要为标签纸屑，作为固废由环卫部门清运。</w:t>
                  </w:r>
                </w:p>
              </w:tc>
              <w:tc>
                <w:tcPr>
                  <w:tcW w:w="559" w:type="pct"/>
                  <w:tcBorders>
                    <w:tl2br w:val="nil"/>
                    <w:tr2bl w:val="nil"/>
                  </w:tcBorders>
                  <w:vAlign w:val="center"/>
                </w:tcPr>
                <w:p w14:paraId="0F8C08F9">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符合</w:t>
                  </w:r>
                </w:p>
              </w:tc>
            </w:tr>
            <w:tr w14:paraId="09D98E8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4B77C7B7">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p>
              </w:tc>
              <w:tc>
                <w:tcPr>
                  <w:tcW w:w="2034" w:type="pct"/>
                  <w:tcBorders>
                    <w:tl2br w:val="nil"/>
                    <w:tr2bl w:val="nil"/>
                  </w:tcBorders>
                  <w:vAlign w:val="center"/>
                </w:tcPr>
                <w:p w14:paraId="2C55104D">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企业应具有与加工利用能力相适应的废水处理设施，中水回用率必须符合环评文件的有关要求。</w:t>
                  </w:r>
                </w:p>
              </w:tc>
              <w:tc>
                <w:tcPr>
                  <w:tcW w:w="1941" w:type="pct"/>
                  <w:tcBorders>
                    <w:tl2br w:val="nil"/>
                    <w:tr2bl w:val="nil"/>
                  </w:tcBorders>
                  <w:vAlign w:val="center"/>
                </w:tcPr>
                <w:p w14:paraId="011D1B7F">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项目生产废水收集后经自建污水处理设施处理，处理后</w:t>
                  </w:r>
                  <w:r>
                    <w:rPr>
                      <w:rFonts w:hint="eastAsia" w:ascii="Times New Roman" w:hAnsi="Times New Roman" w:eastAsia="宋体" w:cs="Times New Roman"/>
                      <w:color w:val="auto"/>
                      <w:spacing w:val="0"/>
                      <w:sz w:val="21"/>
                      <w:szCs w:val="21"/>
                      <w:lang w:val="en-US" w:eastAsia="zh-CN"/>
                    </w:rPr>
                    <w:t>清洗、破碎废水</w:t>
                  </w:r>
                  <w:r>
                    <w:rPr>
                      <w:rFonts w:hint="default" w:ascii="Times New Roman" w:hAnsi="Times New Roman" w:eastAsia="宋体" w:cs="Times New Roman"/>
                      <w:color w:val="auto"/>
                      <w:spacing w:val="0"/>
                      <w:w w:val="100"/>
                      <w:sz w:val="21"/>
                      <w:szCs w:val="21"/>
                    </w:rPr>
                    <w:t>约</w:t>
                  </w:r>
                  <w:r>
                    <w:rPr>
                      <w:rFonts w:hint="eastAsia" w:ascii="Times New Roman" w:hAnsi="Times New Roman" w:eastAsia="宋体" w:cs="Times New Roman"/>
                      <w:color w:val="auto"/>
                      <w:spacing w:val="0"/>
                      <w:w w:val="100"/>
                      <w:sz w:val="21"/>
                      <w:szCs w:val="21"/>
                      <w:lang w:val="en-US" w:eastAsia="zh-CN"/>
                    </w:rPr>
                    <w:t>9</w:t>
                  </w:r>
                  <w:r>
                    <w:rPr>
                      <w:rFonts w:hint="default" w:ascii="Times New Roman" w:hAnsi="Times New Roman" w:eastAsia="宋体" w:cs="Times New Roman"/>
                      <w:color w:val="auto"/>
                      <w:spacing w:val="0"/>
                      <w:w w:val="100"/>
                      <w:sz w:val="21"/>
                      <w:szCs w:val="21"/>
                    </w:rPr>
                    <w:t>0%的废水回用于生产，剩余</w:t>
                  </w:r>
                  <w:r>
                    <w:rPr>
                      <w:rFonts w:hint="eastAsia" w:ascii="Times New Roman" w:hAnsi="Times New Roman" w:eastAsia="宋体" w:cs="Times New Roman"/>
                      <w:color w:val="auto"/>
                      <w:spacing w:val="0"/>
                      <w:w w:val="100"/>
                      <w:sz w:val="21"/>
                      <w:szCs w:val="21"/>
                      <w:lang w:val="en-US" w:eastAsia="zh-CN"/>
                    </w:rPr>
                    <w:t>10</w:t>
                  </w:r>
                  <w:r>
                    <w:rPr>
                      <w:rFonts w:hint="default" w:ascii="Times New Roman" w:hAnsi="Times New Roman" w:eastAsia="宋体" w:cs="Times New Roman"/>
                      <w:color w:val="auto"/>
                      <w:spacing w:val="0"/>
                      <w:w w:val="100"/>
                      <w:sz w:val="21"/>
                      <w:szCs w:val="21"/>
                    </w:rPr>
                    <w:t>%通过园区管网排入</w:t>
                  </w:r>
                  <w:r>
                    <w:rPr>
                      <w:rFonts w:hint="default" w:ascii="Times New Roman" w:hAnsi="Times New Roman" w:eastAsia="宋体" w:cs="Times New Roman"/>
                      <w:color w:val="auto"/>
                      <w:spacing w:val="0"/>
                      <w:w w:val="100"/>
                      <w:sz w:val="21"/>
                      <w:szCs w:val="21"/>
                      <w:lang w:eastAsia="zh-CN"/>
                    </w:rPr>
                    <w:t>江镜华侨农场污水处理厂</w:t>
                  </w:r>
                  <w:r>
                    <w:rPr>
                      <w:rFonts w:hint="default" w:ascii="Times New Roman" w:hAnsi="Times New Roman" w:eastAsia="宋体" w:cs="Times New Roman"/>
                      <w:color w:val="auto"/>
                      <w:spacing w:val="0"/>
                      <w:w w:val="100"/>
                      <w:sz w:val="21"/>
                      <w:szCs w:val="21"/>
                    </w:rPr>
                    <w:t>。</w:t>
                  </w:r>
                </w:p>
              </w:tc>
              <w:tc>
                <w:tcPr>
                  <w:tcW w:w="559" w:type="pct"/>
                  <w:tcBorders>
                    <w:tl2br w:val="nil"/>
                    <w:tr2bl w:val="nil"/>
                  </w:tcBorders>
                  <w:vAlign w:val="center"/>
                </w:tcPr>
                <w:p w14:paraId="49E37D3C">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符合</w:t>
                  </w:r>
                </w:p>
              </w:tc>
            </w:tr>
          </w:tbl>
          <w:p w14:paraId="64239B72">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0"/>
              <w:textAlignment w:val="auto"/>
              <w:rPr>
                <w:rFonts w:hint="default"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b/>
                <w:color w:val="auto"/>
                <w:kern w:val="0"/>
                <w:sz w:val="24"/>
                <w:szCs w:val="24"/>
                <w:highlight w:val="none"/>
                <w:lang w:val="en-US" w:eastAsia="zh-CN" w:bidi="ar-SA"/>
              </w:rPr>
              <w:t>8. 与《废塑料加工利用污染防治管理规定》（</w:t>
            </w:r>
            <w:r>
              <w:rPr>
                <w:rFonts w:hint="eastAsia" w:ascii="Times New Roman" w:hAnsi="Times New Roman" w:eastAsia="宋体" w:cs="Times New Roman"/>
                <w:b/>
                <w:color w:val="auto"/>
                <w:kern w:val="0"/>
                <w:sz w:val="24"/>
                <w:szCs w:val="24"/>
                <w:highlight w:val="none"/>
                <w:lang w:val="en-US" w:eastAsia="zh-CN" w:bidi="ar-SA"/>
              </w:rPr>
              <w:t>生态环境部</w:t>
            </w:r>
            <w:r>
              <w:rPr>
                <w:rFonts w:hint="default" w:ascii="Times New Roman" w:hAnsi="Times New Roman" w:eastAsia="宋体" w:cs="Times New Roman"/>
                <w:b/>
                <w:color w:val="auto"/>
                <w:kern w:val="0"/>
                <w:sz w:val="24"/>
                <w:szCs w:val="24"/>
                <w:highlight w:val="none"/>
                <w:lang w:val="en-US" w:eastAsia="zh-CN" w:bidi="ar-SA"/>
              </w:rPr>
              <w:t>、发改委、商务部公告2012年第55号）相符性分析</w:t>
            </w:r>
          </w:p>
          <w:p w14:paraId="66960AAF">
            <w:pPr>
              <w:pStyle w:val="134"/>
              <w:keepNext w:val="0"/>
              <w:keepLines w:val="0"/>
              <w:pageBreakBefore w:val="0"/>
              <w:widowControl w:val="0"/>
              <w:kinsoku/>
              <w:wordWrap/>
              <w:overflowPunct/>
              <w:topLinePunct w:val="0"/>
              <w:autoSpaceDE/>
              <w:autoSpaceDN/>
              <w:bidi w:val="0"/>
              <w:adjustRightInd/>
              <w:snapToGrid/>
              <w:spacing w:line="360" w:lineRule="auto"/>
              <w:ind w:left="0" w:firstLine="460" w:firstLineChars="200"/>
              <w:textAlignment w:val="auto"/>
              <w:rPr>
                <w:rFonts w:hint="default" w:ascii="Times New Roman" w:hAnsi="Times New Roman" w:eastAsia="宋体" w:cs="Times New Roman"/>
                <w:color w:val="auto"/>
                <w:spacing w:val="-5"/>
                <w:kern w:val="2"/>
                <w:sz w:val="24"/>
                <w:szCs w:val="24"/>
                <w:lang w:val="en-US" w:eastAsia="zh-CN" w:bidi="ar-SA"/>
              </w:rPr>
            </w:pPr>
            <w:r>
              <w:rPr>
                <w:rFonts w:hint="default" w:ascii="Times New Roman" w:hAnsi="Times New Roman" w:eastAsia="宋体" w:cs="Times New Roman"/>
                <w:color w:val="auto"/>
                <w:spacing w:val="-5"/>
                <w:kern w:val="2"/>
                <w:sz w:val="24"/>
                <w:szCs w:val="24"/>
                <w:lang w:val="en-US" w:eastAsia="zh-CN" w:bidi="ar-SA"/>
              </w:rPr>
              <w:t>本项目与《废塑料加工利用污染防治管理规定》（</w:t>
            </w:r>
            <w:r>
              <w:rPr>
                <w:rFonts w:hint="eastAsia" w:ascii="Times New Roman" w:hAnsi="Times New Roman" w:eastAsia="宋体" w:cs="Times New Roman"/>
                <w:color w:val="auto"/>
                <w:spacing w:val="-5"/>
                <w:kern w:val="2"/>
                <w:sz w:val="24"/>
                <w:szCs w:val="24"/>
                <w:lang w:val="en-US" w:eastAsia="zh-CN" w:bidi="ar-SA"/>
              </w:rPr>
              <w:t>生态环境部</w:t>
            </w:r>
            <w:r>
              <w:rPr>
                <w:rFonts w:hint="default" w:ascii="Times New Roman" w:hAnsi="Times New Roman" w:eastAsia="宋体" w:cs="Times New Roman"/>
                <w:color w:val="auto"/>
                <w:spacing w:val="-5"/>
                <w:kern w:val="2"/>
                <w:sz w:val="24"/>
                <w:szCs w:val="24"/>
                <w:lang w:val="en-US" w:eastAsia="zh-CN" w:bidi="ar-SA"/>
              </w:rPr>
              <w:t>、发改委、商务部公告2012年第55号）的符合性见表1-7。</w:t>
            </w:r>
          </w:p>
          <w:p w14:paraId="623CF13D">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color w:val="auto"/>
                <w:kern w:val="2"/>
                <w:sz w:val="24"/>
                <w:szCs w:val="24"/>
                <w:u w:val="none"/>
                <w:lang w:val="en-US" w:eastAsia="zh-CN" w:bidi="ar-SA"/>
              </w:rPr>
            </w:pPr>
          </w:p>
          <w:p w14:paraId="67BD4C81">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color w:val="auto"/>
                <w:spacing w:val="-5"/>
                <w:kern w:val="2"/>
                <w:sz w:val="21"/>
                <w:szCs w:val="24"/>
                <w:lang w:val="en-US" w:eastAsia="zh-CN" w:bidi="ar-SA"/>
              </w:rPr>
            </w:pPr>
            <w:r>
              <w:rPr>
                <w:rFonts w:hint="default" w:ascii="Times New Roman" w:hAnsi="Times New Roman" w:eastAsia="黑体" w:cs="Times New Roman"/>
                <w:color w:val="auto"/>
                <w:kern w:val="2"/>
                <w:sz w:val="24"/>
                <w:szCs w:val="24"/>
                <w:u w:val="none"/>
                <w:lang w:val="en-US" w:eastAsia="zh-CN" w:bidi="ar-SA"/>
              </w:rPr>
              <w:t>表1-7   与《废塑料加工利用污染防治管理规定》符合性分析</w:t>
            </w:r>
          </w:p>
          <w:tbl>
            <w:tblPr>
              <w:tblStyle w:val="135"/>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57" w:type="dxa"/>
                <w:bottom w:w="0" w:type="dxa"/>
                <w:right w:w="57" w:type="dxa"/>
              </w:tblCellMar>
            </w:tblPr>
            <w:tblGrid>
              <w:gridCol w:w="627"/>
              <w:gridCol w:w="2267"/>
              <w:gridCol w:w="3862"/>
              <w:gridCol w:w="947"/>
            </w:tblGrid>
            <w:tr w14:paraId="2421512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7" w:type="pct"/>
                  <w:tcBorders>
                    <w:tl2br w:val="nil"/>
                    <w:tr2bl w:val="nil"/>
                  </w:tcBorders>
                  <w:vAlign w:val="center"/>
                </w:tcPr>
                <w:p w14:paraId="525D7688">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8"/>
                      <w:sz w:val="21"/>
                      <w:szCs w:val="21"/>
                    </w:rPr>
                    <w:t>项目</w:t>
                  </w:r>
                </w:p>
              </w:tc>
              <w:tc>
                <w:tcPr>
                  <w:tcW w:w="1471" w:type="pct"/>
                  <w:tcBorders>
                    <w:tl2br w:val="nil"/>
                    <w:tr2bl w:val="nil"/>
                  </w:tcBorders>
                  <w:vAlign w:val="center"/>
                </w:tcPr>
                <w:p w14:paraId="7C01137F">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9"/>
                      <w:sz w:val="21"/>
                      <w:szCs w:val="21"/>
                    </w:rPr>
                    <w:t>相关要求</w:t>
                  </w:r>
                </w:p>
              </w:tc>
              <w:tc>
                <w:tcPr>
                  <w:tcW w:w="2506" w:type="pct"/>
                  <w:tcBorders>
                    <w:tl2br w:val="nil"/>
                    <w:tr2bl w:val="nil"/>
                  </w:tcBorders>
                  <w:vAlign w:val="center"/>
                </w:tcPr>
                <w:p w14:paraId="1E4E8468">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9"/>
                      <w:sz w:val="21"/>
                      <w:szCs w:val="21"/>
                    </w:rPr>
                    <w:t>本项目情况</w:t>
                  </w:r>
                </w:p>
              </w:tc>
              <w:tc>
                <w:tcPr>
                  <w:tcW w:w="614" w:type="pct"/>
                  <w:tcBorders>
                    <w:tl2br w:val="nil"/>
                    <w:tr2bl w:val="nil"/>
                  </w:tcBorders>
                  <w:vAlign w:val="center"/>
                </w:tcPr>
                <w:p w14:paraId="22A7539D">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4"/>
                      <w:sz w:val="21"/>
                      <w:szCs w:val="21"/>
                    </w:rPr>
                    <w:t>相符性</w:t>
                  </w:r>
                </w:p>
              </w:tc>
            </w:tr>
            <w:tr w14:paraId="0E0279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7" w:type="pct"/>
                  <w:tcBorders>
                    <w:tl2br w:val="nil"/>
                    <w:tr2bl w:val="nil"/>
                  </w:tcBorders>
                  <w:vAlign w:val="center"/>
                </w:tcPr>
                <w:p w14:paraId="584EF152">
                  <w:pPr>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71" w:type="pct"/>
                  <w:tcBorders>
                    <w:tl2br w:val="nil"/>
                    <w:tr2bl w:val="nil"/>
                  </w:tcBorders>
                  <w:vAlign w:val="center"/>
                </w:tcPr>
                <w:p w14:paraId="2B544470">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禁止在居民区加工利用</w:t>
                  </w:r>
                  <w:r>
                    <w:rPr>
                      <w:rFonts w:hint="default" w:ascii="Times New Roman" w:hAnsi="Times New Roman" w:eastAsia="宋体" w:cs="Times New Roman"/>
                      <w:color w:val="auto"/>
                      <w:spacing w:val="6"/>
                      <w:sz w:val="21"/>
                      <w:szCs w:val="21"/>
                    </w:rPr>
                    <w:t>废塑料。</w:t>
                  </w:r>
                </w:p>
              </w:tc>
              <w:tc>
                <w:tcPr>
                  <w:tcW w:w="2506" w:type="pct"/>
                  <w:tcBorders>
                    <w:tl2br w:val="nil"/>
                    <w:tr2bl w:val="nil"/>
                  </w:tcBorders>
                  <w:vAlign w:val="center"/>
                </w:tcPr>
                <w:p w14:paraId="36949BD9">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本项目</w:t>
                  </w:r>
                  <w:r>
                    <w:rPr>
                      <w:rFonts w:hint="eastAsia" w:ascii="Times New Roman" w:hAnsi="Times New Roman" w:eastAsia="宋体" w:cs="Times New Roman"/>
                      <w:color w:val="auto"/>
                      <w:spacing w:val="9"/>
                      <w:sz w:val="21"/>
                      <w:szCs w:val="21"/>
                      <w:lang w:eastAsia="zh-CN"/>
                    </w:rPr>
                    <w:t>位于</w:t>
                  </w:r>
                  <w:r>
                    <w:rPr>
                      <w:rFonts w:hint="default" w:ascii="Times New Roman" w:hAnsi="Times New Roman" w:eastAsia="宋体" w:cs="Times New Roman"/>
                      <w:color w:val="auto"/>
                      <w:spacing w:val="9"/>
                      <w:sz w:val="21"/>
                      <w:szCs w:val="21"/>
                      <w:lang w:val="en-US" w:eastAsia="zh-CN"/>
                    </w:rPr>
                    <w:t>闽台（福州）蓝色经济产业园内</w:t>
                  </w:r>
                  <w:r>
                    <w:rPr>
                      <w:rFonts w:hint="default" w:ascii="Times New Roman" w:hAnsi="Times New Roman" w:eastAsia="宋体" w:cs="Times New Roman"/>
                      <w:color w:val="auto"/>
                      <w:spacing w:val="6"/>
                      <w:sz w:val="21"/>
                      <w:szCs w:val="21"/>
                    </w:rPr>
                    <w:t>，</w:t>
                  </w:r>
                  <w:r>
                    <w:rPr>
                      <w:rFonts w:hint="default" w:ascii="Times New Roman" w:hAnsi="Times New Roman" w:eastAsia="宋体" w:cs="Times New Roman"/>
                      <w:color w:val="auto"/>
                      <w:spacing w:val="8"/>
                      <w:sz w:val="21"/>
                      <w:szCs w:val="21"/>
                    </w:rPr>
                    <w:t>不在居民区内。</w:t>
                  </w:r>
                </w:p>
              </w:tc>
              <w:tc>
                <w:tcPr>
                  <w:tcW w:w="614" w:type="pct"/>
                  <w:tcBorders>
                    <w:tl2br w:val="nil"/>
                    <w:tr2bl w:val="nil"/>
                  </w:tcBorders>
                  <w:vAlign w:val="center"/>
                </w:tcPr>
                <w:p w14:paraId="1B595DAD">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5"/>
                      <w:sz w:val="21"/>
                      <w:szCs w:val="21"/>
                    </w:rPr>
                    <w:t>符合</w:t>
                  </w:r>
                </w:p>
              </w:tc>
            </w:tr>
            <w:tr w14:paraId="4F9FF13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7" w:type="pct"/>
                  <w:tcBorders>
                    <w:tl2br w:val="nil"/>
                    <w:tr2bl w:val="nil"/>
                  </w:tcBorders>
                  <w:vAlign w:val="center"/>
                </w:tcPr>
                <w:p w14:paraId="1C5027F0">
                  <w:pPr>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2</w:t>
                  </w:r>
                </w:p>
              </w:tc>
              <w:tc>
                <w:tcPr>
                  <w:tcW w:w="1471" w:type="pct"/>
                  <w:tcBorders>
                    <w:tl2br w:val="nil"/>
                    <w:tr2bl w:val="nil"/>
                  </w:tcBorders>
                  <w:vAlign w:val="center"/>
                </w:tcPr>
                <w:p w14:paraId="11F9878D">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禁止利用废塑料生产厚</w:t>
                  </w:r>
                  <w:r>
                    <w:rPr>
                      <w:rFonts w:hint="default" w:ascii="Times New Roman" w:hAnsi="Times New Roman" w:eastAsia="宋体" w:cs="Times New Roman"/>
                      <w:color w:val="auto"/>
                      <w:spacing w:val="15"/>
                      <w:sz w:val="21"/>
                      <w:szCs w:val="21"/>
                    </w:rPr>
                    <w:t>度小于0.025</w:t>
                  </w:r>
                  <w:r>
                    <w:rPr>
                      <w:rFonts w:hint="default" w:ascii="Times New Roman" w:hAnsi="Times New Roman" w:eastAsia="宋体" w:cs="Times New Roman"/>
                      <w:color w:val="auto"/>
                      <w:sz w:val="21"/>
                      <w:szCs w:val="21"/>
                    </w:rPr>
                    <w:t>mm</w:t>
                  </w:r>
                  <w:r>
                    <w:rPr>
                      <w:rFonts w:hint="default" w:ascii="Times New Roman" w:hAnsi="Times New Roman" w:eastAsia="宋体" w:cs="Times New Roman"/>
                      <w:color w:val="auto"/>
                      <w:spacing w:val="15"/>
                      <w:sz w:val="21"/>
                      <w:szCs w:val="21"/>
                    </w:rPr>
                    <w:t>的超</w:t>
                  </w:r>
                  <w:r>
                    <w:rPr>
                      <w:rFonts w:hint="default" w:ascii="Times New Roman" w:hAnsi="Times New Roman" w:eastAsia="宋体" w:cs="Times New Roman"/>
                      <w:color w:val="auto"/>
                      <w:spacing w:val="8"/>
                      <w:sz w:val="21"/>
                      <w:szCs w:val="21"/>
                    </w:rPr>
                    <w:t>薄塑料购物袋和厚度小</w:t>
                  </w:r>
                  <w:r>
                    <w:rPr>
                      <w:rFonts w:hint="default" w:ascii="Times New Roman" w:hAnsi="Times New Roman" w:eastAsia="宋体" w:cs="Times New Roman"/>
                      <w:color w:val="auto"/>
                      <w:spacing w:val="20"/>
                      <w:sz w:val="21"/>
                      <w:szCs w:val="21"/>
                    </w:rPr>
                    <w:t>于0.015</w:t>
                  </w:r>
                  <w:r>
                    <w:rPr>
                      <w:rFonts w:hint="default" w:ascii="Times New Roman" w:hAnsi="Times New Roman" w:eastAsia="宋体" w:cs="Times New Roman"/>
                      <w:color w:val="auto"/>
                      <w:sz w:val="21"/>
                      <w:szCs w:val="21"/>
                    </w:rPr>
                    <w:t>mm</w:t>
                  </w:r>
                  <w:r>
                    <w:rPr>
                      <w:rFonts w:hint="default" w:ascii="Times New Roman" w:hAnsi="Times New Roman" w:eastAsia="宋体" w:cs="Times New Roman"/>
                      <w:color w:val="auto"/>
                      <w:spacing w:val="20"/>
                      <w:sz w:val="21"/>
                      <w:szCs w:val="21"/>
                    </w:rPr>
                    <w:t>超薄塑</w:t>
                  </w:r>
                  <w:r>
                    <w:rPr>
                      <w:rFonts w:hint="default" w:ascii="Times New Roman" w:hAnsi="Times New Roman" w:eastAsia="宋体" w:cs="Times New Roman"/>
                      <w:color w:val="auto"/>
                      <w:spacing w:val="4"/>
                      <w:sz w:val="21"/>
                      <w:szCs w:val="21"/>
                    </w:rPr>
                    <w:t>料袋。</w:t>
                  </w:r>
                </w:p>
              </w:tc>
              <w:tc>
                <w:tcPr>
                  <w:tcW w:w="2506" w:type="pct"/>
                  <w:tcBorders>
                    <w:tl2br w:val="nil"/>
                    <w:tr2bl w:val="nil"/>
                  </w:tcBorders>
                  <w:vAlign w:val="center"/>
                </w:tcPr>
                <w:p w14:paraId="3A350BCC">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本项目利用来源于回收各级医院未被污染的医用</w:t>
                  </w:r>
                  <w:r>
                    <w:rPr>
                      <w:rFonts w:hint="default" w:ascii="Times New Roman" w:hAnsi="Times New Roman" w:eastAsia="宋体" w:cs="Times New Roman"/>
                      <w:color w:val="auto"/>
                      <w:spacing w:val="6"/>
                      <w:sz w:val="21"/>
                      <w:szCs w:val="21"/>
                    </w:rPr>
                    <w:t>输液瓶（袋）</w:t>
                  </w:r>
                  <w:r>
                    <w:rPr>
                      <w:rFonts w:hint="default" w:ascii="Times New Roman" w:hAnsi="Times New Roman" w:eastAsia="宋体" w:cs="Times New Roman"/>
                      <w:color w:val="auto"/>
                      <w:spacing w:val="6"/>
                      <w:sz w:val="21"/>
                      <w:szCs w:val="21"/>
                      <w:lang w:val="en-US" w:eastAsia="zh-CN"/>
                    </w:rPr>
                    <w:t>及生活源塑料</w:t>
                  </w:r>
                  <w:r>
                    <w:rPr>
                      <w:rFonts w:hint="eastAsia" w:ascii="Times New Roman" w:hAnsi="Times New Roman" w:eastAsia="宋体" w:cs="Times New Roman"/>
                      <w:color w:val="auto"/>
                      <w:spacing w:val="6"/>
                      <w:sz w:val="21"/>
                      <w:szCs w:val="21"/>
                      <w:lang w:val="en-US" w:eastAsia="zh-CN"/>
                    </w:rPr>
                    <w:t>（矿泉水瓶）</w:t>
                  </w:r>
                  <w:r>
                    <w:rPr>
                      <w:rFonts w:hint="default" w:ascii="Times New Roman" w:hAnsi="Times New Roman" w:eastAsia="宋体" w:cs="Times New Roman"/>
                      <w:color w:val="auto"/>
                      <w:spacing w:val="6"/>
                      <w:sz w:val="21"/>
                      <w:szCs w:val="21"/>
                    </w:rPr>
                    <w:t>作为原料，不利用</w:t>
                  </w:r>
                  <w:r>
                    <w:rPr>
                      <w:rFonts w:hint="default" w:ascii="Times New Roman" w:hAnsi="Times New Roman" w:eastAsia="宋体" w:cs="Times New Roman"/>
                      <w:color w:val="auto"/>
                      <w:spacing w:val="7"/>
                      <w:sz w:val="21"/>
                      <w:szCs w:val="21"/>
                    </w:rPr>
                    <w:t>薄塑料购物袋</w:t>
                  </w:r>
                  <w:r>
                    <w:rPr>
                      <w:rFonts w:hint="eastAsia" w:ascii="Times New Roman" w:hAnsi="Times New Roman" w:eastAsia="宋体" w:cs="Times New Roman"/>
                      <w:color w:val="auto"/>
                      <w:spacing w:val="7"/>
                      <w:sz w:val="21"/>
                      <w:szCs w:val="21"/>
                      <w:lang w:eastAsia="zh-CN"/>
                    </w:rPr>
                    <w:t>，</w:t>
                  </w:r>
                  <w:r>
                    <w:rPr>
                      <w:rFonts w:hint="eastAsia" w:ascii="Times New Roman" w:hAnsi="Times New Roman" w:eastAsia="宋体" w:cs="Times New Roman"/>
                      <w:color w:val="auto"/>
                      <w:spacing w:val="7"/>
                      <w:sz w:val="21"/>
                      <w:szCs w:val="21"/>
                      <w:lang w:val="en-US" w:eastAsia="zh-CN"/>
                    </w:rPr>
                    <w:t>同时废塑料禁止用于生产厚度小于0.025mm的超薄塑料购物袋和厚度小于0.015mm超薄塑料袋</w:t>
                  </w:r>
                  <w:r>
                    <w:rPr>
                      <w:rFonts w:hint="default" w:ascii="Times New Roman" w:hAnsi="Times New Roman" w:eastAsia="宋体" w:cs="Times New Roman"/>
                      <w:color w:val="auto"/>
                      <w:spacing w:val="7"/>
                      <w:sz w:val="21"/>
                      <w:szCs w:val="21"/>
                    </w:rPr>
                    <w:t>。</w:t>
                  </w:r>
                </w:p>
              </w:tc>
              <w:tc>
                <w:tcPr>
                  <w:tcW w:w="614" w:type="pct"/>
                  <w:tcBorders>
                    <w:tl2br w:val="nil"/>
                    <w:tr2bl w:val="nil"/>
                  </w:tcBorders>
                  <w:vAlign w:val="center"/>
                </w:tcPr>
                <w:p w14:paraId="65CD688A">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6"/>
                      <w:sz w:val="21"/>
                      <w:szCs w:val="21"/>
                    </w:rPr>
                    <w:t>符合</w:t>
                  </w:r>
                </w:p>
              </w:tc>
            </w:tr>
            <w:tr w14:paraId="3741560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7" w:type="pct"/>
                  <w:tcBorders>
                    <w:tl2br w:val="nil"/>
                    <w:tr2bl w:val="nil"/>
                  </w:tcBorders>
                  <w:vAlign w:val="center"/>
                </w:tcPr>
                <w:p w14:paraId="5817A29E">
                  <w:pPr>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3</w:t>
                  </w:r>
                </w:p>
              </w:tc>
              <w:tc>
                <w:tcPr>
                  <w:tcW w:w="1471" w:type="pct"/>
                  <w:tcBorders>
                    <w:tl2br w:val="nil"/>
                    <w:tr2bl w:val="nil"/>
                  </w:tcBorders>
                  <w:vAlign w:val="center"/>
                </w:tcPr>
                <w:p w14:paraId="158AC452">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禁止无危险废物经营许</w:t>
                  </w:r>
                  <w:r>
                    <w:rPr>
                      <w:rFonts w:hint="default" w:ascii="Times New Roman" w:hAnsi="Times New Roman" w:eastAsia="宋体" w:cs="Times New Roman"/>
                      <w:color w:val="auto"/>
                      <w:spacing w:val="7"/>
                      <w:sz w:val="21"/>
                      <w:szCs w:val="21"/>
                    </w:rPr>
                    <w:t>可证从事废塑料类危险废物的回收利用活动，</w:t>
                  </w:r>
                  <w:r>
                    <w:rPr>
                      <w:rFonts w:hint="default" w:ascii="Times New Roman" w:hAnsi="Times New Roman" w:eastAsia="宋体" w:cs="Times New Roman"/>
                      <w:color w:val="auto"/>
                      <w:spacing w:val="4"/>
                      <w:sz w:val="21"/>
                      <w:szCs w:val="21"/>
                    </w:rPr>
                    <w:t>包括被危险化学品、农药</w:t>
                  </w:r>
                  <w:r>
                    <w:rPr>
                      <w:rFonts w:hint="default" w:ascii="Times New Roman" w:hAnsi="Times New Roman" w:eastAsia="宋体" w:cs="Times New Roman"/>
                      <w:color w:val="auto"/>
                      <w:spacing w:val="9"/>
                      <w:sz w:val="21"/>
                      <w:szCs w:val="21"/>
                    </w:rPr>
                    <w:t>等污染的废弃塑料包装</w:t>
                  </w:r>
                  <w:r>
                    <w:rPr>
                      <w:rFonts w:hint="default" w:ascii="Times New Roman" w:hAnsi="Times New Roman" w:eastAsia="宋体" w:cs="Times New Roman"/>
                      <w:color w:val="auto"/>
                      <w:spacing w:val="4"/>
                      <w:sz w:val="21"/>
                      <w:szCs w:val="21"/>
                    </w:rPr>
                    <w:t>物，废弃的一次性医疗用塑料制品（如输液器、血</w:t>
                  </w:r>
                  <w:r>
                    <w:rPr>
                      <w:rFonts w:hint="default" w:ascii="Times New Roman" w:hAnsi="Times New Roman" w:eastAsia="宋体" w:cs="Times New Roman"/>
                      <w:color w:val="auto"/>
                      <w:spacing w:val="6"/>
                      <w:sz w:val="21"/>
                      <w:szCs w:val="21"/>
                    </w:rPr>
                    <w:t>袋）等。</w:t>
                  </w:r>
                </w:p>
              </w:tc>
              <w:tc>
                <w:tcPr>
                  <w:tcW w:w="2506" w:type="pct"/>
                  <w:tcBorders>
                    <w:tl2br w:val="nil"/>
                    <w:tr2bl w:val="nil"/>
                  </w:tcBorders>
                  <w:vAlign w:val="center"/>
                </w:tcPr>
                <w:p w14:paraId="3F090848">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1"/>
                      <w:sz w:val="21"/>
                      <w:szCs w:val="21"/>
                    </w:rPr>
                    <w:t>根据国卫办医发〔2017〕30号</w:t>
                  </w:r>
                  <w:r>
                    <w:rPr>
                      <w:rFonts w:hint="default" w:ascii="Times New Roman" w:hAnsi="Times New Roman" w:eastAsia="宋体" w:cs="Times New Roman"/>
                      <w:color w:val="auto"/>
                      <w:spacing w:val="2"/>
                      <w:sz w:val="21"/>
                      <w:szCs w:val="21"/>
                    </w:rPr>
                    <w:t>和国卫医函〔2021〕238号可知，</w:t>
                  </w:r>
                  <w:r>
                    <w:rPr>
                      <w:rFonts w:hint="default" w:ascii="Times New Roman" w:hAnsi="Times New Roman" w:eastAsia="宋体" w:cs="Times New Roman"/>
                      <w:color w:val="auto"/>
                      <w:spacing w:val="9"/>
                      <w:sz w:val="21"/>
                      <w:szCs w:val="21"/>
                    </w:rPr>
                    <w:t>本项目分类回收各级医</w:t>
                  </w:r>
                  <w:r>
                    <w:rPr>
                      <w:rFonts w:hint="default" w:ascii="Times New Roman" w:hAnsi="Times New Roman" w:eastAsia="宋体" w:cs="Times New Roman"/>
                      <w:color w:val="auto"/>
                      <w:spacing w:val="6"/>
                      <w:sz w:val="21"/>
                      <w:szCs w:val="21"/>
                    </w:rPr>
                    <w:t>院未被污染的医用</w:t>
                  </w:r>
                  <w:r>
                    <w:rPr>
                      <w:rFonts w:hint="default" w:ascii="Times New Roman" w:hAnsi="Times New Roman" w:eastAsia="宋体" w:cs="Times New Roman"/>
                      <w:color w:val="auto"/>
                      <w:spacing w:val="9"/>
                      <w:sz w:val="21"/>
                      <w:szCs w:val="21"/>
                    </w:rPr>
                    <w:t>输液瓶（袋</w:t>
                  </w:r>
                  <w:r>
                    <w:rPr>
                      <w:rFonts w:hint="default" w:ascii="Times New Roman" w:hAnsi="Times New Roman" w:eastAsia="宋体" w:cs="Times New Roman"/>
                      <w:color w:val="auto"/>
                      <w:spacing w:val="-12"/>
                      <w:sz w:val="21"/>
                      <w:szCs w:val="21"/>
                    </w:rPr>
                    <w:t>），</w:t>
                  </w:r>
                  <w:r>
                    <w:rPr>
                      <w:rFonts w:hint="default" w:ascii="Times New Roman" w:hAnsi="Times New Roman" w:eastAsia="宋体" w:cs="Times New Roman"/>
                      <w:color w:val="auto"/>
                      <w:spacing w:val="9"/>
                      <w:sz w:val="21"/>
                      <w:szCs w:val="21"/>
                    </w:rPr>
                    <w:t>属于可回收利用</w:t>
                  </w:r>
                  <w:r>
                    <w:rPr>
                      <w:rFonts w:hint="default" w:ascii="Times New Roman" w:hAnsi="Times New Roman" w:eastAsia="宋体" w:cs="Times New Roman"/>
                      <w:color w:val="auto"/>
                      <w:spacing w:val="5"/>
                      <w:sz w:val="21"/>
                      <w:szCs w:val="21"/>
                    </w:rPr>
                    <w:t>废物，可作为原料进行清洗、破碎，不属于医疗废物和危</w:t>
                  </w:r>
                  <w:r>
                    <w:rPr>
                      <w:rFonts w:hint="default" w:ascii="Times New Roman" w:hAnsi="Times New Roman" w:eastAsia="宋体" w:cs="Times New Roman"/>
                      <w:color w:val="auto"/>
                      <w:spacing w:val="6"/>
                      <w:sz w:val="21"/>
                      <w:szCs w:val="21"/>
                    </w:rPr>
                    <w:t>险废物的废塑料。</w:t>
                  </w:r>
                  <w:r>
                    <w:rPr>
                      <w:rFonts w:hint="eastAsia" w:ascii="Times New Roman" w:hAnsi="Times New Roman" w:eastAsia="宋体" w:cs="Times New Roman"/>
                      <w:color w:val="auto"/>
                      <w:spacing w:val="6"/>
                      <w:sz w:val="21"/>
                      <w:szCs w:val="21"/>
                      <w:lang w:val="en-US" w:eastAsia="zh-CN"/>
                    </w:rPr>
                    <w:t>同时医院配备有专职员工负责倾倒输液瓶（袋）中的液体、去除未被污染的</w:t>
                  </w:r>
                  <w:r>
                    <w:rPr>
                      <w:rFonts w:hint="default" w:ascii="Times New Roman" w:hAnsi="Times New Roman" w:eastAsia="宋体" w:cs="Times New Roman"/>
                      <w:color w:val="auto"/>
                      <w:spacing w:val="9"/>
                      <w:sz w:val="21"/>
                      <w:szCs w:val="21"/>
                    </w:rPr>
                    <w:t>医用</w:t>
                  </w:r>
                  <w:r>
                    <w:rPr>
                      <w:rFonts w:hint="eastAsia" w:ascii="Times New Roman" w:hAnsi="Times New Roman" w:eastAsia="宋体" w:cs="Times New Roman"/>
                      <w:color w:val="auto"/>
                      <w:spacing w:val="6"/>
                      <w:sz w:val="21"/>
                      <w:szCs w:val="21"/>
                      <w:lang w:val="en-US" w:eastAsia="zh-CN"/>
                    </w:rPr>
                    <w:t>玻璃瓶瓶塞及装袋工作。</w:t>
                  </w:r>
                </w:p>
              </w:tc>
              <w:tc>
                <w:tcPr>
                  <w:tcW w:w="614" w:type="pct"/>
                  <w:tcBorders>
                    <w:tl2br w:val="nil"/>
                    <w:tr2bl w:val="nil"/>
                  </w:tcBorders>
                  <w:vAlign w:val="center"/>
                </w:tcPr>
                <w:p w14:paraId="23D41D4A">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6"/>
                      <w:sz w:val="21"/>
                      <w:szCs w:val="21"/>
                    </w:rPr>
                    <w:t>符合</w:t>
                  </w:r>
                </w:p>
              </w:tc>
            </w:tr>
            <w:tr w14:paraId="4B146D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7" w:type="pct"/>
                  <w:tcBorders>
                    <w:tl2br w:val="nil"/>
                    <w:tr2bl w:val="nil"/>
                  </w:tcBorders>
                  <w:vAlign w:val="center"/>
                </w:tcPr>
                <w:p w14:paraId="196677A7">
                  <w:pPr>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4</w:t>
                  </w:r>
                </w:p>
              </w:tc>
              <w:tc>
                <w:tcPr>
                  <w:tcW w:w="1471" w:type="pct"/>
                  <w:tcBorders>
                    <w:tl2br w:val="nil"/>
                    <w:tr2bl w:val="nil"/>
                  </w:tcBorders>
                  <w:vAlign w:val="center"/>
                </w:tcPr>
                <w:p w14:paraId="69413A0A">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无符合环保要求污水治</w:t>
                  </w:r>
                  <w:r>
                    <w:rPr>
                      <w:rFonts w:hint="default" w:ascii="Times New Roman" w:hAnsi="Times New Roman" w:eastAsia="宋体" w:cs="Times New Roman"/>
                      <w:color w:val="auto"/>
                      <w:spacing w:val="4"/>
                      <w:sz w:val="21"/>
                      <w:szCs w:val="21"/>
                    </w:rPr>
                    <w:t>理设施的，禁止从事废编</w:t>
                  </w:r>
                  <w:r>
                    <w:rPr>
                      <w:rFonts w:hint="default" w:ascii="Times New Roman" w:hAnsi="Times New Roman" w:eastAsia="宋体" w:cs="Times New Roman"/>
                      <w:color w:val="auto"/>
                      <w:spacing w:val="6"/>
                      <w:sz w:val="21"/>
                      <w:szCs w:val="21"/>
                    </w:rPr>
                    <w:t>织袋造粒、缸脚料淘洗、</w:t>
                  </w:r>
                  <w:r>
                    <w:rPr>
                      <w:rFonts w:hint="default" w:ascii="Times New Roman" w:hAnsi="Times New Roman" w:eastAsia="宋体" w:cs="Times New Roman"/>
                      <w:color w:val="auto"/>
                      <w:spacing w:val="4"/>
                      <w:sz w:val="21"/>
                      <w:szCs w:val="21"/>
                    </w:rPr>
                    <w:t>废塑料退镀（涂）、盐卤</w:t>
                  </w:r>
                  <w:r>
                    <w:rPr>
                      <w:rFonts w:hint="default" w:ascii="Times New Roman" w:hAnsi="Times New Roman" w:eastAsia="宋体" w:cs="Times New Roman"/>
                      <w:color w:val="auto"/>
                      <w:spacing w:val="8"/>
                      <w:sz w:val="21"/>
                      <w:szCs w:val="21"/>
                    </w:rPr>
                    <w:t>分拣等加工活动。</w:t>
                  </w:r>
                </w:p>
              </w:tc>
              <w:tc>
                <w:tcPr>
                  <w:tcW w:w="2506" w:type="pct"/>
                  <w:tcBorders>
                    <w:tl2br w:val="nil"/>
                    <w:tr2bl w:val="nil"/>
                  </w:tcBorders>
                  <w:vAlign w:val="center"/>
                </w:tcPr>
                <w:p w14:paraId="03C52017">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本项目按照环保要求进行污水治</w:t>
                  </w:r>
                  <w:r>
                    <w:rPr>
                      <w:rFonts w:hint="default" w:ascii="Times New Roman" w:hAnsi="Times New Roman" w:eastAsia="宋体" w:cs="Times New Roman"/>
                      <w:color w:val="auto"/>
                      <w:spacing w:val="6"/>
                      <w:sz w:val="21"/>
                      <w:szCs w:val="21"/>
                    </w:rPr>
                    <w:t>理设施的建设，生产废水收集后经自建污水处理设施处理，处理</w:t>
                  </w:r>
                  <w:r>
                    <w:rPr>
                      <w:rFonts w:hint="default" w:ascii="Times New Roman" w:hAnsi="Times New Roman" w:eastAsia="宋体" w:cs="Times New Roman"/>
                      <w:color w:val="auto"/>
                      <w:spacing w:val="15"/>
                      <w:sz w:val="21"/>
                      <w:szCs w:val="21"/>
                    </w:rPr>
                    <w:t>后约</w:t>
                  </w:r>
                  <w:r>
                    <w:rPr>
                      <w:rFonts w:hint="eastAsia" w:ascii="Times New Roman" w:hAnsi="Times New Roman" w:eastAsia="宋体" w:cs="Times New Roman"/>
                      <w:color w:val="auto"/>
                      <w:spacing w:val="15"/>
                      <w:sz w:val="21"/>
                      <w:szCs w:val="21"/>
                      <w:lang w:val="en-US" w:eastAsia="zh-CN"/>
                    </w:rPr>
                    <w:t>9</w:t>
                  </w:r>
                  <w:r>
                    <w:rPr>
                      <w:rFonts w:hint="default" w:ascii="Times New Roman" w:hAnsi="Times New Roman" w:eastAsia="宋体" w:cs="Times New Roman"/>
                      <w:color w:val="auto"/>
                      <w:spacing w:val="15"/>
                      <w:sz w:val="21"/>
                      <w:szCs w:val="21"/>
                    </w:rPr>
                    <w:t>0%的废水回用于生产，剩</w:t>
                  </w:r>
                  <w:r>
                    <w:rPr>
                      <w:rFonts w:hint="default" w:ascii="Times New Roman" w:hAnsi="Times New Roman" w:eastAsia="宋体" w:cs="Times New Roman"/>
                      <w:color w:val="auto"/>
                      <w:spacing w:val="10"/>
                      <w:sz w:val="21"/>
                      <w:szCs w:val="21"/>
                    </w:rPr>
                    <w:t>余</w:t>
                  </w:r>
                  <w:r>
                    <w:rPr>
                      <w:rFonts w:hint="eastAsia" w:ascii="Times New Roman" w:hAnsi="Times New Roman" w:eastAsia="宋体" w:cs="Times New Roman"/>
                      <w:color w:val="auto"/>
                      <w:spacing w:val="10"/>
                      <w:sz w:val="21"/>
                      <w:szCs w:val="21"/>
                      <w:lang w:val="en-US" w:eastAsia="zh-CN"/>
                    </w:rPr>
                    <w:t>1</w:t>
                  </w:r>
                  <w:r>
                    <w:rPr>
                      <w:rFonts w:hint="default" w:ascii="Times New Roman" w:hAnsi="Times New Roman" w:eastAsia="宋体" w:cs="Times New Roman"/>
                      <w:color w:val="auto"/>
                      <w:spacing w:val="10"/>
                      <w:sz w:val="21"/>
                      <w:szCs w:val="21"/>
                    </w:rPr>
                    <w:t>0%通过园区管网排入</w:t>
                  </w:r>
                  <w:r>
                    <w:rPr>
                      <w:rFonts w:hint="default" w:ascii="Times New Roman" w:hAnsi="Times New Roman" w:eastAsia="宋体" w:cs="Times New Roman"/>
                      <w:color w:val="auto"/>
                      <w:spacing w:val="10"/>
                      <w:sz w:val="21"/>
                      <w:szCs w:val="21"/>
                      <w:lang w:eastAsia="zh-CN"/>
                    </w:rPr>
                    <w:t>江镜华侨农场污水处理厂</w:t>
                  </w:r>
                  <w:r>
                    <w:rPr>
                      <w:rFonts w:hint="default" w:ascii="Times New Roman" w:hAnsi="Times New Roman" w:eastAsia="宋体" w:cs="Times New Roman"/>
                      <w:color w:val="auto"/>
                      <w:spacing w:val="9"/>
                      <w:sz w:val="21"/>
                      <w:szCs w:val="21"/>
                    </w:rPr>
                    <w:t>处</w:t>
                  </w:r>
                  <w:r>
                    <w:rPr>
                      <w:rFonts w:hint="default" w:ascii="Times New Roman" w:hAnsi="Times New Roman" w:eastAsia="宋体" w:cs="Times New Roman"/>
                      <w:color w:val="auto"/>
                      <w:spacing w:val="6"/>
                      <w:sz w:val="21"/>
                      <w:szCs w:val="21"/>
                    </w:rPr>
                    <w:t>理</w:t>
                  </w:r>
                  <w:r>
                    <w:rPr>
                      <w:rFonts w:hint="default" w:ascii="Times New Roman" w:hAnsi="Times New Roman" w:eastAsia="宋体" w:cs="Times New Roman"/>
                      <w:color w:val="auto"/>
                      <w:spacing w:val="7"/>
                      <w:sz w:val="21"/>
                      <w:szCs w:val="21"/>
                    </w:rPr>
                    <w:t>。</w:t>
                  </w:r>
                </w:p>
              </w:tc>
              <w:tc>
                <w:tcPr>
                  <w:tcW w:w="614" w:type="pct"/>
                  <w:tcBorders>
                    <w:tl2br w:val="nil"/>
                    <w:tr2bl w:val="nil"/>
                  </w:tcBorders>
                  <w:vAlign w:val="center"/>
                </w:tcPr>
                <w:p w14:paraId="57F50C0F">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5"/>
                      <w:sz w:val="21"/>
                      <w:szCs w:val="21"/>
                    </w:rPr>
                    <w:t>符合</w:t>
                  </w:r>
                </w:p>
              </w:tc>
            </w:tr>
          </w:tbl>
          <w:p w14:paraId="0B5FBFC3">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0"/>
              <w:textAlignment w:val="auto"/>
              <w:rPr>
                <w:rFonts w:hint="default" w:ascii="Times New Roman" w:hAnsi="Times New Roman" w:eastAsia="宋体" w:cs="Times New Roman"/>
                <w:b/>
                <w:color w:val="auto"/>
                <w:kern w:val="0"/>
                <w:sz w:val="24"/>
                <w:szCs w:val="24"/>
                <w:highlight w:val="none"/>
                <w:lang w:val="en-US" w:eastAsia="zh-CN" w:bidi="ar-SA"/>
              </w:rPr>
            </w:pPr>
            <w:r>
              <w:rPr>
                <w:rFonts w:hint="eastAsia" w:ascii="Times New Roman" w:hAnsi="Times New Roman" w:eastAsia="宋体" w:cs="Times New Roman"/>
                <w:b/>
                <w:color w:val="auto"/>
                <w:kern w:val="0"/>
                <w:sz w:val="24"/>
                <w:szCs w:val="24"/>
                <w:highlight w:val="none"/>
                <w:lang w:val="en-US" w:eastAsia="zh-CN" w:bidi="ar-SA"/>
              </w:rPr>
              <w:t>9</w:t>
            </w:r>
            <w:r>
              <w:rPr>
                <w:rFonts w:hint="default" w:ascii="Times New Roman" w:hAnsi="Times New Roman" w:eastAsia="宋体" w:cs="Times New Roman"/>
                <w:b/>
                <w:color w:val="auto"/>
                <w:kern w:val="0"/>
                <w:sz w:val="24"/>
                <w:szCs w:val="24"/>
                <w:highlight w:val="none"/>
                <w:lang w:val="en-US" w:eastAsia="zh-CN" w:bidi="ar-SA"/>
              </w:rPr>
              <w:t>.与《关于印发医疗机构废弃物综合治理工作方案的通知》（国卫医发〔2020〕3号）相符性分析</w:t>
            </w:r>
          </w:p>
          <w:p w14:paraId="7C59E044">
            <w:pPr>
              <w:pStyle w:val="134"/>
              <w:keepNext w:val="0"/>
              <w:keepLines w:val="0"/>
              <w:pageBreakBefore w:val="0"/>
              <w:widowControl w:val="0"/>
              <w:kinsoku/>
              <w:wordWrap/>
              <w:overflowPunct/>
              <w:topLinePunct w:val="0"/>
              <w:autoSpaceDE/>
              <w:autoSpaceDN/>
              <w:bidi w:val="0"/>
              <w:adjustRightInd/>
              <w:snapToGrid/>
              <w:spacing w:line="360" w:lineRule="auto"/>
              <w:ind w:left="0" w:firstLine="460" w:firstLineChars="200"/>
              <w:textAlignment w:val="auto"/>
              <w:rPr>
                <w:rFonts w:hint="default" w:ascii="Times New Roman" w:hAnsi="Times New Roman" w:eastAsia="宋体" w:cs="Times New Roman"/>
                <w:color w:val="auto"/>
                <w:spacing w:val="-5"/>
                <w:kern w:val="2"/>
                <w:sz w:val="24"/>
                <w:szCs w:val="24"/>
                <w:lang w:val="en-US" w:eastAsia="zh-CN" w:bidi="ar-SA"/>
              </w:rPr>
            </w:pPr>
            <w:r>
              <w:rPr>
                <w:rFonts w:hint="default" w:ascii="Times New Roman" w:hAnsi="Times New Roman" w:eastAsia="宋体" w:cs="Times New Roman"/>
                <w:color w:val="auto"/>
                <w:spacing w:val="-5"/>
                <w:kern w:val="2"/>
                <w:sz w:val="24"/>
                <w:szCs w:val="24"/>
                <w:lang w:val="en-US" w:eastAsia="zh-CN" w:bidi="ar-SA"/>
              </w:rPr>
              <w:t>本项目与《关于印发医疗机构废弃物综合治理工作方案的通知》（国卫医发〔2020〕3号）的符合性见表1-</w:t>
            </w:r>
            <w:r>
              <w:rPr>
                <w:rFonts w:hint="eastAsia" w:ascii="Times New Roman" w:hAnsi="Times New Roman" w:eastAsia="宋体" w:cs="Times New Roman"/>
                <w:color w:val="auto"/>
                <w:spacing w:val="-5"/>
                <w:kern w:val="2"/>
                <w:sz w:val="24"/>
                <w:szCs w:val="24"/>
                <w:lang w:val="en-US" w:eastAsia="zh-CN" w:bidi="ar-SA"/>
              </w:rPr>
              <w:t>8</w:t>
            </w:r>
            <w:r>
              <w:rPr>
                <w:rFonts w:hint="default" w:ascii="Times New Roman" w:hAnsi="Times New Roman" w:eastAsia="宋体" w:cs="Times New Roman"/>
                <w:color w:val="auto"/>
                <w:spacing w:val="-5"/>
                <w:kern w:val="2"/>
                <w:sz w:val="24"/>
                <w:szCs w:val="24"/>
                <w:lang w:val="en-US" w:eastAsia="zh-CN" w:bidi="ar-SA"/>
              </w:rPr>
              <w:t>。</w:t>
            </w:r>
          </w:p>
          <w:p w14:paraId="63E90938">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color w:val="auto"/>
                <w:kern w:val="2"/>
                <w:sz w:val="24"/>
                <w:szCs w:val="24"/>
                <w:u w:val="none"/>
                <w:vertAlign w:val="baseline"/>
                <w:lang w:val="en-US" w:eastAsia="zh-CN" w:bidi="ar-SA"/>
              </w:rPr>
            </w:pPr>
            <w:r>
              <w:rPr>
                <w:rFonts w:hint="eastAsia" w:ascii="Times New Roman" w:hAnsi="Times New Roman" w:eastAsia="黑体" w:cs="Times New Roman"/>
                <w:color w:val="auto"/>
                <w:kern w:val="2"/>
                <w:sz w:val="24"/>
                <w:szCs w:val="24"/>
                <w:u w:val="none"/>
                <w:lang w:val="en-US" w:eastAsia="zh-CN" w:bidi="ar-SA"/>
              </w:rPr>
              <w:t>表1-8 与《关于印发医疗机构废弃物综合治理工作方案的通知》的符合性分析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3683"/>
              <w:gridCol w:w="1980"/>
              <w:gridCol w:w="986"/>
            </w:tblGrid>
            <w:tr w14:paraId="0B72E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4" w:type="pct"/>
                  <w:tcBorders>
                    <w:tl2br w:val="nil"/>
                    <w:tr2bl w:val="nil"/>
                  </w:tcBorders>
                  <w:vAlign w:val="center"/>
                </w:tcPr>
                <w:p w14:paraId="597D9DCB">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项目</w:t>
                  </w:r>
                </w:p>
              </w:tc>
              <w:tc>
                <w:tcPr>
                  <w:tcW w:w="2390" w:type="pct"/>
                  <w:tcBorders>
                    <w:tl2br w:val="nil"/>
                    <w:tr2bl w:val="nil"/>
                  </w:tcBorders>
                  <w:vAlign w:val="center"/>
                </w:tcPr>
                <w:p w14:paraId="7B7CFC7A">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相关要求</w:t>
                  </w:r>
                </w:p>
              </w:tc>
              <w:tc>
                <w:tcPr>
                  <w:tcW w:w="1285" w:type="pct"/>
                  <w:tcBorders>
                    <w:tl2br w:val="nil"/>
                    <w:tr2bl w:val="nil"/>
                  </w:tcBorders>
                  <w:vAlign w:val="center"/>
                </w:tcPr>
                <w:p w14:paraId="022315E5">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本项目情况</w:t>
                  </w:r>
                </w:p>
              </w:tc>
              <w:tc>
                <w:tcPr>
                  <w:tcW w:w="640" w:type="pct"/>
                  <w:tcBorders>
                    <w:tl2br w:val="nil"/>
                    <w:tr2bl w:val="nil"/>
                  </w:tcBorders>
                  <w:vAlign w:val="center"/>
                </w:tcPr>
                <w:p w14:paraId="649F0A78">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相符性</w:t>
                  </w:r>
                </w:p>
              </w:tc>
            </w:tr>
            <w:tr w14:paraId="78AC6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4" w:type="pct"/>
                  <w:tcBorders>
                    <w:tl2br w:val="nil"/>
                    <w:tr2bl w:val="nil"/>
                  </w:tcBorders>
                  <w:vAlign w:val="center"/>
                </w:tcPr>
                <w:p w14:paraId="450C4C38">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做好医疗废物处置</w:t>
                  </w:r>
                </w:p>
              </w:tc>
              <w:tc>
                <w:tcPr>
                  <w:tcW w:w="2390" w:type="pct"/>
                  <w:tcBorders>
                    <w:tl2br w:val="nil"/>
                    <w:tr2bl w:val="nil"/>
                  </w:tcBorders>
                  <w:vAlign w:val="center"/>
                </w:tcPr>
                <w:p w14:paraId="31D1D6AF">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医疗机构按照《医疗废物分类目录》等要求制定具体的分类收集清单。严格落实危险废物申报登记和管理计划备案要求，依法向生态环境部门申报医疗废物的种类、产生量、流向、贮存和处置等情况。严禁混合医疗废物、生活垃圾和输液瓶（袋），严禁混放各类医疗废物。</w:t>
                  </w:r>
                </w:p>
              </w:tc>
              <w:tc>
                <w:tcPr>
                  <w:tcW w:w="1285" w:type="pct"/>
                  <w:vMerge w:val="restart"/>
                  <w:tcBorders>
                    <w:tl2br w:val="nil"/>
                    <w:tr2bl w:val="nil"/>
                  </w:tcBorders>
                  <w:vAlign w:val="center"/>
                </w:tcPr>
                <w:p w14:paraId="4262D068">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color w:val="auto"/>
                      <w:spacing w:val="0"/>
                      <w:w w:val="100"/>
                      <w:sz w:val="21"/>
                      <w:szCs w:val="21"/>
                      <w:lang w:val="en-US" w:eastAsia="zh-CN"/>
                    </w:rPr>
                    <w:t>待通过环境影响评价审批后，应与各</w:t>
                  </w:r>
                  <w:r>
                    <w:rPr>
                      <w:rFonts w:hint="eastAsia" w:ascii="Times New Roman" w:hAnsi="Times New Roman" w:eastAsia="宋体" w:cs="Times New Roman"/>
                      <w:b w:val="0"/>
                      <w:bCs w:val="0"/>
                      <w:color w:val="auto"/>
                      <w:kern w:val="2"/>
                      <w:sz w:val="21"/>
                      <w:szCs w:val="21"/>
                      <w:u w:val="none"/>
                      <w:vertAlign w:val="baseline"/>
                      <w:lang w:val="en-US" w:eastAsia="zh-CN" w:bidi="ar-SA"/>
                    </w:rPr>
                    <w:t>医疗机构签定回收合同，项目仅回收加工未被患者血液、体液和排泄物等污染的输液瓶（袋），医疗机构应</w:t>
                  </w:r>
                  <w:r>
                    <w:rPr>
                      <w:rFonts w:hint="default" w:ascii="Times New Roman" w:hAnsi="Times New Roman" w:eastAsia="宋体" w:cs="Times New Roman"/>
                      <w:b w:val="0"/>
                      <w:bCs w:val="0"/>
                      <w:color w:val="auto"/>
                      <w:kern w:val="2"/>
                      <w:sz w:val="21"/>
                      <w:szCs w:val="21"/>
                      <w:u w:val="none"/>
                      <w:vertAlign w:val="baseline"/>
                      <w:lang w:val="en-US" w:eastAsia="zh-CN" w:bidi="ar-SA"/>
                    </w:rPr>
                    <w:t>制定具体的分类收集清单</w:t>
                  </w:r>
                  <w:r>
                    <w:rPr>
                      <w:rFonts w:hint="eastAsia" w:ascii="Times New Roman" w:hAnsi="Times New Roman" w:eastAsia="宋体" w:cs="Times New Roman"/>
                      <w:b w:val="0"/>
                      <w:bCs w:val="0"/>
                      <w:color w:val="auto"/>
                      <w:kern w:val="2"/>
                      <w:sz w:val="21"/>
                      <w:szCs w:val="21"/>
                      <w:u w:val="none"/>
                      <w:vertAlign w:val="baseline"/>
                      <w:lang w:val="en-US" w:eastAsia="zh-CN" w:bidi="ar-SA"/>
                    </w:rPr>
                    <w:t>，</w:t>
                  </w:r>
                  <w:r>
                    <w:rPr>
                      <w:rFonts w:hint="default" w:ascii="Times New Roman" w:hAnsi="Times New Roman" w:eastAsia="宋体" w:cs="Times New Roman"/>
                      <w:b w:val="0"/>
                      <w:bCs w:val="0"/>
                      <w:color w:val="auto"/>
                      <w:kern w:val="2"/>
                      <w:sz w:val="21"/>
                      <w:szCs w:val="21"/>
                      <w:u w:val="none"/>
                      <w:vertAlign w:val="baseline"/>
                      <w:lang w:val="en-US" w:eastAsia="zh-CN" w:bidi="ar-SA"/>
                    </w:rPr>
                    <w:t>依法向生态环境部门申报医疗废物的种类、产生量、流向、贮存和处置等情况</w:t>
                  </w:r>
                  <w:r>
                    <w:rPr>
                      <w:rFonts w:hint="eastAsia" w:ascii="Times New Roman" w:hAnsi="Times New Roman" w:eastAsia="宋体" w:cs="Times New Roman"/>
                      <w:b w:val="0"/>
                      <w:bCs w:val="0"/>
                      <w:color w:val="auto"/>
                      <w:kern w:val="2"/>
                      <w:sz w:val="21"/>
                      <w:szCs w:val="21"/>
                      <w:u w:val="none"/>
                      <w:vertAlign w:val="baseline"/>
                      <w:lang w:val="en-US" w:eastAsia="zh-CN" w:bidi="ar-SA"/>
                    </w:rPr>
                    <w:t>，明确本项目不利用属于医疗废物和危险废物的废塑料。</w:t>
                  </w:r>
                </w:p>
              </w:tc>
              <w:tc>
                <w:tcPr>
                  <w:tcW w:w="640" w:type="pct"/>
                  <w:tcBorders>
                    <w:tl2br w:val="nil"/>
                    <w:tr2bl w:val="nil"/>
                  </w:tcBorders>
                  <w:vAlign w:val="center"/>
                </w:tcPr>
                <w:p w14:paraId="145878AA">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符合</w:t>
                  </w:r>
                </w:p>
              </w:tc>
            </w:tr>
            <w:tr w14:paraId="0DB28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4" w:type="pct"/>
                  <w:tcBorders>
                    <w:tl2br w:val="nil"/>
                    <w:tr2bl w:val="nil"/>
                  </w:tcBorders>
                  <w:vAlign w:val="center"/>
                </w:tcPr>
                <w:p w14:paraId="7E13035E">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宋体" w:hAnsi="宋体" w:eastAsia="宋体" w:cs="宋体"/>
                      <w:b w:val="0"/>
                      <w:bCs w:val="0"/>
                      <w:i w:val="0"/>
                      <w:iCs w:val="0"/>
                      <w:caps w:val="0"/>
                      <w:color w:val="auto"/>
                      <w:spacing w:val="0"/>
                      <w:sz w:val="21"/>
                      <w:szCs w:val="21"/>
                      <w:shd w:val="clear" w:fill="FFFFFF"/>
                    </w:rPr>
                    <w:t>做好生活垃圾管理</w:t>
                  </w:r>
                </w:p>
              </w:tc>
              <w:tc>
                <w:tcPr>
                  <w:tcW w:w="2390" w:type="pct"/>
                  <w:tcBorders>
                    <w:tl2br w:val="nil"/>
                    <w:tr2bl w:val="nil"/>
                  </w:tcBorders>
                  <w:vAlign w:val="center"/>
                </w:tcPr>
                <w:p w14:paraId="0659D991">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宋体" w:hAnsi="宋体" w:eastAsia="宋体" w:cs="宋体"/>
                      <w:b w:val="0"/>
                      <w:bCs w:val="0"/>
                      <w:i w:val="0"/>
                      <w:iCs w:val="0"/>
                      <w:caps w:val="0"/>
                      <w:color w:val="auto"/>
                      <w:spacing w:val="0"/>
                      <w:sz w:val="21"/>
                      <w:szCs w:val="21"/>
                      <w:shd w:val="clear" w:fill="FFFFFF"/>
                    </w:rPr>
                    <w:t>医疗机构要严格落实生活垃圾分类管理有关政策，将非传染病患者或家属在就诊过程中产生的生活垃圾，以及医疗机构职工非医疗活动产生的生活垃圾，与医疗活动中产生的医疗废物、输液瓶（袋）等区别管理。做好医疗机构生活垃圾的接收、运输和处理工作。</w:t>
                  </w:r>
                </w:p>
              </w:tc>
              <w:tc>
                <w:tcPr>
                  <w:tcW w:w="1285" w:type="pct"/>
                  <w:vMerge w:val="continue"/>
                  <w:tcBorders>
                    <w:tl2br w:val="nil"/>
                    <w:tr2bl w:val="nil"/>
                  </w:tcBorders>
                  <w:vAlign w:val="center"/>
                </w:tcPr>
                <w:p w14:paraId="4A4D939D">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p>
              </w:tc>
              <w:tc>
                <w:tcPr>
                  <w:tcW w:w="640" w:type="pct"/>
                  <w:tcBorders>
                    <w:tl2br w:val="nil"/>
                    <w:tr2bl w:val="nil"/>
                  </w:tcBorders>
                  <w:vAlign w:val="center"/>
                </w:tcPr>
                <w:p w14:paraId="084B97E0">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符合</w:t>
                  </w:r>
                </w:p>
              </w:tc>
            </w:tr>
            <w:tr w14:paraId="155DF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4" w:type="pct"/>
                  <w:tcBorders>
                    <w:tl2br w:val="nil"/>
                    <w:tr2bl w:val="nil"/>
                  </w:tcBorders>
                  <w:vAlign w:val="center"/>
                </w:tcPr>
                <w:p w14:paraId="1A82DDE7">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宋体" w:hAnsi="宋体" w:eastAsia="宋体" w:cs="宋体"/>
                      <w:b w:val="0"/>
                      <w:bCs w:val="0"/>
                      <w:i w:val="0"/>
                      <w:iCs w:val="0"/>
                      <w:caps w:val="0"/>
                      <w:color w:val="auto"/>
                      <w:spacing w:val="0"/>
                      <w:sz w:val="21"/>
                      <w:szCs w:val="21"/>
                      <w:shd w:val="clear" w:fill="FFFFFF"/>
                    </w:rPr>
                    <w:t>做好输液瓶（袋）回收利用</w:t>
                  </w:r>
                </w:p>
              </w:tc>
              <w:tc>
                <w:tcPr>
                  <w:tcW w:w="2390" w:type="pct"/>
                  <w:tcBorders>
                    <w:tl2br w:val="nil"/>
                    <w:tr2bl w:val="nil"/>
                  </w:tcBorders>
                  <w:vAlign w:val="center"/>
                </w:tcPr>
                <w:p w14:paraId="426F1E9C">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宋体" w:hAnsi="宋体" w:eastAsia="宋体" w:cs="宋体"/>
                      <w:b w:val="0"/>
                      <w:bCs w:val="0"/>
                      <w:i w:val="0"/>
                      <w:iCs w:val="0"/>
                      <w:caps w:val="0"/>
                      <w:color w:val="auto"/>
                      <w:spacing w:val="0"/>
                      <w:sz w:val="21"/>
                      <w:szCs w:val="21"/>
                      <w:shd w:val="clear" w:fill="FFFFFF"/>
                    </w:rPr>
                    <w:t>按照“闭环管理、定点定向、全程追溯”的原则，明确医疗机构处理以及企业回收和利用的工作流程、技术规范和要求，用好用足现有标准，必要时做好标准制修订工作。</w:t>
                  </w:r>
                  <w:r>
                    <w:rPr>
                      <w:rFonts w:hint="eastAsia" w:ascii="宋体" w:hAnsi="宋体" w:eastAsia="宋体" w:cs="宋体"/>
                      <w:b w:val="0"/>
                      <w:bCs w:val="0"/>
                      <w:i w:val="0"/>
                      <w:iCs w:val="0"/>
                      <w:caps w:val="0"/>
                      <w:color w:val="auto"/>
                      <w:spacing w:val="0"/>
                      <w:sz w:val="21"/>
                      <w:szCs w:val="21"/>
                      <w:shd w:val="clear" w:fill="FFFFFF"/>
                      <w:lang w:val="en-US" w:eastAsia="zh-CN"/>
                    </w:rPr>
                    <w:t>……</w:t>
                  </w:r>
                  <w:r>
                    <w:rPr>
                      <w:rFonts w:hint="eastAsia" w:ascii="宋体" w:hAnsi="宋体" w:eastAsia="宋体" w:cs="宋体"/>
                      <w:b w:val="0"/>
                      <w:bCs w:val="0"/>
                      <w:i w:val="0"/>
                      <w:iCs w:val="0"/>
                      <w:caps w:val="0"/>
                      <w:color w:val="auto"/>
                      <w:spacing w:val="0"/>
                      <w:sz w:val="21"/>
                      <w:szCs w:val="21"/>
                      <w:shd w:val="clear" w:fill="FFFFFF"/>
                    </w:rPr>
                    <w:t>在回收和利用环节，由地方出台政策措施，确保辖区内分别至少有1家回收和利用企业或1家回收利用一体化企业，确保辖区内医疗机构输液瓶（袋）回收和利用全覆盖。充分利用第三方等平台，鼓励回收和利用企业一体化运作，连锁化、集团化、规模化经营。回收利用的输液瓶（袋）不得用于原用途，不得用于制造餐饮容器以及玩具等儿童用品，不得危害人体健康。</w:t>
                  </w:r>
                </w:p>
              </w:tc>
              <w:tc>
                <w:tcPr>
                  <w:tcW w:w="1285" w:type="pct"/>
                  <w:tcBorders>
                    <w:tl2br w:val="nil"/>
                    <w:tr2bl w:val="nil"/>
                  </w:tcBorders>
                  <w:vAlign w:val="center"/>
                </w:tcPr>
                <w:p w14:paraId="060F9ABA">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宋体" w:hAnsi="宋体" w:eastAsia="宋体" w:cs="宋体"/>
                      <w:b w:val="0"/>
                      <w:bCs w:val="0"/>
                      <w:i w:val="0"/>
                      <w:iCs w:val="0"/>
                      <w:caps w:val="0"/>
                      <w:color w:val="auto"/>
                      <w:spacing w:val="0"/>
                      <w:sz w:val="21"/>
                      <w:szCs w:val="21"/>
                      <w:shd w:val="clear" w:fill="FFFFFF"/>
                      <w:lang w:val="en-US" w:eastAsia="zh-CN"/>
                    </w:rPr>
                    <w:t>项目</w:t>
                  </w:r>
                  <w:r>
                    <w:rPr>
                      <w:rFonts w:hint="eastAsia" w:ascii="宋体" w:hAnsi="宋体" w:eastAsia="宋体" w:cs="宋体"/>
                      <w:b w:val="0"/>
                      <w:bCs w:val="0"/>
                      <w:i w:val="0"/>
                      <w:iCs w:val="0"/>
                      <w:caps w:val="0"/>
                      <w:color w:val="auto"/>
                      <w:spacing w:val="0"/>
                      <w:sz w:val="21"/>
                      <w:szCs w:val="21"/>
                      <w:shd w:val="clear" w:fill="FFFFFF"/>
                    </w:rPr>
                    <w:t>回收利用的输液瓶（袋）不得用于原用途，不得用于制造餐饮容器以及玩具等儿童用品，</w:t>
                  </w:r>
                  <w:r>
                    <w:rPr>
                      <w:rFonts w:hint="eastAsia" w:ascii="Times New Roman" w:hAnsi="Times New Roman" w:eastAsia="宋体" w:cs="Times New Roman"/>
                      <w:b w:val="0"/>
                      <w:bCs w:val="0"/>
                      <w:color w:val="auto"/>
                      <w:kern w:val="2"/>
                      <w:sz w:val="21"/>
                      <w:szCs w:val="21"/>
                      <w:u w:val="none"/>
                      <w:vertAlign w:val="baseline"/>
                      <w:lang w:val="en-US" w:eastAsia="zh-CN" w:bidi="ar-SA"/>
                    </w:rPr>
                    <w:t>用于其他用途时应符合不危害人体健康的原则。</w:t>
                  </w:r>
                </w:p>
              </w:tc>
              <w:tc>
                <w:tcPr>
                  <w:tcW w:w="640" w:type="pct"/>
                  <w:tcBorders>
                    <w:tl2br w:val="nil"/>
                    <w:tr2bl w:val="nil"/>
                  </w:tcBorders>
                  <w:vAlign w:val="center"/>
                </w:tcPr>
                <w:p w14:paraId="3BFEB7DD">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符合</w:t>
                  </w:r>
                </w:p>
              </w:tc>
            </w:tr>
          </w:tbl>
          <w:p w14:paraId="0CD5A088">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0"/>
              <w:textAlignment w:val="auto"/>
              <w:rPr>
                <w:rFonts w:hint="default" w:ascii="Times New Roman" w:hAnsi="Times New Roman" w:eastAsia="宋体" w:cs="Times New Roman"/>
                <w:b/>
                <w:color w:val="auto"/>
                <w:kern w:val="0"/>
                <w:sz w:val="24"/>
                <w:szCs w:val="24"/>
                <w:highlight w:val="none"/>
                <w:lang w:val="en-US" w:eastAsia="zh-CN" w:bidi="ar-SA"/>
              </w:rPr>
            </w:pPr>
            <w:r>
              <w:rPr>
                <w:rFonts w:hint="eastAsia" w:ascii="Times New Roman" w:hAnsi="Times New Roman" w:eastAsia="宋体" w:cs="Times New Roman"/>
                <w:b/>
                <w:color w:val="auto"/>
                <w:kern w:val="0"/>
                <w:sz w:val="24"/>
                <w:szCs w:val="24"/>
                <w:highlight w:val="none"/>
                <w:lang w:val="en-US" w:eastAsia="zh-CN" w:bidi="ar-SA"/>
              </w:rPr>
              <w:t>10、与《福建省卫生健康委员会办公室关于重申加强使用后未被污染输液瓶（袋）管理工作的通知》（闽卫办医政函〔2017〕7号）</w:t>
            </w:r>
            <w:r>
              <w:rPr>
                <w:rFonts w:hint="default" w:ascii="Times New Roman" w:hAnsi="Times New Roman" w:eastAsia="宋体" w:cs="Times New Roman"/>
                <w:b/>
                <w:color w:val="auto"/>
                <w:kern w:val="0"/>
                <w:sz w:val="24"/>
                <w:szCs w:val="24"/>
                <w:highlight w:val="none"/>
                <w:lang w:val="en-US" w:eastAsia="zh-CN" w:bidi="ar-SA"/>
              </w:rPr>
              <w:t>相符性分析</w:t>
            </w:r>
          </w:p>
          <w:p w14:paraId="7F4D9184">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黑体" w:cs="Times New Roman"/>
                <w:color w:val="auto"/>
                <w:kern w:val="2"/>
                <w:sz w:val="24"/>
                <w:szCs w:val="24"/>
                <w:u w:val="none"/>
                <w:lang w:val="en-US" w:eastAsia="zh-CN" w:bidi="ar-SA"/>
              </w:rPr>
            </w:pPr>
          </w:p>
          <w:p w14:paraId="15722A0B">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黑体" w:cs="Times New Roman"/>
                <w:color w:val="auto"/>
                <w:kern w:val="2"/>
                <w:sz w:val="24"/>
                <w:szCs w:val="24"/>
                <w:u w:val="none"/>
                <w:lang w:val="en-US" w:eastAsia="zh-CN" w:bidi="ar-SA"/>
              </w:rPr>
            </w:pPr>
          </w:p>
          <w:p w14:paraId="7EFF0F77">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黑体" w:cs="Times New Roman"/>
                <w:color w:val="auto"/>
                <w:kern w:val="2"/>
                <w:sz w:val="24"/>
                <w:szCs w:val="24"/>
                <w:u w:val="none"/>
                <w:lang w:val="en-US" w:eastAsia="zh-CN" w:bidi="ar-SA"/>
              </w:rPr>
            </w:pPr>
          </w:p>
          <w:p w14:paraId="3920EA6B">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黑体" w:cs="Times New Roman"/>
                <w:color w:val="auto"/>
                <w:kern w:val="2"/>
                <w:sz w:val="24"/>
                <w:szCs w:val="24"/>
                <w:u w:val="none"/>
                <w:lang w:val="en-US" w:eastAsia="zh-CN" w:bidi="ar-SA"/>
              </w:rPr>
            </w:pPr>
          </w:p>
          <w:p w14:paraId="79288F3B">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黑体" w:cs="Times New Roman"/>
                <w:color w:val="auto"/>
                <w:kern w:val="2"/>
                <w:sz w:val="24"/>
                <w:szCs w:val="24"/>
                <w:u w:val="none"/>
                <w:lang w:val="en-US" w:eastAsia="zh-CN" w:bidi="ar-SA"/>
              </w:rPr>
            </w:pPr>
          </w:p>
          <w:p w14:paraId="436DBD23">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黑体" w:cs="Times New Roman"/>
                <w:color w:val="auto"/>
                <w:kern w:val="2"/>
                <w:sz w:val="24"/>
                <w:szCs w:val="24"/>
                <w:u w:val="none"/>
                <w:lang w:val="en-US" w:eastAsia="zh-CN" w:bidi="ar-SA"/>
              </w:rPr>
            </w:pPr>
          </w:p>
          <w:p w14:paraId="60BCE61D">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color w:val="auto"/>
                <w:kern w:val="2"/>
                <w:sz w:val="24"/>
                <w:szCs w:val="24"/>
                <w:u w:val="none"/>
                <w:vertAlign w:val="baseline"/>
                <w:lang w:val="en-US" w:eastAsia="zh-CN" w:bidi="ar-SA"/>
              </w:rPr>
            </w:pPr>
            <w:r>
              <w:rPr>
                <w:rFonts w:hint="eastAsia" w:ascii="Times New Roman" w:hAnsi="Times New Roman" w:eastAsia="黑体" w:cs="Times New Roman"/>
                <w:color w:val="auto"/>
                <w:kern w:val="2"/>
                <w:sz w:val="24"/>
                <w:szCs w:val="24"/>
                <w:u w:val="none"/>
                <w:lang w:val="en-US" w:eastAsia="zh-CN" w:bidi="ar-SA"/>
              </w:rPr>
              <w:t>表1-9 与《福建省卫生健康委员会办公室关于重申加强使用后未被污染输液瓶（袋）管理工作的通知》的符合性分析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8"/>
              <w:gridCol w:w="2293"/>
              <w:gridCol w:w="1142"/>
            </w:tblGrid>
            <w:tr w14:paraId="2F02C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0" w:type="pct"/>
                  <w:tcBorders>
                    <w:tl2br w:val="nil"/>
                    <w:tr2bl w:val="nil"/>
                  </w:tcBorders>
                  <w:vAlign w:val="center"/>
                </w:tcPr>
                <w:p w14:paraId="12E05F7A">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相关要求</w:t>
                  </w:r>
                </w:p>
              </w:tc>
              <w:tc>
                <w:tcPr>
                  <w:tcW w:w="1488" w:type="pct"/>
                  <w:tcBorders>
                    <w:tl2br w:val="nil"/>
                    <w:tr2bl w:val="nil"/>
                  </w:tcBorders>
                  <w:vAlign w:val="center"/>
                </w:tcPr>
                <w:p w14:paraId="52CAED63">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本项目情况</w:t>
                  </w:r>
                </w:p>
              </w:tc>
              <w:tc>
                <w:tcPr>
                  <w:tcW w:w="741" w:type="pct"/>
                  <w:tcBorders>
                    <w:tl2br w:val="nil"/>
                    <w:tr2bl w:val="nil"/>
                  </w:tcBorders>
                  <w:vAlign w:val="center"/>
                </w:tcPr>
                <w:p w14:paraId="2465539C">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kern w:val="2"/>
                      <w:sz w:val="21"/>
                      <w:szCs w:val="21"/>
                      <w:u w:val="none"/>
                      <w:vertAlign w:val="baseline"/>
                      <w:lang w:val="en-US" w:eastAsia="zh-CN" w:bidi="ar-SA"/>
                    </w:rPr>
                    <w:t>相符性</w:t>
                  </w:r>
                </w:p>
              </w:tc>
            </w:tr>
            <w:tr w14:paraId="32463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0" w:type="pct"/>
                  <w:tcBorders>
                    <w:tl2br w:val="nil"/>
                    <w:tr2bl w:val="nil"/>
                  </w:tcBorders>
                  <w:vAlign w:val="center"/>
                </w:tcPr>
                <w:p w14:paraId="54F40F7D">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各医疗机构要通过遴选、评估，确定具体的回收企业，并签定回收合同，明确双方权利义务，确保存储、运输、处理过程中不丢失、不转卖。</w:t>
                  </w:r>
                </w:p>
              </w:tc>
              <w:tc>
                <w:tcPr>
                  <w:tcW w:w="1488" w:type="pct"/>
                  <w:tcBorders>
                    <w:tl2br w:val="nil"/>
                    <w:tr2bl w:val="nil"/>
                  </w:tcBorders>
                  <w:vAlign w:val="center"/>
                </w:tcPr>
                <w:p w14:paraId="07112439">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0"/>
                      <w:w w:val="100"/>
                      <w:sz w:val="21"/>
                      <w:szCs w:val="21"/>
                      <w:lang w:val="en-US" w:eastAsia="zh-CN"/>
                    </w:rPr>
                  </w:pPr>
                  <w:r>
                    <w:rPr>
                      <w:rFonts w:hint="eastAsia" w:ascii="Times New Roman" w:hAnsi="Times New Roman" w:eastAsia="宋体" w:cs="Times New Roman"/>
                      <w:color w:val="auto"/>
                      <w:spacing w:val="0"/>
                      <w:w w:val="100"/>
                      <w:sz w:val="21"/>
                      <w:szCs w:val="21"/>
                      <w:lang w:val="en-US" w:eastAsia="zh-CN"/>
                    </w:rPr>
                    <w:t>目前</w:t>
                  </w:r>
                  <w:r>
                    <w:rPr>
                      <w:rFonts w:hint="default" w:ascii="Times New Roman" w:hAnsi="Times New Roman" w:eastAsia="宋体" w:cs="Times New Roman"/>
                      <w:color w:val="auto"/>
                      <w:spacing w:val="0"/>
                      <w:w w:val="100"/>
                      <w:sz w:val="21"/>
                      <w:szCs w:val="21"/>
                    </w:rPr>
                    <w:t>本项目正在进行环境影响评价</w:t>
                  </w:r>
                  <w:r>
                    <w:rPr>
                      <w:rFonts w:hint="eastAsia" w:ascii="Times New Roman" w:hAnsi="Times New Roman" w:eastAsia="宋体" w:cs="Times New Roman"/>
                      <w:color w:val="auto"/>
                      <w:spacing w:val="0"/>
                      <w:w w:val="100"/>
                      <w:sz w:val="21"/>
                      <w:szCs w:val="21"/>
                      <w:lang w:eastAsia="zh-CN"/>
                    </w:rPr>
                    <w:t>，</w:t>
                  </w:r>
                  <w:r>
                    <w:rPr>
                      <w:rFonts w:hint="eastAsia" w:ascii="Times New Roman" w:hAnsi="Times New Roman" w:eastAsia="宋体" w:cs="Times New Roman"/>
                      <w:color w:val="auto"/>
                      <w:spacing w:val="0"/>
                      <w:w w:val="100"/>
                      <w:sz w:val="21"/>
                      <w:szCs w:val="21"/>
                      <w:lang w:val="en-US" w:eastAsia="zh-CN"/>
                    </w:rPr>
                    <w:t>待通过环境影响评价审批后，与各</w:t>
                  </w:r>
                  <w:r>
                    <w:rPr>
                      <w:rFonts w:hint="eastAsia" w:ascii="Times New Roman" w:hAnsi="Times New Roman" w:eastAsia="宋体" w:cs="Times New Roman"/>
                      <w:b w:val="0"/>
                      <w:bCs w:val="0"/>
                      <w:color w:val="auto"/>
                      <w:kern w:val="2"/>
                      <w:sz w:val="21"/>
                      <w:szCs w:val="21"/>
                      <w:u w:val="none"/>
                      <w:vertAlign w:val="baseline"/>
                      <w:lang w:val="en-US" w:eastAsia="zh-CN" w:bidi="ar-SA"/>
                    </w:rPr>
                    <w:t>医疗机构签定回收合同，回收加工未被污染的医用输液瓶（袋），确保存储、运输、处理过程中不丢失、不转卖。</w:t>
                  </w:r>
                </w:p>
              </w:tc>
              <w:tc>
                <w:tcPr>
                  <w:tcW w:w="741" w:type="pct"/>
                  <w:tcBorders>
                    <w:tl2br w:val="nil"/>
                    <w:tr2bl w:val="nil"/>
                  </w:tcBorders>
                  <w:vAlign w:val="center"/>
                </w:tcPr>
                <w:p w14:paraId="22B23C24">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符合</w:t>
                  </w:r>
                </w:p>
              </w:tc>
            </w:tr>
            <w:tr w14:paraId="2B0FA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0" w:type="pct"/>
                  <w:tcBorders>
                    <w:tl2br w:val="nil"/>
                    <w:tr2bl w:val="nil"/>
                  </w:tcBorders>
                  <w:vAlign w:val="center"/>
                </w:tcPr>
                <w:p w14:paraId="0D601E37">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回收企业必须是取得环保等合法审批手续，具有医疗废塑料、废玻璃输液瓶回收加工经营范围的企业。</w:t>
                  </w:r>
                </w:p>
              </w:tc>
              <w:tc>
                <w:tcPr>
                  <w:tcW w:w="1488" w:type="pct"/>
                  <w:vMerge w:val="restart"/>
                  <w:tcBorders>
                    <w:tl2br w:val="nil"/>
                    <w:tr2bl w:val="nil"/>
                  </w:tcBorders>
                  <w:vAlign w:val="center"/>
                </w:tcPr>
                <w:p w14:paraId="72F59B55">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color w:val="auto"/>
                      <w:spacing w:val="0"/>
                      <w:w w:val="100"/>
                      <w:sz w:val="21"/>
                      <w:szCs w:val="21"/>
                      <w:lang w:val="en-US" w:eastAsia="zh-CN"/>
                    </w:rPr>
                    <w:t>建设单位具备再生资源加工；非金属废料和碎屑加工处理的处置能力，目前</w:t>
                  </w:r>
                  <w:r>
                    <w:rPr>
                      <w:rFonts w:hint="default" w:ascii="Times New Roman" w:hAnsi="Times New Roman" w:eastAsia="宋体" w:cs="Times New Roman"/>
                      <w:color w:val="auto"/>
                      <w:spacing w:val="0"/>
                      <w:w w:val="100"/>
                      <w:sz w:val="21"/>
                      <w:szCs w:val="21"/>
                    </w:rPr>
                    <w:t>本项目正在进行环境影响评价</w:t>
                  </w:r>
                  <w:r>
                    <w:rPr>
                      <w:rFonts w:hint="eastAsia" w:ascii="Times New Roman" w:hAnsi="Times New Roman" w:eastAsia="宋体" w:cs="Times New Roman"/>
                      <w:color w:val="auto"/>
                      <w:spacing w:val="0"/>
                      <w:w w:val="100"/>
                      <w:sz w:val="21"/>
                      <w:szCs w:val="21"/>
                      <w:lang w:eastAsia="zh-CN"/>
                    </w:rPr>
                    <w:t>，</w:t>
                  </w:r>
                  <w:r>
                    <w:rPr>
                      <w:rFonts w:hint="default" w:ascii="Times New Roman" w:hAnsi="Times New Roman" w:eastAsia="宋体" w:cs="Times New Roman"/>
                      <w:color w:val="auto"/>
                      <w:spacing w:val="0"/>
                      <w:w w:val="100"/>
                      <w:sz w:val="21"/>
                      <w:szCs w:val="21"/>
                    </w:rPr>
                    <w:t>要求建设单位按照要求配套相应环境保护措施，编制环境风险应急预案，并依法进行竣工环境保护验收。</w:t>
                  </w:r>
                </w:p>
              </w:tc>
              <w:tc>
                <w:tcPr>
                  <w:tcW w:w="741" w:type="pct"/>
                  <w:tcBorders>
                    <w:tl2br w:val="nil"/>
                    <w:tr2bl w:val="nil"/>
                  </w:tcBorders>
                  <w:vAlign w:val="center"/>
                </w:tcPr>
                <w:p w14:paraId="420D3A35">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符合</w:t>
                  </w:r>
                </w:p>
              </w:tc>
            </w:tr>
            <w:tr w14:paraId="068DA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0" w:type="pct"/>
                  <w:tcBorders>
                    <w:tl2br w:val="nil"/>
                    <w:tr2bl w:val="nil"/>
                  </w:tcBorders>
                  <w:vAlign w:val="center"/>
                </w:tcPr>
                <w:p w14:paraId="106F2642">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使用后未被污染输液瓶（袋）要统一回收，各科室、部门不得私自对外转运，不得外转给自身没有加工能力的普通废品回收企业。严禁将使用后未被污染输液瓶（袋）出售给个体商贩。</w:t>
                  </w:r>
                </w:p>
              </w:tc>
              <w:tc>
                <w:tcPr>
                  <w:tcW w:w="1488" w:type="pct"/>
                  <w:vMerge w:val="continue"/>
                  <w:tcBorders>
                    <w:tl2br w:val="nil"/>
                    <w:tr2bl w:val="nil"/>
                  </w:tcBorders>
                  <w:vAlign w:val="center"/>
                </w:tcPr>
                <w:p w14:paraId="14740A2B">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p>
              </w:tc>
              <w:tc>
                <w:tcPr>
                  <w:tcW w:w="741" w:type="pct"/>
                  <w:tcBorders>
                    <w:tl2br w:val="nil"/>
                    <w:tr2bl w:val="nil"/>
                  </w:tcBorders>
                  <w:vAlign w:val="center"/>
                </w:tcPr>
                <w:p w14:paraId="005A7BA2">
                  <w:pPr>
                    <w:pStyle w:val="13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符合</w:t>
                  </w:r>
                </w:p>
              </w:tc>
            </w:tr>
          </w:tbl>
          <w:p w14:paraId="08F0E4AE">
            <w:pPr>
              <w:autoSpaceDE w:val="0"/>
              <w:autoSpaceDN w:val="0"/>
              <w:adjustRightInd w:val="0"/>
              <w:snapToGrid w:val="0"/>
              <w:jc w:val="center"/>
              <w:rPr>
                <w:rFonts w:hint="default" w:ascii="Times New Roman" w:hAnsi="Times New Roman" w:eastAsia="宋体" w:cs="Times New Roman"/>
                <w:color w:val="auto"/>
                <w:kern w:val="0"/>
                <w:szCs w:val="21"/>
              </w:rPr>
            </w:pPr>
          </w:p>
        </w:tc>
      </w:tr>
    </w:tbl>
    <w:p w14:paraId="617282C6">
      <w:pPr>
        <w:pStyle w:val="22"/>
        <w:jc w:val="center"/>
        <w:outlineLvl w:val="9"/>
        <w:rPr>
          <w:rFonts w:hint="default" w:ascii="Times New Roman" w:hAnsi="Times New Roman" w:eastAsia="宋体" w:cs="Times New Roman"/>
          <w:snapToGrid w:val="0"/>
          <w:color w:val="auto"/>
          <w:sz w:val="30"/>
          <w:szCs w:val="30"/>
        </w:rPr>
        <w:sectPr>
          <w:footerReference r:id="rId10"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2566333">
      <w:pPr>
        <w:pStyle w:val="22"/>
        <w:jc w:val="center"/>
        <w:outlineLvl w:val="0"/>
        <w:rPr>
          <w:rFonts w:hint="default" w:ascii="Times New Roman" w:hAnsi="Times New Roman" w:eastAsia="宋体" w:cs="Times New Roman"/>
          <w:snapToGrid w:val="0"/>
          <w:color w:val="auto"/>
          <w:sz w:val="30"/>
          <w:szCs w:val="30"/>
        </w:rPr>
      </w:pPr>
      <w:bookmarkStart w:id="15" w:name="_Toc29409"/>
      <w:r>
        <w:rPr>
          <w:rFonts w:hint="default" w:ascii="Times New Roman" w:hAnsi="Times New Roman" w:eastAsia="黑体" w:cs="Times New Roman"/>
          <w:snapToGrid w:val="0"/>
          <w:color w:val="auto"/>
          <w:sz w:val="30"/>
          <w:szCs w:val="30"/>
        </w:rPr>
        <w:t>二、建设项目工程分析</w:t>
      </w:r>
      <w:bookmarkEnd w:id="15"/>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8468"/>
      </w:tblGrid>
      <w:tr w14:paraId="05461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2" w:hRule="atLeast"/>
          <w:jc w:val="center"/>
        </w:trPr>
        <w:tc>
          <w:tcPr>
            <w:tcW w:w="327" w:type="pct"/>
            <w:noWrap w:val="0"/>
            <w:vAlign w:val="center"/>
          </w:tcPr>
          <w:p w14:paraId="4A65C438">
            <w:pPr>
              <w:pStyle w:val="10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w:t>
            </w:r>
          </w:p>
          <w:p w14:paraId="5163CA38">
            <w:pPr>
              <w:pStyle w:val="10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内容</w:t>
            </w:r>
          </w:p>
        </w:tc>
        <w:tc>
          <w:tcPr>
            <w:tcW w:w="4672" w:type="pct"/>
            <w:noWrap w:val="0"/>
            <w:vAlign w:val="top"/>
          </w:tcPr>
          <w:p w14:paraId="7E9277DC">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 项目由来</w:t>
            </w:r>
          </w:p>
          <w:p w14:paraId="40D42A00">
            <w:pPr>
              <w:pStyle w:val="8"/>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福州市福清亿树资源再生有限公司</w:t>
            </w:r>
            <w:r>
              <w:rPr>
                <w:rFonts w:hint="default" w:ascii="Times New Roman" w:hAnsi="Times New Roman" w:eastAsia="宋体" w:cs="Times New Roman"/>
                <w:color w:val="auto"/>
                <w:sz w:val="24"/>
                <w:szCs w:val="24"/>
                <w:highlight w:val="none"/>
                <w:lang w:val="en-US" w:eastAsia="zh-CN"/>
              </w:rPr>
              <w:t>成立于</w:t>
            </w:r>
            <w:r>
              <w:rPr>
                <w:rFonts w:hint="default" w:ascii="Times New Roman" w:hAnsi="Times New Roman" w:cs="Times New Roman"/>
                <w:color w:val="auto"/>
                <w:sz w:val="24"/>
                <w:szCs w:val="24"/>
                <w:highlight w:val="none"/>
                <w:lang w:val="en-US" w:eastAsia="zh-CN"/>
              </w:rPr>
              <w:t>2025年10月21日</w:t>
            </w:r>
            <w:r>
              <w:rPr>
                <w:rFonts w:hint="default" w:ascii="Times New Roman" w:hAnsi="Times New Roman" w:eastAsia="宋体" w:cs="Times New Roman"/>
                <w:color w:val="auto"/>
                <w:sz w:val="24"/>
                <w:szCs w:val="24"/>
                <w:highlight w:val="none"/>
                <w:lang w:val="en-US" w:eastAsia="zh-CN"/>
              </w:rPr>
              <w:t>，法定代表人</w:t>
            </w:r>
            <w:r>
              <w:rPr>
                <w:rFonts w:hint="default" w:ascii="Times New Roman" w:hAnsi="Times New Roman" w:cs="Times New Roman"/>
                <w:color w:val="auto"/>
                <w:sz w:val="24"/>
                <w:szCs w:val="24"/>
                <w:highlight w:val="none"/>
                <w:lang w:eastAsia="zh-CN"/>
              </w:rPr>
              <w:t>林秀武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注册资金</w:t>
            </w:r>
            <w:r>
              <w:rPr>
                <w:rFonts w:hint="default" w:ascii="Times New Roman" w:hAnsi="Times New Roman" w:eastAsia="宋体" w:cs="Times New Roman"/>
                <w:color w:val="auto"/>
                <w:sz w:val="24"/>
                <w:szCs w:val="24"/>
                <w:highlight w:val="none"/>
                <w:lang w:val="en-US" w:eastAsia="zh-CN"/>
              </w:rPr>
              <w:t>200万元整，是一家专业</w:t>
            </w:r>
            <w:r>
              <w:rPr>
                <w:rFonts w:hint="default" w:ascii="Times New Roman" w:hAnsi="Times New Roman" w:eastAsia="宋体" w:cs="Times New Roman"/>
                <w:color w:val="auto"/>
                <w:sz w:val="24"/>
                <w:szCs w:val="24"/>
                <w:highlight w:val="none"/>
                <w:lang w:eastAsia="zh-CN"/>
              </w:rPr>
              <w:t>从事再生资源加工；非金属废料和碎屑加工处理；再生资源回收</w:t>
            </w:r>
            <w:r>
              <w:rPr>
                <w:rFonts w:hint="default" w:ascii="Times New Roman" w:hAnsi="Times New Roman" w:cs="Times New Roman"/>
                <w:color w:val="auto"/>
                <w:sz w:val="24"/>
                <w:szCs w:val="24"/>
                <w:highlight w:val="none"/>
                <w:lang w:eastAsia="zh-CN"/>
              </w:rPr>
              <w:t>的</w:t>
            </w:r>
            <w:r>
              <w:rPr>
                <w:rFonts w:hint="default" w:ascii="Times New Roman" w:hAnsi="Times New Roman"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(营业执照和法</w:t>
            </w:r>
            <w:r>
              <w:rPr>
                <w:rFonts w:hint="default" w:ascii="Times New Roman" w:hAnsi="Times New Roman" w:eastAsia="宋体" w:cs="Times New Roman"/>
                <w:color w:val="auto"/>
                <w:sz w:val="24"/>
                <w:szCs w:val="24"/>
                <w:highlight w:val="none"/>
                <w:lang w:eastAsia="zh-CN"/>
              </w:rPr>
              <w:t>定代表</w:t>
            </w:r>
            <w:r>
              <w:rPr>
                <w:rFonts w:hint="default" w:ascii="Times New Roman" w:hAnsi="Times New Roman" w:eastAsia="宋体" w:cs="Times New Roman"/>
                <w:color w:val="auto"/>
                <w:sz w:val="24"/>
                <w:szCs w:val="24"/>
                <w:highlight w:val="none"/>
              </w:rPr>
              <w:t>人身份证详见</w:t>
            </w:r>
            <w:r>
              <w:rPr>
                <w:rFonts w:hint="default" w:ascii="Times New Roman" w:hAnsi="Times New Roman" w:eastAsia="宋体" w:cs="Times New Roman"/>
                <w:color w:val="auto"/>
                <w:sz w:val="24"/>
                <w:szCs w:val="24"/>
                <w:highlight w:val="none"/>
                <w:lang w:eastAsia="zh-CN"/>
              </w:rPr>
              <w:t>附件</w:t>
            </w:r>
            <w:r>
              <w:rPr>
                <w:rFonts w:hint="eastAsia" w:ascii="Times New Roman" w:hAnsi="Times New Roman"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p>
          <w:p w14:paraId="2C7ADF58">
            <w:pPr>
              <w:pStyle w:val="8"/>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随着社会经济的迅猛发展，塑料瓶（袋）作为输液瓶（袋）被广泛地应用于各级医疗机构和诊疗环节。在医疗机构数量稳定增长和诊疗人数高位运行的情况下，其使用后被浪费的可回收资源和其消耗量一样庞大，医疗资源可回收利用需求空间巨大，综合处理行业存在极大的发展前景。目前福建省有医疗机构众多，但与其不匹配的一次性输液瓶（袋）回收处理企业很少，处理前景巨大。由于目前医疗机构针对使用后的一次性输液瓶（袋）的管理和处理方式不统一、回收处理机构鱼龙混杂，导致废弃的输液瓶（袋）去向用途不明</w:t>
            </w:r>
            <w:r>
              <w:rPr>
                <w:rFonts w:hint="eastAsia" w:cs="Times New Roman"/>
                <w:color w:val="auto"/>
                <w:sz w:val="24"/>
                <w:szCs w:val="24"/>
                <w:highlight w:val="none"/>
                <w:lang w:val="en-US" w:eastAsia="zh-CN"/>
              </w:rPr>
              <w:t>。</w:t>
            </w:r>
          </w:p>
          <w:p w14:paraId="64C1CCE1">
            <w:pPr>
              <w:pStyle w:val="8"/>
              <w:spacing w:line="360" w:lineRule="auto"/>
              <w:ind w:firstLine="480" w:firstLineChars="200"/>
              <w:rPr>
                <w:rFonts w:hint="default"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福州市目前有</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家具备资质的未被污染输液瓶袋回收企业，</w:t>
            </w:r>
            <w:r>
              <w:rPr>
                <w:rFonts w:hint="eastAsia" w:ascii="Times New Roman" w:hAnsi="Times New Roman" w:eastAsia="宋体" w:cs="Times New Roman"/>
                <w:color w:val="auto"/>
                <w:sz w:val="24"/>
                <w:szCs w:val="24"/>
                <w:highlight w:val="none"/>
                <w:lang w:eastAsia="zh-CN"/>
              </w:rPr>
              <w:t>2024年福州已有医疗卫生机构5688个、床位5.23万张，2025年还计划将每千常住人口床位数提升至6.3张。按单家三甲医院年产生此类废弃物约</w:t>
            </w:r>
            <w:r>
              <w:rPr>
                <w:rFonts w:hint="eastAsia" w:cs="Times New Roman"/>
                <w:color w:val="auto"/>
                <w:sz w:val="24"/>
                <w:szCs w:val="24"/>
                <w:highlight w:val="none"/>
                <w:lang w:val="en-US" w:eastAsia="zh-CN"/>
              </w:rPr>
              <w:t>70</w:t>
            </w:r>
            <w:r>
              <w:rPr>
                <w:rFonts w:hint="eastAsia" w:ascii="Times New Roman" w:hAnsi="Times New Roman" w:eastAsia="宋体" w:cs="Times New Roman"/>
                <w:color w:val="auto"/>
                <w:sz w:val="24"/>
                <w:szCs w:val="24"/>
                <w:highlight w:val="none"/>
                <w:lang w:eastAsia="zh-CN"/>
              </w:rPr>
              <w:t>吨、基层医疗机构平均年产生数吨的保守估算，再结合福州超5600家医疗机构的体量，全市年产量大概率在</w:t>
            </w:r>
            <w:r>
              <w:rPr>
                <w:rFonts w:hint="eastAsia" w:cs="Times New Roman"/>
                <w:color w:val="auto"/>
                <w:sz w:val="24"/>
                <w:szCs w:val="24"/>
                <w:highlight w:val="none"/>
                <w:lang w:val="en-US" w:eastAsia="zh-CN"/>
              </w:rPr>
              <w:t>3万吨以上</w:t>
            </w:r>
            <w:r>
              <w:rPr>
                <w:rFonts w:hint="eastAsia" w:cs="Times New Roman"/>
                <w:color w:val="auto"/>
                <w:sz w:val="24"/>
                <w:szCs w:val="24"/>
                <w:highlight w:val="none"/>
                <w:lang w:eastAsia="zh-CN"/>
              </w:rPr>
              <w:t>且</w:t>
            </w:r>
            <w:r>
              <w:rPr>
                <w:rFonts w:hint="eastAsia" w:ascii="Times New Roman" w:hAnsi="Times New Roman" w:eastAsia="宋体" w:cs="Times New Roman"/>
                <w:color w:val="auto"/>
                <w:sz w:val="24"/>
                <w:szCs w:val="24"/>
                <w:highlight w:val="none"/>
                <w:lang w:eastAsia="zh-CN"/>
              </w:rPr>
              <w:t>会随医疗床位和就诊量的增加而稳步上升。而从当地回收企业的产能来看，仅</w:t>
            </w:r>
            <w:r>
              <w:rPr>
                <w:rFonts w:ascii="Segoe UI" w:hAnsi="Segoe UI" w:eastAsia="Segoe UI" w:cs="Segoe UI"/>
                <w:i w:val="0"/>
                <w:iCs w:val="0"/>
                <w:caps w:val="0"/>
                <w:color w:val="auto"/>
                <w:spacing w:val="0"/>
                <w:sz w:val="24"/>
                <w:szCs w:val="24"/>
                <w:highlight w:val="none"/>
                <w:shd w:val="clear" w:fill="FFFFFF"/>
              </w:rPr>
              <w:t>福建省洪福环保科技有限公司</w:t>
            </w:r>
            <w:r>
              <w:rPr>
                <w:rFonts w:hint="eastAsia" w:ascii="Times New Roman" w:hAnsi="Times New Roman" w:eastAsia="宋体" w:cs="Times New Roman"/>
                <w:color w:val="auto"/>
                <w:sz w:val="24"/>
                <w:szCs w:val="24"/>
                <w:highlight w:val="none"/>
                <w:lang w:eastAsia="zh-CN"/>
              </w:rPr>
              <w:t>和福建省小树林环保科技有限公司两家企业的合计年回收能力就达</w:t>
            </w:r>
            <w:r>
              <w:rPr>
                <w:rFonts w:hint="eastAsia" w:ascii="Times New Roman" w:hAnsi="Times New Roman" w:eastAsia="宋体" w:cs="Times New Roman"/>
                <w:color w:val="auto"/>
                <w:sz w:val="24"/>
                <w:szCs w:val="24"/>
                <w:highlight w:val="none"/>
                <w:lang w:val="en-US" w:eastAsia="zh-CN"/>
              </w:rPr>
              <w:t>近</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万</w:t>
            </w:r>
            <w:r>
              <w:rPr>
                <w:rFonts w:hint="eastAsia" w:ascii="Times New Roman" w:hAnsi="Times New Roman" w:eastAsia="宋体" w:cs="Times New Roman"/>
                <w:color w:val="auto"/>
                <w:sz w:val="24"/>
                <w:szCs w:val="24"/>
                <w:highlight w:val="none"/>
                <w:lang w:eastAsia="zh-CN"/>
              </w:rPr>
              <w:t>吨</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福州市尚有部分未被回收处置的</w:t>
            </w:r>
            <w:r>
              <w:rPr>
                <w:rFonts w:hint="default" w:ascii="Times New Roman" w:hAnsi="Times New Roman" w:eastAsia="宋体" w:cs="Times New Roman"/>
                <w:color w:val="auto"/>
                <w:sz w:val="24"/>
                <w:szCs w:val="24"/>
                <w:highlight w:val="none"/>
                <w:lang w:eastAsia="zh-CN"/>
              </w:rPr>
              <w:t>未被污染输液瓶袋</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因此，本项目的服务范围扩大到福建省内各级医疗机构，回收其未被污染的医用输液瓶（袋）。</w:t>
            </w:r>
          </w:p>
          <w:p w14:paraId="5FF8A1E3">
            <w:pPr>
              <w:pStyle w:val="8"/>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鉴于当前市场前景与国家政策情况下，福州市福清亿树资源再生有限公司</w:t>
            </w:r>
            <w:r>
              <w:rPr>
                <w:rFonts w:hint="default" w:ascii="Times New Roman" w:hAnsi="Times New Roman" w:eastAsia="宋体" w:cs="Times New Roman"/>
                <w:color w:val="auto"/>
                <w:sz w:val="24"/>
                <w:szCs w:val="24"/>
                <w:highlight w:val="none"/>
                <w:lang w:val="en-US" w:eastAsia="zh-CN"/>
              </w:rPr>
              <w:t>为提高企业竞争力，</w:t>
            </w:r>
            <w:r>
              <w:rPr>
                <w:rFonts w:hint="default" w:ascii="Times New Roman" w:hAnsi="Times New Roman" w:eastAsia="宋体" w:cs="Times New Roman"/>
                <w:i w:val="0"/>
                <w:iCs w:val="0"/>
                <w:caps w:val="0"/>
                <w:color w:val="auto"/>
                <w:spacing w:val="0"/>
                <w:sz w:val="24"/>
                <w:szCs w:val="24"/>
                <w:u w:val="none"/>
                <w:shd w:val="clear" w:color="auto" w:fill="FFFFFF"/>
                <w:lang w:eastAsia="zh-CN"/>
              </w:rPr>
              <w:t>拟投资</w:t>
            </w:r>
            <w:r>
              <w:rPr>
                <w:rFonts w:hint="default" w:ascii="Times New Roman" w:hAnsi="Times New Roman" w:cs="Times New Roman"/>
                <w:i w:val="0"/>
                <w:iCs w:val="0"/>
                <w:caps w:val="0"/>
                <w:color w:val="auto"/>
                <w:spacing w:val="0"/>
                <w:sz w:val="24"/>
                <w:szCs w:val="24"/>
                <w:u w:val="none"/>
                <w:shd w:val="clear" w:color="auto" w:fill="FFFFFF"/>
                <w:lang w:val="en-US" w:eastAsia="zh-CN"/>
              </w:rPr>
              <w:t>1</w:t>
            </w:r>
            <w:r>
              <w:rPr>
                <w:rFonts w:hint="default" w:ascii="Times New Roman" w:hAnsi="Times New Roman" w:eastAsia="宋体" w:cs="Times New Roman"/>
                <w:i w:val="0"/>
                <w:iCs w:val="0"/>
                <w:caps w:val="0"/>
                <w:color w:val="auto"/>
                <w:spacing w:val="0"/>
                <w:sz w:val="24"/>
                <w:szCs w:val="24"/>
                <w:highlight w:val="none"/>
                <w:u w:val="none"/>
                <w:shd w:val="clear" w:color="auto" w:fill="FFFFFF"/>
                <w:lang w:val="en-US" w:eastAsia="zh-CN"/>
              </w:rPr>
              <w:t>200</w:t>
            </w:r>
            <w:r>
              <w:rPr>
                <w:rFonts w:hint="default" w:ascii="Times New Roman" w:hAnsi="Times New Roman" w:eastAsia="宋体" w:cs="Times New Roman"/>
                <w:i w:val="0"/>
                <w:iCs w:val="0"/>
                <w:caps w:val="0"/>
                <w:color w:val="auto"/>
                <w:spacing w:val="0"/>
                <w:sz w:val="24"/>
                <w:szCs w:val="24"/>
                <w:u w:val="none"/>
                <w:shd w:val="clear" w:color="auto" w:fill="FFFFFF"/>
                <w:lang w:val="en-US" w:eastAsia="zh-CN"/>
              </w:rPr>
              <w:t>万元，选址于</w:t>
            </w:r>
            <w:r>
              <w:rPr>
                <w:rFonts w:hint="default" w:ascii="Times New Roman" w:hAnsi="Times New Roman" w:cs="Times New Roman"/>
                <w:color w:val="auto"/>
                <w:sz w:val="24"/>
              </w:rPr>
              <w:t>闽台(福州)蓝色经济产业园福建蓝谷海工装备产业综合体</w:t>
            </w:r>
            <w:r>
              <w:rPr>
                <w:rFonts w:hint="default" w:ascii="Times New Roman" w:hAnsi="Times New Roman" w:cs="Times New Roman"/>
                <w:color w:val="auto"/>
                <w:sz w:val="24"/>
                <w:lang w:eastAsia="zh-CN"/>
              </w:rPr>
              <w:t>B37厂房</w:t>
            </w:r>
            <w:r>
              <w:rPr>
                <w:rFonts w:hint="default" w:ascii="Times New Roman" w:hAnsi="Times New Roman" w:cs="Times New Roman"/>
                <w:color w:val="auto"/>
                <w:sz w:val="24"/>
              </w:rPr>
              <w:t>（租赁</w:t>
            </w:r>
            <w:r>
              <w:rPr>
                <w:rFonts w:hint="default" w:ascii="Times New Roman" w:hAnsi="Times New Roman" w:cs="Times New Roman"/>
                <w:color w:val="auto"/>
                <w:sz w:val="24"/>
                <w:lang w:eastAsia="zh-CN"/>
              </w:rPr>
              <w:t>福州锦佳商贸有限公司厂房</w:t>
            </w:r>
            <w:r>
              <w:rPr>
                <w:rFonts w:hint="default" w:ascii="Times New Roman" w:hAnsi="Times New Roman" w:cs="Times New Roman"/>
                <w:color w:val="auto"/>
                <w:sz w:val="24"/>
              </w:rPr>
              <w:t>整座）</w:t>
            </w:r>
            <w:r>
              <w:rPr>
                <w:rFonts w:hint="default" w:ascii="Times New Roman" w:hAnsi="Times New Roman" w:eastAsia="宋体" w:cs="Times New Roman"/>
                <w:i w:val="0"/>
                <w:iCs w:val="0"/>
                <w:caps w:val="0"/>
                <w:color w:val="auto"/>
                <w:spacing w:val="0"/>
                <w:sz w:val="24"/>
                <w:szCs w:val="24"/>
                <w:highlight w:val="none"/>
                <w:u w:val="none"/>
                <w:shd w:val="clear" w:color="auto" w:fill="FFFFFF"/>
                <w:lang w:val="en-US" w:eastAsia="zh-CN"/>
              </w:rPr>
              <w:t>作为生产经营场所（租赁协议详见附件五），租赁厂房面积</w:t>
            </w:r>
            <w:r>
              <w:rPr>
                <w:rFonts w:hint="default" w:ascii="Times New Roman" w:hAnsi="Times New Roman" w:cs="Times New Roman"/>
                <w:i w:val="0"/>
                <w:iCs w:val="0"/>
                <w:caps w:val="0"/>
                <w:color w:val="auto"/>
                <w:spacing w:val="0"/>
                <w:sz w:val="24"/>
                <w:szCs w:val="24"/>
                <w:highlight w:val="none"/>
                <w:u w:val="none"/>
                <w:shd w:val="clear" w:color="auto" w:fill="FFFFFF"/>
                <w:lang w:val="en-US" w:eastAsia="zh-CN"/>
              </w:rPr>
              <w:t>1723.62</w:t>
            </w:r>
            <w:r>
              <w:rPr>
                <w:rFonts w:hint="default" w:ascii="Times New Roman" w:hAnsi="Times New Roman" w:eastAsia="宋体" w:cs="Times New Roman"/>
                <w:i w:val="0"/>
                <w:iCs w:val="0"/>
                <w:caps w:val="0"/>
                <w:color w:val="auto"/>
                <w:spacing w:val="0"/>
                <w:sz w:val="24"/>
                <w:szCs w:val="24"/>
                <w:highlight w:val="none"/>
                <w:u w:val="none"/>
                <w:shd w:val="clear" w:color="auto" w:fill="FFFFFF"/>
                <w:lang w:val="en-US" w:eastAsia="zh-CN"/>
              </w:rPr>
              <w:t>平方米</w:t>
            </w:r>
            <w:r>
              <w:rPr>
                <w:rFonts w:hint="default" w:ascii="Times New Roman" w:hAnsi="Times New Roman" w:eastAsia="宋体" w:cs="Times New Roman"/>
                <w:i w:val="0"/>
                <w:iCs w:val="0"/>
                <w:caps w:val="0"/>
                <w:color w:val="auto"/>
                <w:spacing w:val="0"/>
                <w:sz w:val="24"/>
                <w:szCs w:val="24"/>
                <w:u w:val="none"/>
                <w:shd w:val="clear" w:color="auto" w:fill="FFFFFF"/>
                <w:lang w:val="en-US" w:eastAsia="zh-CN"/>
              </w:rPr>
              <w:t>，主要从事</w:t>
            </w:r>
            <w:r>
              <w:rPr>
                <w:rFonts w:hint="default" w:ascii="Times New Roman" w:hAnsi="Times New Roman" w:cs="Times New Roman"/>
                <w:i w:val="0"/>
                <w:iCs w:val="0"/>
                <w:caps w:val="0"/>
                <w:color w:val="auto"/>
                <w:spacing w:val="0"/>
                <w:sz w:val="24"/>
                <w:szCs w:val="24"/>
                <w:u w:val="none"/>
                <w:shd w:val="clear" w:color="auto" w:fill="FFFFFF"/>
                <w:lang w:val="en-US" w:eastAsia="zh-CN"/>
              </w:rPr>
              <w:t>未被污染的输液瓶（袋）及生活塑料的回收加工</w:t>
            </w:r>
            <w:r>
              <w:rPr>
                <w:rFonts w:hint="default" w:ascii="Times New Roman" w:hAnsi="Times New Roman" w:eastAsia="宋体" w:cs="Times New Roman"/>
                <w:i w:val="0"/>
                <w:iCs w:val="0"/>
                <w:caps w:val="0"/>
                <w:color w:val="auto"/>
                <w:spacing w:val="0"/>
                <w:sz w:val="24"/>
                <w:szCs w:val="24"/>
                <w:u w:val="none"/>
                <w:shd w:val="clear" w:color="auto" w:fill="FFFFFF"/>
                <w:lang w:val="en-US" w:eastAsia="zh-CN"/>
              </w:rPr>
              <w:t>，</w:t>
            </w:r>
            <w:r>
              <w:rPr>
                <w:rFonts w:hint="default" w:ascii="Times New Roman" w:hAnsi="Times New Roman" w:cs="Times New Roman"/>
                <w:i w:val="0"/>
                <w:iCs w:val="0"/>
                <w:caps w:val="0"/>
                <w:color w:val="auto"/>
                <w:spacing w:val="0"/>
                <w:sz w:val="24"/>
                <w:szCs w:val="24"/>
                <w:u w:val="none"/>
                <w:shd w:val="clear" w:color="auto" w:fill="FFFFFF"/>
                <w:lang w:val="en-US" w:eastAsia="zh-CN"/>
              </w:rPr>
              <w:t>年回收加工输液瓶（袋）10400吨、年回收加工破碎生活塑料4000吨</w:t>
            </w:r>
            <w:r>
              <w:rPr>
                <w:rFonts w:hint="default" w:ascii="Times New Roman" w:hAnsi="Times New Roman" w:cs="Times New Roman"/>
                <w:color w:val="auto"/>
                <w:sz w:val="24"/>
                <w:szCs w:val="24"/>
                <w:highlight w:val="none"/>
                <w:lang w:val="en-US" w:eastAsia="zh-CN"/>
              </w:rPr>
              <w:t>。</w:t>
            </w:r>
          </w:p>
          <w:p w14:paraId="403F34CF">
            <w:pPr>
              <w:pStyle w:val="8"/>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关于在医疗机构推进生活垃圾分类管理的通知》（国卫办医发〔2017〕30号）可知，未被患者血液、体液和排泄物等污染的输液瓶（袋）属于可回收物，可作为再生资源回收利用。根据《关于印发医疗机构废弃物综合治理工作方案的通知》（国卫医发〔2020〕3号）四、做好输液瓶（袋）回收利用，按照“闭环管理、定点定向、全程追溯”的原则，明确医疗机构处理以及企业回收和利用的工作流程、技术规范和要求，用好用足现有标准，必要时做好标准制修订工作。明确医疗机构、回收企业、利用企业的责任和有关部门的监管职责。在产生环节，医疗机构要按照标准做好输液瓶（袋）的收集，并集中移交回收企业。</w:t>
            </w:r>
          </w:p>
          <w:p w14:paraId="68E985DA">
            <w:pPr>
              <w:pStyle w:val="8"/>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b/>
                <w:bCs/>
                <w:color w:val="auto"/>
                <w:sz w:val="24"/>
                <w:szCs w:val="24"/>
                <w:highlight w:val="none"/>
                <w:lang w:val="en-US" w:eastAsia="zh-CN"/>
              </w:rPr>
              <w:t>仅回收已去除针头及输液管的未被患者血液、体液和排泄物污染的普通废弃输液瓶（不带输液针头）及生活源塑料</w:t>
            </w:r>
            <w:r>
              <w:rPr>
                <w:rFonts w:hint="eastAsia" w:cs="Times New Roman"/>
                <w:b/>
                <w:bCs/>
                <w:color w:val="auto"/>
                <w:sz w:val="24"/>
                <w:szCs w:val="24"/>
                <w:highlight w:val="none"/>
                <w:lang w:val="en-US" w:eastAsia="zh-CN"/>
              </w:rPr>
              <w:t>（矿泉水瓶）</w:t>
            </w:r>
            <w:r>
              <w:rPr>
                <w:rFonts w:hint="default" w:ascii="Times New Roman" w:hAnsi="Times New Roman" w:cs="Times New Roman"/>
                <w:b/>
                <w:bCs/>
                <w:color w:val="auto"/>
                <w:sz w:val="24"/>
                <w:szCs w:val="24"/>
                <w:highlight w:val="none"/>
                <w:lang w:val="en-US" w:eastAsia="zh-CN"/>
              </w:rPr>
              <w:t>进行破碎加工</w:t>
            </w:r>
            <w:r>
              <w:rPr>
                <w:rFonts w:hint="default" w:ascii="Times New Roman" w:hAnsi="Times New Roman" w:cs="Times New Roman"/>
                <w:color w:val="auto"/>
                <w:sz w:val="24"/>
                <w:szCs w:val="24"/>
                <w:highlight w:val="none"/>
                <w:lang w:val="en-US" w:eastAsia="zh-CN"/>
              </w:rPr>
              <w:t>，不回收传染病区或用于传染病患者、疑似传染病患者以及采取隔离措施的其他患者的输液瓶（袋）、输液涉及使用细胞毒性药物（如肿瘤化疗药物等）的输液瓶（袋）、输液涉及使用麻醉类药品、精神类药品、易制毒药品和放射性药品的输液瓶（袋），不回收危险废物类废塑料，不回收废旧塑料薄膜、盛装农药、化肥、废染料、强酸、强碱及其他化学品包装瓶。</w:t>
            </w:r>
          </w:p>
          <w:p w14:paraId="298D65E4">
            <w:pPr>
              <w:pStyle w:val="8"/>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了防止本项目在收集过程中接收到危险废物，本次环评要求：项目回收的废弃输液瓶（袋）均应按照国家相关要求签订回收合同，明确废弃输液瓶（袋）的产生单位、科室、产生量。在医疗机构进行回收交接时，采取回收现场“双人双核”的模式，两次核对废弃输液瓶（袋）的来源，仅回收本项目可收集的废弃输液瓶（袋），并对废弃输液瓶（袋）进行检查，查看有无遗漏的针头及输液管，从源头杜绝收到疑似或被感染、污染的废弃物，制定收集</w:t>
            </w:r>
            <w:r>
              <w:rPr>
                <w:rFonts w:hint="eastAsia" w:cs="Times New Roman"/>
                <w:color w:val="auto"/>
                <w:sz w:val="24"/>
                <w:szCs w:val="24"/>
                <w:highlight w:val="none"/>
                <w:lang w:val="en-US" w:eastAsia="zh-CN"/>
              </w:rPr>
              <w:t>台账</w:t>
            </w:r>
            <w:r>
              <w:rPr>
                <w:rFonts w:hint="default" w:ascii="Times New Roman" w:hAnsi="Times New Roman" w:cs="Times New Roman"/>
                <w:color w:val="auto"/>
                <w:sz w:val="24"/>
                <w:szCs w:val="24"/>
                <w:highlight w:val="none"/>
                <w:lang w:val="en-US" w:eastAsia="zh-CN"/>
              </w:rPr>
              <w:t>，院方与企业核对无误后签字确认；废弃输液瓶（袋）运输到厂后必须再次进行检查，检查合格后方可入库，并在入库台账上双人双检无误后再次签字确认。对废输液瓶（袋）根据生产要求按计划回收，控制贮存量，在收集、运输、加工、成品出库等阶段实现全过程台账化管理，确保源头可追溯，台账保存期限不得低于两年。</w:t>
            </w:r>
          </w:p>
          <w:p w14:paraId="65267F51">
            <w:pPr>
              <w:pStyle w:val="8"/>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《建设项目环境影响评价分类管理名录》(20</w:t>
            </w:r>
            <w:r>
              <w:rPr>
                <w:rFonts w:hint="default" w:ascii="Times New Roman" w:hAnsi="Times New Roman" w:eastAsia="宋体" w:cs="Times New Roman"/>
                <w:color w:val="auto"/>
                <w:sz w:val="24"/>
                <w:szCs w:val="24"/>
                <w:highlight w:val="none"/>
                <w:lang w:val="en-US" w:eastAsia="zh-CN"/>
              </w:rPr>
              <w:t>21年</w:t>
            </w:r>
            <w:r>
              <w:rPr>
                <w:rFonts w:hint="default" w:ascii="Times New Roman" w:hAnsi="Times New Roman" w:eastAsia="宋体" w:cs="Times New Roman"/>
                <w:color w:val="auto"/>
                <w:sz w:val="24"/>
                <w:szCs w:val="24"/>
                <w:highlight w:val="none"/>
                <w:lang w:eastAsia="zh-CN"/>
              </w:rPr>
              <w:t>版</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规定，</w:t>
            </w:r>
            <w:r>
              <w:rPr>
                <w:rFonts w:hint="default" w:ascii="Times New Roman" w:hAnsi="Times New Roman" w:eastAsia="宋体" w:cs="Times New Roman"/>
                <w:color w:val="auto"/>
                <w:sz w:val="24"/>
                <w:szCs w:val="24"/>
                <w:highlight w:val="none"/>
              </w:rPr>
              <w:t>本项目环评类别为环境影响报告表，详见表2</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为此，建设单位</w:t>
            </w:r>
            <w:r>
              <w:rPr>
                <w:rFonts w:hint="default" w:ascii="Times New Roman" w:hAnsi="Times New Roman" w:eastAsia="宋体" w:cs="Times New Roman"/>
                <w:color w:val="auto"/>
                <w:sz w:val="24"/>
                <w:szCs w:val="24"/>
                <w:highlight w:val="none"/>
              </w:rPr>
              <w:t>委托</w:t>
            </w:r>
            <w:r>
              <w:rPr>
                <w:rFonts w:hint="default" w:ascii="Times New Roman" w:hAnsi="Times New Roman" w:eastAsia="宋体" w:cs="Times New Roman"/>
                <w:color w:val="auto"/>
                <w:sz w:val="24"/>
                <w:szCs w:val="24"/>
                <w:highlight w:val="none"/>
                <w:lang w:val="en-US" w:eastAsia="zh-CN"/>
              </w:rPr>
              <w:t>我单位</w:t>
            </w:r>
            <w:r>
              <w:rPr>
                <w:rFonts w:hint="default" w:ascii="Times New Roman" w:hAnsi="Times New Roman" w:eastAsia="宋体" w:cs="Times New Roman"/>
                <w:color w:val="auto"/>
                <w:sz w:val="24"/>
                <w:szCs w:val="24"/>
                <w:highlight w:val="none"/>
              </w:rPr>
              <w:t>编制该项目的环境影响报告表(委托书详见附件</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)。本环评单位接受委托后，立即派技术人员踏勘现场和收集有关资料，</w:t>
            </w:r>
            <w:r>
              <w:rPr>
                <w:rFonts w:hint="default" w:ascii="Times New Roman" w:hAnsi="Times New Roman" w:eastAsia="宋体" w:cs="Times New Roman"/>
                <w:color w:val="auto"/>
                <w:sz w:val="24"/>
                <w:szCs w:val="24"/>
              </w:rPr>
              <w:t>按照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建设项目环境影响报告表编制技术指南</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污染影响类</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试行</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及相关技术规范要求，</w:t>
            </w:r>
            <w:r>
              <w:rPr>
                <w:rFonts w:hint="default" w:ascii="Times New Roman" w:hAnsi="Times New Roman" w:eastAsia="宋体" w:cs="Times New Roman"/>
                <w:color w:val="auto"/>
                <w:kern w:val="0"/>
                <w:sz w:val="24"/>
                <w:szCs w:val="24"/>
                <w:highlight w:val="none"/>
              </w:rPr>
              <w:t>编制了本环境影响报告表</w:t>
            </w:r>
            <w:r>
              <w:rPr>
                <w:rFonts w:hint="eastAsia" w:cs="Times New Roman"/>
                <w:color w:val="auto"/>
                <w:kern w:val="0"/>
                <w:sz w:val="24"/>
                <w:szCs w:val="24"/>
                <w:highlight w:val="none"/>
                <w:lang w:eastAsia="zh-CN"/>
              </w:rPr>
              <w:t>，提</w:t>
            </w:r>
            <w:r>
              <w:rPr>
                <w:rFonts w:hint="default" w:ascii="Times New Roman" w:hAnsi="Times New Roman" w:eastAsia="宋体" w:cs="Times New Roman"/>
                <w:color w:val="auto"/>
                <w:kern w:val="0"/>
                <w:sz w:val="24"/>
                <w:szCs w:val="24"/>
                <w:highlight w:val="none"/>
              </w:rPr>
              <w:t>供建设单位上报</w:t>
            </w:r>
            <w:r>
              <w:rPr>
                <w:rFonts w:hint="default" w:ascii="Times New Roman" w:hAnsi="Times New Roman" w:eastAsia="宋体" w:cs="Times New Roman"/>
                <w:color w:val="auto"/>
                <w:kern w:val="0"/>
                <w:sz w:val="24"/>
                <w:szCs w:val="24"/>
                <w:highlight w:val="none"/>
                <w:lang w:eastAsia="zh-CN"/>
              </w:rPr>
              <w:t>生态环境行政主管部门</w:t>
            </w:r>
            <w:r>
              <w:rPr>
                <w:rFonts w:hint="default" w:ascii="Times New Roman" w:hAnsi="Times New Roman" w:eastAsia="宋体" w:cs="Times New Roman"/>
                <w:color w:val="auto"/>
                <w:kern w:val="0"/>
                <w:sz w:val="24"/>
                <w:szCs w:val="24"/>
                <w:highlight w:val="none"/>
              </w:rPr>
              <w:t>审批。</w:t>
            </w:r>
          </w:p>
          <w:p w14:paraId="3DDACFBD">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黑体" w:cs="Times New Roman"/>
                <w:b w:val="0"/>
                <w:bCs w:val="0"/>
                <w:color w:val="auto"/>
                <w:sz w:val="24"/>
                <w:highlight w:val="none"/>
              </w:rPr>
              <w:t>表2</w:t>
            </w:r>
            <w:r>
              <w:rPr>
                <w:rFonts w:hint="default" w:ascii="Times New Roman" w:hAnsi="Times New Roman" w:eastAsia="黑体" w:cs="Times New Roman"/>
                <w:b w:val="0"/>
                <w:bCs w:val="0"/>
                <w:color w:val="auto"/>
                <w:sz w:val="24"/>
                <w:highlight w:val="none"/>
                <w:lang w:val="en-US" w:eastAsia="zh-CN"/>
              </w:rPr>
              <w:t>.1</w:t>
            </w:r>
            <w:r>
              <w:rPr>
                <w:rFonts w:hint="default" w:ascii="Times New Roman" w:hAnsi="Times New Roman" w:eastAsia="黑体" w:cs="Times New Roman"/>
                <w:b w:val="0"/>
                <w:bCs w:val="0"/>
                <w:color w:val="auto"/>
                <w:sz w:val="24"/>
                <w:highlight w:val="none"/>
              </w:rPr>
              <w:t>-1  建设</w:t>
            </w:r>
            <w:r>
              <w:rPr>
                <w:rFonts w:hint="default" w:ascii="Times New Roman" w:hAnsi="Times New Roman" w:eastAsia="黑体" w:cs="Times New Roman"/>
                <w:b w:val="0"/>
                <w:bCs w:val="0"/>
                <w:color w:val="auto"/>
                <w:sz w:val="24"/>
                <w:highlight w:val="none"/>
                <w:lang w:eastAsia="zh-CN"/>
              </w:rPr>
              <w:t>项目</w:t>
            </w:r>
            <w:r>
              <w:rPr>
                <w:rFonts w:hint="default" w:ascii="Times New Roman" w:hAnsi="Times New Roman" w:eastAsia="黑体" w:cs="Times New Roman"/>
                <w:b w:val="0"/>
                <w:bCs w:val="0"/>
                <w:color w:val="auto"/>
                <w:sz w:val="24"/>
                <w:highlight w:val="none"/>
              </w:rPr>
              <w:t>环境影响评价分类管理名录(摘录)</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851"/>
              <w:gridCol w:w="1620"/>
              <w:gridCol w:w="3295"/>
              <w:gridCol w:w="932"/>
            </w:tblGrid>
            <w:tr w14:paraId="2A730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6" w:type="pct"/>
                  <w:gridSpan w:val="2"/>
                  <w:tcBorders>
                    <w:tl2br w:val="single" w:color="auto" w:sz="6" w:space="0"/>
                  </w:tcBorders>
                  <w:shd w:val="clear" w:color="auto" w:fill="auto"/>
                  <w:noWrap w:val="0"/>
                  <w:vAlign w:val="top"/>
                </w:tcPr>
                <w:p w14:paraId="3466D65C">
                  <w:pPr>
                    <w:keepNext w:val="0"/>
                    <w:keepLines w:val="0"/>
                    <w:pageBreakBefore w:val="0"/>
                    <w:widowControl w:val="0"/>
                    <w:kinsoku/>
                    <w:wordWrap/>
                    <w:overflowPunct/>
                    <w:topLinePunct w:val="0"/>
                    <w:autoSpaceDE/>
                    <w:autoSpaceDN/>
                    <w:bidi w:val="0"/>
                    <w:adjustRightInd w:val="0"/>
                    <w:snapToGrid w:val="0"/>
                    <w:spacing w:line="340" w:lineRule="exact"/>
                    <w:jc w:val="righ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环评类别</w:t>
                  </w:r>
                </w:p>
                <w:p w14:paraId="76D791BF">
                  <w:pPr>
                    <w:keepNext w:val="0"/>
                    <w:keepLines w:val="0"/>
                    <w:pageBreakBefore w:val="0"/>
                    <w:widowControl w:val="0"/>
                    <w:kinsoku/>
                    <w:wordWrap/>
                    <w:overflowPunct/>
                    <w:topLinePunct w:val="0"/>
                    <w:autoSpaceDE/>
                    <w:autoSpaceDN/>
                    <w:bidi w:val="0"/>
                    <w:adjustRightInd w:val="0"/>
                    <w:snapToGrid w:val="0"/>
                    <w:spacing w:line="340" w:lineRule="exact"/>
                    <w:ind w:firstLine="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项目类别</w:t>
                  </w:r>
                </w:p>
              </w:tc>
              <w:tc>
                <w:tcPr>
                  <w:tcW w:w="982" w:type="pct"/>
                  <w:tcBorders>
                    <w:tl2br w:val="nil"/>
                    <w:tr2bl w:val="nil"/>
                  </w:tcBorders>
                  <w:shd w:val="clear" w:color="auto" w:fill="auto"/>
                  <w:noWrap w:val="0"/>
                  <w:vAlign w:val="center"/>
                </w:tcPr>
                <w:p w14:paraId="2FE74A99">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报告书</w:t>
                  </w:r>
                </w:p>
              </w:tc>
              <w:tc>
                <w:tcPr>
                  <w:tcW w:w="1997" w:type="pct"/>
                  <w:tcBorders>
                    <w:tl2br w:val="nil"/>
                    <w:tr2bl w:val="nil"/>
                  </w:tcBorders>
                  <w:shd w:val="clear" w:color="auto" w:fill="BEBEBE"/>
                  <w:noWrap w:val="0"/>
                  <w:vAlign w:val="center"/>
                </w:tcPr>
                <w:p w14:paraId="53FC5689">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报告表</w:t>
                  </w:r>
                </w:p>
              </w:tc>
              <w:tc>
                <w:tcPr>
                  <w:tcW w:w="563" w:type="pct"/>
                  <w:tcBorders>
                    <w:tl2br w:val="nil"/>
                    <w:tr2bl w:val="nil"/>
                  </w:tcBorders>
                  <w:noWrap w:val="0"/>
                  <w:vAlign w:val="center"/>
                </w:tcPr>
                <w:p w14:paraId="57619981">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登记表</w:t>
                  </w:r>
                </w:p>
              </w:tc>
            </w:tr>
            <w:tr w14:paraId="42BA0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noWrap w:val="0"/>
                  <w:vAlign w:val="center"/>
                </w:tcPr>
                <w:p w14:paraId="3EEDB48D">
                  <w:pPr>
                    <w:keepNext w:val="0"/>
                    <w:keepLines w:val="0"/>
                    <w:pageBreakBefore w:val="0"/>
                    <w:widowControl w:val="0"/>
                    <w:kinsoku/>
                    <w:wordWrap/>
                    <w:overflowPunct/>
                    <w:topLinePunct w:val="0"/>
                    <w:autoSpaceDE/>
                    <w:autoSpaceDN/>
                    <w:bidi w:val="0"/>
                    <w:adjustRightInd w:val="0"/>
                    <w:snapToGrid w:val="0"/>
                    <w:spacing w:line="340" w:lineRule="exact"/>
                    <w:ind w:firstLine="0"/>
                    <w:jc w:val="both"/>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三十九、废弃资源综合利用业 42</w:t>
                  </w:r>
                </w:p>
              </w:tc>
            </w:tr>
            <w:tr w14:paraId="2CE2E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4" w:type="pct"/>
                  <w:tcBorders>
                    <w:tl2br w:val="nil"/>
                    <w:tr2bl w:val="nil"/>
                  </w:tcBorders>
                  <w:shd w:val="clear" w:color="auto" w:fill="auto"/>
                  <w:noWrap w:val="0"/>
                  <w:vAlign w:val="center"/>
                </w:tcPr>
                <w:p w14:paraId="4F3B9F96">
                  <w:pPr>
                    <w:keepNext w:val="0"/>
                    <w:keepLines w:val="0"/>
                    <w:pageBreakBefore w:val="0"/>
                    <w:widowControl w:val="0"/>
                    <w:kinsoku/>
                    <w:wordWrap/>
                    <w:overflowPunct/>
                    <w:topLinePunct w:val="0"/>
                    <w:autoSpaceDE/>
                    <w:autoSpaceDN/>
                    <w:bidi w:val="0"/>
                    <w:spacing w:line="340" w:lineRule="exact"/>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85</w:t>
                  </w:r>
                </w:p>
              </w:tc>
              <w:tc>
                <w:tcPr>
                  <w:tcW w:w="1122" w:type="pct"/>
                  <w:tcBorders>
                    <w:tl2br w:val="nil"/>
                    <w:tr2bl w:val="nil"/>
                  </w:tcBorders>
                  <w:shd w:val="clear" w:color="auto" w:fill="auto"/>
                  <w:noWrap w:val="0"/>
                  <w:vAlign w:val="center"/>
                </w:tcPr>
                <w:p w14:paraId="5910F61C">
                  <w:pPr>
                    <w:keepNext w:val="0"/>
                    <w:keepLines w:val="0"/>
                    <w:pageBreakBefore w:val="0"/>
                    <w:widowControl w:val="0"/>
                    <w:kinsoku/>
                    <w:wordWrap/>
                    <w:overflowPunct/>
                    <w:topLinePunct w:val="0"/>
                    <w:autoSpaceDE/>
                    <w:autoSpaceDN/>
                    <w:bidi w:val="0"/>
                    <w:spacing w:line="340" w:lineRule="exact"/>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金属废料和碎屑加工处理421；非金属废料和碎屑加工处理422（421和422均不含原料为危险废物的，均不含仅分拣、破碎的）</w:t>
                  </w:r>
                </w:p>
              </w:tc>
              <w:tc>
                <w:tcPr>
                  <w:tcW w:w="982" w:type="pct"/>
                  <w:tcBorders>
                    <w:tl2br w:val="nil"/>
                    <w:tr2bl w:val="nil"/>
                  </w:tcBorders>
                  <w:shd w:val="clear" w:color="auto" w:fill="auto"/>
                  <w:noWrap w:val="0"/>
                  <w:vAlign w:val="center"/>
                </w:tcPr>
                <w:p w14:paraId="1DC41103">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废电池、废油加工处理</w:t>
                  </w:r>
                </w:p>
              </w:tc>
              <w:tc>
                <w:tcPr>
                  <w:tcW w:w="1997" w:type="pct"/>
                  <w:tcBorders>
                    <w:tl2br w:val="nil"/>
                    <w:tr2bl w:val="nil"/>
                  </w:tcBorders>
                  <w:shd w:val="clear" w:color="auto" w:fill="BEBEBE"/>
                  <w:noWrap w:val="0"/>
                  <w:vAlign w:val="center"/>
                </w:tcPr>
                <w:p w14:paraId="3B8DCED6">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563" w:type="pct"/>
                  <w:tcBorders>
                    <w:tl2br w:val="nil"/>
                    <w:tr2bl w:val="nil"/>
                  </w:tcBorders>
                  <w:noWrap w:val="0"/>
                  <w:vAlign w:val="center"/>
                </w:tcPr>
                <w:p w14:paraId="24E2B48A">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4E538F98">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工程概况</w:t>
            </w:r>
          </w:p>
          <w:p w14:paraId="5CF752CF">
            <w:pPr>
              <w:pStyle w:val="94"/>
              <w:adjustRightInd w:val="0"/>
              <w:snapToGrid w:val="0"/>
              <w:spacing w:line="360" w:lineRule="auto"/>
              <w:rPr>
                <w:b/>
                <w:bCs/>
                <w:color w:val="auto"/>
                <w:sz w:val="24"/>
              </w:rPr>
            </w:pPr>
            <w:bookmarkStart w:id="16" w:name="_Toc10176"/>
            <w:bookmarkStart w:id="17" w:name="_Toc19546"/>
            <w:r>
              <w:rPr>
                <w:b/>
                <w:bCs/>
                <w:color w:val="auto"/>
                <w:sz w:val="24"/>
              </w:rPr>
              <w:t>2.2.1 蓝谷产业综合体概况</w:t>
            </w:r>
            <w:bookmarkEnd w:id="16"/>
            <w:bookmarkEnd w:id="17"/>
          </w:p>
          <w:p w14:paraId="1C473472">
            <w:pPr>
              <w:autoSpaceDE w:val="0"/>
              <w:autoSpaceDN w:val="0"/>
              <w:adjustRightInd w:val="0"/>
              <w:snapToGrid w:val="0"/>
              <w:spacing w:line="360" w:lineRule="auto"/>
              <w:ind w:firstLine="480" w:firstLineChars="200"/>
              <w:textAlignment w:val="bottom"/>
              <w:rPr>
                <w:rFonts w:hint="eastAsia"/>
                <w:color w:val="auto"/>
                <w:sz w:val="24"/>
                <w:szCs w:val="21"/>
              </w:rPr>
            </w:pPr>
            <w:r>
              <w:rPr>
                <w:rFonts w:hint="eastAsia"/>
                <w:color w:val="auto"/>
                <w:sz w:val="24"/>
                <w:szCs w:val="21"/>
              </w:rPr>
              <w:t>蓝谷产业综合体位于江镜镇闽台(福州)蓝色经济产业园内，占地1400亩，包含厂房、中试研发、生活配套、商务配套等，为福清周边大型企业建设配套厂商的上下游企业、供应厂商解决生产场地、仓储、物流等关键生产要素。该项目一期工程于2018年5月启动，建设33万平方米标准厂房及工业配套设施。其中，约35000平方米的首批标准厂房已于2019年6月建成。</w:t>
            </w:r>
            <w:r>
              <w:rPr>
                <w:rFonts w:hint="eastAsia"/>
                <w:color w:val="auto"/>
                <w:sz w:val="24"/>
                <w:szCs w:val="21"/>
                <w:lang w:val="en-US" w:eastAsia="zh-CN"/>
              </w:rPr>
              <w:t>目前综合体入驻企业</w:t>
            </w:r>
            <w:r>
              <w:rPr>
                <w:rFonts w:hint="eastAsia"/>
                <w:color w:val="auto"/>
                <w:sz w:val="24"/>
                <w:szCs w:val="21"/>
              </w:rPr>
              <w:t>主要</w:t>
            </w:r>
            <w:r>
              <w:rPr>
                <w:rFonts w:hint="eastAsia"/>
                <w:color w:val="auto"/>
                <w:sz w:val="24"/>
                <w:szCs w:val="21"/>
                <w:lang w:val="en-US" w:eastAsia="zh-CN"/>
              </w:rPr>
              <w:t>为</w:t>
            </w:r>
            <w:r>
              <w:rPr>
                <w:rFonts w:hint="eastAsia"/>
                <w:color w:val="auto"/>
                <w:sz w:val="24"/>
                <w:szCs w:val="21"/>
              </w:rPr>
              <w:t>机械设备制造、再生塑料颗粒制造、塑料制品、木质家具</w:t>
            </w:r>
            <w:r>
              <w:rPr>
                <w:rFonts w:hint="eastAsia"/>
                <w:color w:val="auto"/>
                <w:sz w:val="24"/>
                <w:szCs w:val="21"/>
                <w:lang w:val="en-US" w:eastAsia="zh-CN"/>
              </w:rPr>
              <w:t>加工</w:t>
            </w:r>
            <w:r>
              <w:rPr>
                <w:rFonts w:hint="eastAsia"/>
                <w:color w:val="auto"/>
                <w:sz w:val="24"/>
                <w:szCs w:val="21"/>
              </w:rPr>
              <w:t>等，无食品加工企业。</w:t>
            </w:r>
          </w:p>
          <w:p w14:paraId="1E3596B7">
            <w:pPr>
              <w:pStyle w:val="94"/>
              <w:adjustRightInd w:val="0"/>
              <w:snapToGrid w:val="0"/>
              <w:spacing w:line="360" w:lineRule="auto"/>
              <w:rPr>
                <w:b/>
                <w:bCs/>
                <w:color w:val="auto"/>
                <w:sz w:val="24"/>
              </w:rPr>
            </w:pPr>
            <w:r>
              <w:rPr>
                <w:b/>
                <w:bCs/>
                <w:color w:val="auto"/>
                <w:sz w:val="24"/>
              </w:rPr>
              <w:t>2.2.</w:t>
            </w:r>
            <w:r>
              <w:rPr>
                <w:rFonts w:hint="eastAsia"/>
                <w:b/>
                <w:bCs/>
                <w:color w:val="auto"/>
                <w:sz w:val="24"/>
                <w:lang w:val="en-US" w:eastAsia="zh-CN"/>
              </w:rPr>
              <w:t>2</w:t>
            </w:r>
            <w:r>
              <w:rPr>
                <w:b/>
                <w:bCs/>
                <w:color w:val="auto"/>
                <w:sz w:val="24"/>
              </w:rPr>
              <w:t xml:space="preserve"> </w:t>
            </w:r>
            <w:r>
              <w:rPr>
                <w:rFonts w:hint="eastAsia"/>
                <w:b/>
                <w:bCs/>
                <w:color w:val="auto"/>
                <w:sz w:val="24"/>
                <w:lang w:val="en-US" w:eastAsia="zh-CN"/>
              </w:rPr>
              <w:t>项目租赁厂房</w:t>
            </w:r>
            <w:r>
              <w:rPr>
                <w:b/>
                <w:bCs/>
                <w:color w:val="auto"/>
                <w:sz w:val="24"/>
              </w:rPr>
              <w:t>概况</w:t>
            </w:r>
          </w:p>
          <w:p w14:paraId="24A9D938">
            <w:pPr>
              <w:autoSpaceDE w:val="0"/>
              <w:autoSpaceDN w:val="0"/>
              <w:adjustRightInd w:val="0"/>
              <w:snapToGrid w:val="0"/>
              <w:spacing w:line="360" w:lineRule="auto"/>
              <w:ind w:firstLine="480" w:firstLineChars="200"/>
              <w:textAlignment w:val="bottom"/>
              <w:rPr>
                <w:rFonts w:hint="eastAsia"/>
                <w:color w:val="auto"/>
                <w:sz w:val="24"/>
                <w:szCs w:val="21"/>
              </w:rPr>
            </w:pPr>
            <w:r>
              <w:rPr>
                <w:rFonts w:hint="eastAsia"/>
                <w:color w:val="auto"/>
                <w:sz w:val="24"/>
                <w:lang w:eastAsia="zh-CN"/>
              </w:rPr>
              <w:t>福州市福清亿树资源再生有限公司</w:t>
            </w:r>
            <w:r>
              <w:rPr>
                <w:rFonts w:hint="eastAsia"/>
                <w:color w:val="auto"/>
                <w:sz w:val="24"/>
                <w:szCs w:val="21"/>
              </w:rPr>
              <w:t>于202</w:t>
            </w:r>
            <w:r>
              <w:rPr>
                <w:rFonts w:hint="eastAsia"/>
                <w:color w:val="auto"/>
                <w:sz w:val="24"/>
                <w:szCs w:val="21"/>
                <w:lang w:val="en-US" w:eastAsia="zh-CN"/>
              </w:rPr>
              <w:t>5</w:t>
            </w:r>
            <w:r>
              <w:rPr>
                <w:rFonts w:hint="eastAsia"/>
                <w:color w:val="auto"/>
                <w:sz w:val="24"/>
                <w:szCs w:val="21"/>
              </w:rPr>
              <w:t>年</w:t>
            </w:r>
            <w:r>
              <w:rPr>
                <w:rFonts w:hint="eastAsia"/>
                <w:color w:val="auto"/>
                <w:sz w:val="24"/>
                <w:szCs w:val="21"/>
                <w:lang w:val="en-US" w:eastAsia="zh-CN"/>
              </w:rPr>
              <w:t>10</w:t>
            </w:r>
            <w:r>
              <w:rPr>
                <w:rFonts w:hint="eastAsia"/>
                <w:color w:val="auto"/>
                <w:sz w:val="24"/>
                <w:szCs w:val="21"/>
              </w:rPr>
              <w:t>月从</w:t>
            </w:r>
            <w:r>
              <w:rPr>
                <w:rFonts w:hint="eastAsia"/>
                <w:color w:val="auto"/>
                <w:sz w:val="24"/>
                <w:szCs w:val="21"/>
                <w:lang w:val="en-US" w:eastAsia="zh-CN"/>
              </w:rPr>
              <w:t>福州锦佳商贸有限公司</w:t>
            </w:r>
            <w:r>
              <w:rPr>
                <w:rFonts w:hint="eastAsia"/>
                <w:color w:val="auto"/>
                <w:sz w:val="24"/>
                <w:szCs w:val="21"/>
              </w:rPr>
              <w:t>租赁</w:t>
            </w:r>
            <w:r>
              <w:rPr>
                <w:rFonts w:hint="eastAsia"/>
                <w:color w:val="auto"/>
                <w:sz w:val="24"/>
              </w:rPr>
              <w:t>福建省蓝谷海工装备产业综合体B</w:t>
            </w:r>
            <w:r>
              <w:rPr>
                <w:rFonts w:hint="eastAsia"/>
                <w:color w:val="auto"/>
                <w:sz w:val="24"/>
                <w:lang w:val="en-US" w:eastAsia="zh-CN"/>
              </w:rPr>
              <w:t>37</w:t>
            </w:r>
            <w:r>
              <w:rPr>
                <w:rFonts w:hint="eastAsia"/>
                <w:color w:val="auto"/>
                <w:sz w:val="24"/>
              </w:rPr>
              <w:t>厂房</w:t>
            </w:r>
            <w:r>
              <w:rPr>
                <w:rFonts w:hint="eastAsia"/>
                <w:color w:val="auto"/>
                <w:sz w:val="24"/>
                <w:szCs w:val="21"/>
              </w:rPr>
              <w:t>作为本</w:t>
            </w:r>
            <w:r>
              <w:rPr>
                <w:color w:val="auto"/>
                <w:sz w:val="24"/>
              </w:rPr>
              <w:t>项目</w:t>
            </w:r>
            <w:r>
              <w:rPr>
                <w:rFonts w:hint="eastAsia"/>
                <w:color w:val="auto"/>
                <w:sz w:val="24"/>
              </w:rPr>
              <w:t>的</w:t>
            </w:r>
            <w:r>
              <w:rPr>
                <w:rFonts w:hint="eastAsia"/>
                <w:color w:val="auto"/>
                <w:sz w:val="24"/>
                <w:szCs w:val="21"/>
              </w:rPr>
              <w:t>生产场所。根据现场调查，目前该厂房</w:t>
            </w:r>
            <w:r>
              <w:rPr>
                <w:rFonts w:hint="eastAsia"/>
                <w:color w:val="auto"/>
                <w:sz w:val="24"/>
                <w:szCs w:val="21"/>
                <w:lang w:val="en-US" w:eastAsia="zh-CN"/>
              </w:rPr>
              <w:t>为空置状态</w:t>
            </w:r>
            <w:r>
              <w:rPr>
                <w:rFonts w:hint="eastAsia"/>
                <w:color w:val="auto"/>
                <w:sz w:val="24"/>
                <w:szCs w:val="21"/>
              </w:rPr>
              <w:t>。</w:t>
            </w:r>
          </w:p>
          <w:p w14:paraId="44B30711">
            <w:pPr>
              <w:autoSpaceDE w:val="0"/>
              <w:autoSpaceDN w:val="0"/>
              <w:adjustRightInd w:val="0"/>
              <w:snapToGrid w:val="0"/>
              <w:spacing w:line="360" w:lineRule="auto"/>
              <w:ind w:firstLine="480" w:firstLineChars="200"/>
              <w:textAlignment w:val="bottom"/>
              <w:rPr>
                <w:rFonts w:hint="default" w:eastAsia="宋体"/>
                <w:color w:val="auto"/>
                <w:sz w:val="24"/>
                <w:szCs w:val="21"/>
                <w:lang w:val="en-US" w:eastAsia="zh-CN"/>
              </w:rPr>
            </w:pPr>
            <w:r>
              <w:rPr>
                <w:rFonts w:hint="eastAsia"/>
                <w:color w:val="auto"/>
                <w:sz w:val="24"/>
                <w:szCs w:val="21"/>
              </w:rPr>
              <w:t>本项目可依托厂房已有给、排水、供电管网及消防等公用设施，废水、固废、噪声防控措施均为</w:t>
            </w:r>
            <w:r>
              <w:rPr>
                <w:rFonts w:hint="eastAsia"/>
                <w:color w:val="auto"/>
                <w:sz w:val="24"/>
                <w:lang w:val="en-US" w:eastAsia="zh-CN"/>
              </w:rPr>
              <w:t>本项目</w:t>
            </w:r>
            <w:r>
              <w:rPr>
                <w:rFonts w:hint="eastAsia"/>
                <w:color w:val="auto"/>
                <w:sz w:val="24"/>
              </w:rPr>
              <w:t>建设单位自行建设</w:t>
            </w:r>
            <w:r>
              <w:rPr>
                <w:rFonts w:hint="eastAsia"/>
                <w:color w:val="auto"/>
                <w:sz w:val="24"/>
                <w:szCs w:val="21"/>
              </w:rPr>
              <w:t>。</w:t>
            </w:r>
          </w:p>
          <w:p w14:paraId="7577242B">
            <w:pPr>
              <w:pStyle w:val="94"/>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2.2.</w:t>
            </w: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项目基本概况</w:t>
            </w:r>
          </w:p>
          <w:p w14:paraId="1DD10B0D">
            <w:pPr>
              <w:pStyle w:val="94"/>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rPr>
              <w:t>⑴项目名称：</w:t>
            </w:r>
            <w:r>
              <w:rPr>
                <w:rFonts w:hint="default" w:ascii="Times New Roman" w:hAnsi="Times New Roman" w:cs="Times New Roman"/>
                <w:color w:val="auto"/>
                <w:sz w:val="24"/>
                <w:highlight w:val="none"/>
                <w:lang w:eastAsia="zh-CN"/>
              </w:rPr>
              <w:t>年回收加工输液瓶（袋）10400吨、年回收加工破碎生活塑料4000吨</w:t>
            </w:r>
            <w:r>
              <w:rPr>
                <w:rFonts w:hint="eastAsia" w:cs="Times New Roman"/>
                <w:color w:val="auto"/>
                <w:sz w:val="24"/>
                <w:highlight w:val="none"/>
                <w:lang w:eastAsia="zh-CN"/>
              </w:rPr>
              <w:t>项目</w:t>
            </w:r>
          </w:p>
          <w:p w14:paraId="4783F913">
            <w:pPr>
              <w:pStyle w:val="94"/>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⑵建设单位：</w:t>
            </w:r>
            <w:r>
              <w:rPr>
                <w:rFonts w:hint="default" w:ascii="Times New Roman" w:hAnsi="Times New Roman" w:cs="Times New Roman"/>
                <w:color w:val="auto"/>
                <w:sz w:val="24"/>
                <w:szCs w:val="24"/>
                <w:highlight w:val="none"/>
                <w:lang w:val="en-US" w:eastAsia="zh-CN"/>
              </w:rPr>
              <w:t>福州市福清亿树资源再生有限公司</w:t>
            </w:r>
          </w:p>
          <w:p w14:paraId="0A44297F">
            <w:pPr>
              <w:pStyle w:val="94"/>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⑶</w:t>
            </w:r>
            <w:r>
              <w:rPr>
                <w:rFonts w:hint="default" w:ascii="Times New Roman" w:hAnsi="Times New Roman" w:eastAsia="宋体" w:cs="Times New Roman"/>
                <w:color w:val="auto"/>
                <w:sz w:val="24"/>
                <w:highlight w:val="none"/>
                <w:lang w:val="en-US" w:eastAsia="zh-CN"/>
              </w:rPr>
              <w:t>建设性质：</w:t>
            </w:r>
            <w:r>
              <w:rPr>
                <w:rFonts w:hint="default" w:ascii="Times New Roman" w:hAnsi="Times New Roman" w:cs="Times New Roman"/>
                <w:color w:val="auto"/>
                <w:sz w:val="24"/>
                <w:highlight w:val="none"/>
                <w:lang w:val="en-US" w:eastAsia="zh-CN"/>
              </w:rPr>
              <w:t>新</w:t>
            </w:r>
            <w:r>
              <w:rPr>
                <w:rFonts w:hint="default" w:ascii="Times New Roman" w:hAnsi="Times New Roman" w:eastAsia="宋体" w:cs="Times New Roman"/>
                <w:color w:val="auto"/>
                <w:sz w:val="24"/>
                <w:highlight w:val="none"/>
                <w:lang w:val="en-US" w:eastAsia="zh-CN"/>
              </w:rPr>
              <w:t>建</w:t>
            </w:r>
          </w:p>
          <w:p w14:paraId="7FECC0BE">
            <w:pPr>
              <w:pStyle w:val="94"/>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highlight w:val="none"/>
              </w:rPr>
              <w:t>⑷建设地点：闽台（福州）蓝色经济产业园（租赁</w:t>
            </w:r>
            <w:r>
              <w:rPr>
                <w:rFonts w:hint="default" w:ascii="Times New Roman" w:hAnsi="Times New Roman" w:cs="Times New Roman"/>
                <w:color w:val="auto"/>
                <w:sz w:val="24"/>
                <w:highlight w:val="none"/>
                <w:lang w:eastAsia="zh-CN"/>
              </w:rPr>
              <w:t>福州锦佳商贸有限公司B37栋厂房（二期）</w:t>
            </w:r>
            <w:r>
              <w:rPr>
                <w:rFonts w:hint="default" w:ascii="Times New Roman" w:hAnsi="Times New Roman" w:eastAsia="宋体" w:cs="Times New Roman"/>
                <w:color w:val="auto"/>
                <w:sz w:val="24"/>
                <w:highlight w:val="none"/>
              </w:rPr>
              <w:t>）</w:t>
            </w:r>
          </w:p>
          <w:p w14:paraId="635E80CA">
            <w:pPr>
              <w:pStyle w:val="94"/>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⑸投资</w:t>
            </w:r>
            <w:r>
              <w:rPr>
                <w:rFonts w:hint="default" w:ascii="Times New Roman" w:hAnsi="Times New Roman" w:eastAsia="宋体" w:cs="Times New Roman"/>
                <w:color w:val="auto"/>
                <w:sz w:val="24"/>
                <w:highlight w:val="none"/>
                <w:lang w:val="en-US" w:eastAsia="zh-CN"/>
              </w:rPr>
              <w:t>额</w:t>
            </w:r>
            <w:r>
              <w:rPr>
                <w:rFonts w:hint="default" w:ascii="Times New Roman" w:hAnsi="Times New Roman" w:eastAsia="宋体" w:cs="Times New Roman"/>
                <w:color w:val="auto"/>
                <w:sz w:val="24"/>
                <w:highlight w:val="none"/>
              </w:rPr>
              <w:t>：总投资</w:t>
            </w: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00万元，环保投资</w:t>
            </w:r>
            <w:r>
              <w:rPr>
                <w:rFonts w:hint="default"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万元</w:t>
            </w:r>
          </w:p>
          <w:p w14:paraId="2BFBA5F2">
            <w:pPr>
              <w:pStyle w:val="94"/>
              <w:spacing w:line="360" w:lineRule="auto"/>
              <w:ind w:firstLine="480" w:firstLineChars="200"/>
              <w:rPr>
                <w:rFonts w:hint="default" w:ascii="Times New Roman" w:hAnsi="Times New Roman" w:eastAsia="宋体" w:cs="Times New Roman"/>
                <w:color w:val="auto"/>
                <w:sz w:val="24"/>
                <w:highlight w:val="none"/>
                <w:vertAlign w:val="superscript"/>
              </w:rPr>
            </w:pPr>
            <w:r>
              <w:rPr>
                <w:rFonts w:hint="default" w:ascii="Times New Roman" w:hAnsi="Times New Roman" w:eastAsia="宋体" w:cs="Times New Roman"/>
                <w:color w:val="auto"/>
                <w:sz w:val="24"/>
                <w:highlight w:val="none"/>
              </w:rPr>
              <w:t>⑹建设规模：</w:t>
            </w:r>
            <w:r>
              <w:rPr>
                <w:rFonts w:hint="default" w:ascii="Times New Roman" w:hAnsi="Times New Roman" w:cs="Times New Roman"/>
                <w:color w:val="auto"/>
                <w:sz w:val="24"/>
                <w:highlight w:val="none"/>
                <w:lang w:eastAsia="zh-CN"/>
              </w:rPr>
              <w:t>租赁</w:t>
            </w:r>
            <w:r>
              <w:rPr>
                <w:rFonts w:hint="default" w:ascii="Times New Roman" w:hAnsi="Times New Roman" w:eastAsia="宋体" w:cs="Times New Roman"/>
                <w:color w:val="auto"/>
                <w:sz w:val="24"/>
                <w:highlight w:val="none"/>
                <w:lang w:eastAsia="zh-CN"/>
              </w:rPr>
              <w:t>厂房面积</w:t>
            </w:r>
            <w:r>
              <w:rPr>
                <w:rFonts w:hint="default" w:ascii="Times New Roman" w:hAnsi="Times New Roman" w:cs="Times New Roman"/>
                <w:i w:val="0"/>
                <w:iCs w:val="0"/>
                <w:caps w:val="0"/>
                <w:color w:val="auto"/>
                <w:spacing w:val="0"/>
                <w:sz w:val="24"/>
                <w:szCs w:val="24"/>
                <w:highlight w:val="none"/>
                <w:u w:val="none"/>
                <w:shd w:val="clear" w:color="auto" w:fill="FFFFFF"/>
                <w:lang w:val="en-US" w:eastAsia="zh-CN"/>
              </w:rPr>
              <w:t>1723.62</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rPr>
              <w:t>2</w:t>
            </w:r>
          </w:p>
          <w:p w14:paraId="5E588C3E">
            <w:pPr>
              <w:pStyle w:val="94"/>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(7)生产规模：</w:t>
            </w:r>
            <w:r>
              <w:rPr>
                <w:rFonts w:hint="default" w:ascii="Times New Roman" w:hAnsi="Times New Roman" w:cs="Times New Roman"/>
                <w:color w:val="auto"/>
                <w:sz w:val="24"/>
                <w:highlight w:val="none"/>
                <w:lang w:val="en-US" w:eastAsia="zh-CN"/>
              </w:rPr>
              <w:t>年回收加工输液瓶（袋）10400吨、年回收加工破碎生活塑料4000吨项目</w:t>
            </w:r>
          </w:p>
          <w:p w14:paraId="22C987AD">
            <w:pPr>
              <w:pStyle w:val="94"/>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(8)职工人数：全厂职工</w:t>
            </w:r>
            <w:r>
              <w:rPr>
                <w:rFonts w:hint="default" w:ascii="Times New Roman" w:hAnsi="Times New Roman" w:cs="Times New Roman"/>
                <w:color w:val="auto"/>
                <w:sz w:val="24"/>
                <w:highlight w:val="none"/>
                <w:lang w:val="en-US" w:eastAsia="zh-CN"/>
              </w:rPr>
              <w:t>12</w:t>
            </w:r>
            <w:r>
              <w:rPr>
                <w:rFonts w:hint="default" w:ascii="Times New Roman" w:hAnsi="Times New Roman" w:eastAsia="宋体" w:cs="Times New Roman"/>
                <w:color w:val="auto"/>
                <w:sz w:val="24"/>
                <w:highlight w:val="none"/>
                <w:lang w:val="en-US" w:eastAsia="zh-CN"/>
              </w:rPr>
              <w:t>人，均不在厂区内进行食宿</w:t>
            </w:r>
          </w:p>
          <w:p w14:paraId="58F7D4E8">
            <w:pPr>
              <w:pStyle w:val="94"/>
              <w:spacing w:line="360" w:lineRule="auto"/>
              <w:ind w:firstLine="480" w:firstLineChars="200"/>
              <w:rPr>
                <w:rFonts w:hint="default" w:ascii="Times New Roman" w:hAnsi="Times New Roman" w:eastAsia="宋体" w:cs="Times New Roman"/>
                <w:b w:val="0"/>
                <w:bCs w:val="0"/>
                <w:color w:val="auto"/>
                <w:sz w:val="24"/>
                <w:szCs w:val="22"/>
                <w:highlight w:val="none"/>
                <w:lang w:eastAsia="zh-CN"/>
              </w:rPr>
            </w:pPr>
            <w:r>
              <w:rPr>
                <w:rFonts w:hint="default" w:ascii="Times New Roman" w:hAnsi="Times New Roman" w:eastAsia="宋体" w:cs="Times New Roman"/>
                <w:color w:val="auto"/>
                <w:sz w:val="24"/>
                <w:highlight w:val="none"/>
                <w:lang w:val="en-US" w:eastAsia="zh-CN"/>
              </w:rPr>
              <w:t>(9)工作制度：年工作330天，每天24小时连续生产（采用三班制）</w:t>
            </w:r>
          </w:p>
          <w:p w14:paraId="480690F0">
            <w:p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项目产品方案</w:t>
            </w:r>
          </w:p>
          <w:p w14:paraId="54592F23">
            <w:pPr>
              <w:pStyle w:val="22"/>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根据建设单位提供资料，本项目</w:t>
            </w:r>
            <w:r>
              <w:rPr>
                <w:rFonts w:hint="default" w:ascii="Times New Roman" w:hAnsi="Times New Roman" w:eastAsia="宋体" w:cs="Times New Roman"/>
                <w:color w:val="auto"/>
                <w:kern w:val="2"/>
                <w:highlight w:val="none"/>
                <w:lang w:eastAsia="zh-CN"/>
              </w:rPr>
              <w:t>从事</w:t>
            </w:r>
            <w:r>
              <w:rPr>
                <w:rFonts w:hint="default" w:ascii="Times New Roman" w:hAnsi="Times New Roman" w:cs="Times New Roman"/>
                <w:color w:val="auto"/>
                <w:kern w:val="2"/>
                <w:highlight w:val="none"/>
                <w:lang w:eastAsia="zh-CN"/>
              </w:rPr>
              <w:t>未被污染的输液瓶（袋）及生活塑料的回收加工</w:t>
            </w:r>
            <w:r>
              <w:rPr>
                <w:rFonts w:hint="default" w:ascii="Times New Roman" w:hAnsi="Times New Roman" w:eastAsia="宋体" w:cs="Times New Roman"/>
                <w:color w:val="auto"/>
                <w:kern w:val="2"/>
                <w:highlight w:val="none"/>
              </w:rPr>
              <w:t>，项目具体产品方案详见表</w:t>
            </w:r>
            <w:r>
              <w:rPr>
                <w:rFonts w:hint="default" w:ascii="Times New Roman" w:hAnsi="Times New Roman" w:eastAsia="宋体" w:cs="Times New Roman"/>
                <w:color w:val="auto"/>
                <w:kern w:val="2"/>
                <w:highlight w:val="none"/>
                <w:lang w:val="en-US" w:eastAsia="zh-CN"/>
              </w:rPr>
              <w:t>2</w:t>
            </w:r>
            <w:r>
              <w:rPr>
                <w:rFonts w:hint="default" w:ascii="Times New Roman" w:hAnsi="Times New Roman" w:eastAsia="宋体" w:cs="Times New Roman"/>
                <w:color w:val="auto"/>
                <w:kern w:val="2"/>
                <w:highlight w:val="none"/>
              </w:rPr>
              <w:t>.</w:t>
            </w:r>
            <w:r>
              <w:rPr>
                <w:rFonts w:hint="default" w:ascii="Times New Roman" w:hAnsi="Times New Roman" w:eastAsia="宋体" w:cs="Times New Roman"/>
                <w:color w:val="auto"/>
                <w:kern w:val="2"/>
                <w:highlight w:val="none"/>
                <w:lang w:val="en-US" w:eastAsia="zh-CN"/>
              </w:rPr>
              <w:t>2</w:t>
            </w:r>
            <w:r>
              <w:rPr>
                <w:rFonts w:hint="default" w:ascii="Times New Roman" w:hAnsi="Times New Roman" w:eastAsia="宋体" w:cs="Times New Roman"/>
                <w:color w:val="auto"/>
                <w:kern w:val="2"/>
                <w:highlight w:val="none"/>
              </w:rPr>
              <w:t>-1。</w:t>
            </w:r>
          </w:p>
          <w:p w14:paraId="7FEFF2AC">
            <w:pPr>
              <w:pStyle w:val="22"/>
              <w:widowControl w:val="0"/>
              <w:autoSpaceDE w:val="0"/>
              <w:autoSpaceDN w:val="0"/>
              <w:adjustRightInd w:val="0"/>
              <w:snapToGrid w:val="0"/>
              <w:spacing w:before="120" w:beforeLines="50" w:beforeAutospacing="0" w:after="0" w:afterAutospacing="0"/>
              <w:jc w:val="center"/>
              <w:textAlignment w:val="baseline"/>
              <w:rPr>
                <w:rFonts w:hint="default" w:ascii="Times New Roman" w:hAnsi="Times New Roman" w:eastAsia="宋体" w:cs="Times New Roman"/>
                <w:color w:val="auto"/>
                <w:spacing w:val="6"/>
                <w:highlight w:val="none"/>
              </w:rPr>
            </w:pPr>
            <w:r>
              <w:rPr>
                <w:rFonts w:hint="default" w:ascii="Times New Roman" w:hAnsi="Times New Roman" w:eastAsia="黑体" w:cs="Times New Roman"/>
                <w:color w:val="auto"/>
                <w:spacing w:val="6"/>
                <w:highlight w:val="none"/>
              </w:rPr>
              <w:t>表</w:t>
            </w:r>
            <w:r>
              <w:rPr>
                <w:rFonts w:hint="default" w:ascii="Times New Roman" w:hAnsi="Times New Roman" w:eastAsia="黑体" w:cs="Times New Roman"/>
                <w:color w:val="auto"/>
                <w:spacing w:val="6"/>
                <w:highlight w:val="none"/>
                <w:lang w:val="en-US" w:eastAsia="zh-CN"/>
              </w:rPr>
              <w:t>2</w:t>
            </w:r>
            <w:r>
              <w:rPr>
                <w:rFonts w:hint="default" w:ascii="Times New Roman" w:hAnsi="Times New Roman" w:eastAsia="黑体" w:cs="Times New Roman"/>
                <w:color w:val="auto"/>
                <w:spacing w:val="6"/>
                <w:highlight w:val="none"/>
              </w:rPr>
              <w:t>.</w:t>
            </w:r>
            <w:r>
              <w:rPr>
                <w:rFonts w:hint="default" w:ascii="Times New Roman" w:hAnsi="Times New Roman" w:eastAsia="黑体" w:cs="Times New Roman"/>
                <w:color w:val="auto"/>
                <w:spacing w:val="6"/>
                <w:highlight w:val="none"/>
                <w:lang w:val="en-US" w:eastAsia="zh-CN"/>
              </w:rPr>
              <w:t>2</w:t>
            </w:r>
            <w:r>
              <w:rPr>
                <w:rFonts w:hint="default" w:ascii="Times New Roman" w:hAnsi="Times New Roman" w:eastAsia="黑体" w:cs="Times New Roman"/>
                <w:color w:val="auto"/>
                <w:spacing w:val="6"/>
                <w:highlight w:val="none"/>
              </w:rPr>
              <w:t>-1  本项目产品方案说明表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49"/>
              <w:gridCol w:w="2750"/>
              <w:gridCol w:w="2750"/>
            </w:tblGrid>
            <w:tr w14:paraId="4DC6E3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7" w:hRule="atLeast"/>
                <w:jc w:val="center"/>
              </w:trPr>
              <w:tc>
                <w:tcPr>
                  <w:tcW w:w="1666" w:type="pct"/>
                  <w:tcBorders>
                    <w:tl2br w:val="nil"/>
                    <w:tr2bl w:val="nil"/>
                  </w:tcBorders>
                  <w:noWrap w:val="0"/>
                  <w:vAlign w:val="center"/>
                </w:tcPr>
                <w:p w14:paraId="1E620C4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产品名称</w:t>
                  </w:r>
                </w:p>
              </w:tc>
              <w:tc>
                <w:tcPr>
                  <w:tcW w:w="1666" w:type="pct"/>
                  <w:tcBorders>
                    <w:tl2br w:val="nil"/>
                    <w:tr2bl w:val="nil"/>
                  </w:tcBorders>
                  <w:noWrap w:val="0"/>
                  <w:vAlign w:val="center"/>
                </w:tcPr>
                <w:p w14:paraId="7B28A30C">
                  <w:pPr>
                    <w:pStyle w:val="101"/>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产品</w:t>
                  </w:r>
                  <w:r>
                    <w:rPr>
                      <w:rFonts w:hint="default" w:ascii="Times New Roman" w:hAnsi="Times New Roman" w:eastAsia="宋体" w:cs="Times New Roman"/>
                      <w:color w:val="auto"/>
                      <w:sz w:val="21"/>
                      <w:szCs w:val="21"/>
                      <w:lang w:eastAsia="zh-CN"/>
                    </w:rPr>
                    <w:t>规模</w:t>
                  </w:r>
                </w:p>
              </w:tc>
              <w:tc>
                <w:tcPr>
                  <w:tcW w:w="1666" w:type="pct"/>
                  <w:tcBorders>
                    <w:tl2br w:val="nil"/>
                    <w:tr2bl w:val="nil"/>
                  </w:tcBorders>
                  <w:noWrap w:val="0"/>
                  <w:vAlign w:val="center"/>
                </w:tcPr>
                <w:p w14:paraId="1B31CFCE">
                  <w:pPr>
                    <w:pStyle w:val="101"/>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备注</w:t>
                  </w:r>
                </w:p>
              </w:tc>
            </w:tr>
            <w:tr w14:paraId="247C8B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vAlign w:val="center"/>
                </w:tcPr>
                <w:p w14:paraId="51FFE59A">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塑料破碎料</w:t>
                  </w:r>
                </w:p>
              </w:tc>
              <w:tc>
                <w:tcPr>
                  <w:tcW w:w="1666" w:type="pct"/>
                  <w:tcBorders>
                    <w:tl2br w:val="nil"/>
                    <w:tr2bl w:val="nil"/>
                  </w:tcBorders>
                  <w:noWrap w:val="0"/>
                  <w:vAlign w:val="center"/>
                </w:tcPr>
                <w:p w14:paraId="77693D7C">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ascii="Times New Roman" w:hAnsi="Times New Roman" w:cs="Times New Roman"/>
                      <w:color w:val="auto"/>
                      <w:sz w:val="21"/>
                      <w:szCs w:val="21"/>
                      <w:lang w:val="en-US" w:eastAsia="zh-CN"/>
                    </w:rPr>
                    <w:t>898.36</w:t>
                  </w:r>
                  <w:r>
                    <w:rPr>
                      <w:rFonts w:hint="default" w:ascii="Times New Roman" w:hAnsi="Times New Roman" w:eastAsia="宋体" w:cs="Times New Roman"/>
                      <w:color w:val="auto"/>
                      <w:sz w:val="21"/>
                      <w:szCs w:val="21"/>
                      <w:lang w:val="en-US" w:eastAsia="zh-CN"/>
                    </w:rPr>
                    <w:t>吨/年</w:t>
                  </w:r>
                </w:p>
              </w:tc>
              <w:tc>
                <w:tcPr>
                  <w:tcW w:w="1666" w:type="pct"/>
                  <w:vMerge w:val="restart"/>
                  <w:tcBorders>
                    <w:tl2br w:val="nil"/>
                    <w:tr2bl w:val="nil"/>
                  </w:tcBorders>
                  <w:noWrap w:val="0"/>
                  <w:vAlign w:val="center"/>
                </w:tcPr>
                <w:p w14:paraId="2C682A4A">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项目加工后的塑料</w:t>
                  </w:r>
                  <w:r>
                    <w:rPr>
                      <w:rFonts w:hint="eastAsia" w:ascii="Times New Roman" w:hAnsi="Times New Roman" w:cs="Times New Roman"/>
                      <w:color w:val="auto"/>
                      <w:sz w:val="21"/>
                      <w:szCs w:val="21"/>
                      <w:lang w:val="en-US" w:eastAsia="zh-CN"/>
                    </w:rPr>
                    <w:t>碎片</w:t>
                  </w:r>
                  <w:r>
                    <w:rPr>
                      <w:rFonts w:hint="default" w:ascii="Times New Roman" w:hAnsi="Times New Roman" w:eastAsia="宋体" w:cs="Times New Roman"/>
                      <w:color w:val="auto"/>
                      <w:sz w:val="21"/>
                      <w:szCs w:val="21"/>
                      <w:lang w:val="en-US" w:eastAsia="zh-CN"/>
                    </w:rPr>
                    <w:t>不得用于原用途、</w:t>
                  </w:r>
                  <w:r>
                    <w:rPr>
                      <w:rFonts w:hint="eastAsia" w:ascii="宋体" w:hAnsi="宋体" w:eastAsia="宋体" w:cs="宋体"/>
                      <w:b w:val="0"/>
                      <w:bCs w:val="0"/>
                      <w:i w:val="0"/>
                      <w:iCs w:val="0"/>
                      <w:caps w:val="0"/>
                      <w:color w:val="auto"/>
                      <w:spacing w:val="0"/>
                      <w:sz w:val="21"/>
                      <w:szCs w:val="21"/>
                      <w:shd w:val="clear" w:fill="FFFFFF"/>
                    </w:rPr>
                    <w:t>不得用于制造</w:t>
                  </w:r>
                  <w:r>
                    <w:rPr>
                      <w:rFonts w:hint="eastAsia" w:ascii="宋体" w:hAnsi="宋体" w:eastAsia="宋体" w:cs="宋体"/>
                      <w:b w:val="0"/>
                      <w:bCs w:val="0"/>
                      <w:i w:val="0"/>
                      <w:iCs w:val="0"/>
                      <w:caps w:val="0"/>
                      <w:color w:val="auto"/>
                      <w:spacing w:val="0"/>
                      <w:sz w:val="21"/>
                      <w:szCs w:val="21"/>
                      <w:shd w:val="clear" w:fill="FFFFFF"/>
                      <w:lang w:val="en-US" w:eastAsia="zh-CN"/>
                    </w:rPr>
                    <w:t>食品包装等包装袋</w:t>
                  </w:r>
                  <w:r>
                    <w:rPr>
                      <w:rFonts w:hint="eastAsia" w:ascii="宋体" w:hAnsi="宋体" w:eastAsia="宋体" w:cs="宋体"/>
                      <w:b w:val="0"/>
                      <w:bCs w:val="0"/>
                      <w:i w:val="0"/>
                      <w:iCs w:val="0"/>
                      <w:caps w:val="0"/>
                      <w:color w:val="auto"/>
                      <w:spacing w:val="0"/>
                      <w:sz w:val="21"/>
                      <w:szCs w:val="21"/>
                      <w:shd w:val="clear" w:fill="FFFFFF"/>
                    </w:rPr>
                    <w:t>以及玩具等儿童用品</w:t>
                  </w:r>
                  <w:r>
                    <w:rPr>
                      <w:rFonts w:hint="default" w:ascii="Times New Roman" w:hAnsi="Times New Roman" w:eastAsia="宋体" w:cs="Times New Roman"/>
                      <w:color w:val="auto"/>
                      <w:sz w:val="21"/>
                      <w:szCs w:val="21"/>
                      <w:lang w:val="en-US" w:eastAsia="zh-CN"/>
                    </w:rPr>
                    <w:t>的生产等</w:t>
                  </w:r>
                  <w:r>
                    <w:rPr>
                      <w:rFonts w:hint="eastAsia" w:ascii="Times New Roman" w:hAnsi="Times New Roman" w:cs="Times New Roman"/>
                      <w:color w:val="auto"/>
                      <w:sz w:val="21"/>
                      <w:szCs w:val="21"/>
                      <w:lang w:val="en-US" w:eastAsia="zh-CN"/>
                    </w:rPr>
                    <w:t>；用于其他用途时应符合不危害人体健康的原则。</w:t>
                  </w:r>
                </w:p>
              </w:tc>
            </w:tr>
            <w:tr w14:paraId="16F5BA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vAlign w:val="center"/>
                </w:tcPr>
                <w:p w14:paraId="7DFE9CCA">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橡胶破碎料</w:t>
                  </w:r>
                </w:p>
              </w:tc>
              <w:tc>
                <w:tcPr>
                  <w:tcW w:w="1666" w:type="pct"/>
                  <w:tcBorders>
                    <w:tl2br w:val="nil"/>
                    <w:tr2bl w:val="nil"/>
                  </w:tcBorders>
                  <w:noWrap w:val="0"/>
                  <w:vAlign w:val="center"/>
                </w:tcPr>
                <w:p w14:paraId="15A894B1">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395吨/年</w:t>
                  </w:r>
                </w:p>
              </w:tc>
              <w:tc>
                <w:tcPr>
                  <w:tcW w:w="1666" w:type="pct"/>
                  <w:vMerge w:val="continue"/>
                  <w:tcBorders>
                    <w:tl2br w:val="nil"/>
                    <w:tr2bl w:val="nil"/>
                  </w:tcBorders>
                  <w:noWrap w:val="0"/>
                  <w:vAlign w:val="center"/>
                </w:tcPr>
                <w:p w14:paraId="0246BFA3">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9AD20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vAlign w:val="center"/>
                </w:tcPr>
                <w:p w14:paraId="7A76B7E3">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玻璃碎片</w:t>
                  </w:r>
                </w:p>
              </w:tc>
              <w:tc>
                <w:tcPr>
                  <w:tcW w:w="1666" w:type="pct"/>
                  <w:tcBorders>
                    <w:tl2br w:val="nil"/>
                    <w:tr2bl w:val="nil"/>
                  </w:tcBorders>
                  <w:noWrap w:val="0"/>
                  <w:vAlign w:val="center"/>
                </w:tcPr>
                <w:p w14:paraId="79A18E71">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3998.8</w:t>
                  </w:r>
                  <w:r>
                    <w:rPr>
                      <w:rFonts w:hint="default" w:ascii="Times New Roman" w:hAnsi="Times New Roman" w:eastAsia="宋体" w:cs="Times New Roman"/>
                      <w:color w:val="auto"/>
                      <w:sz w:val="21"/>
                      <w:szCs w:val="21"/>
                      <w:lang w:val="en-US" w:eastAsia="zh-CN"/>
                    </w:rPr>
                    <w:t>吨/年</w:t>
                  </w:r>
                </w:p>
              </w:tc>
              <w:tc>
                <w:tcPr>
                  <w:tcW w:w="1666" w:type="pct"/>
                  <w:vMerge w:val="continue"/>
                  <w:tcBorders>
                    <w:tl2br w:val="nil"/>
                    <w:tr2bl w:val="nil"/>
                  </w:tcBorders>
                  <w:noWrap w:val="0"/>
                  <w:vAlign w:val="center"/>
                </w:tcPr>
                <w:p w14:paraId="14C9A0E6">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bl>
          <w:p w14:paraId="3649A403">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 xml:space="preserve"> 项目组成及建设内容</w:t>
            </w:r>
          </w:p>
          <w:p w14:paraId="61D92BD2">
            <w:pPr>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工程</w:t>
            </w:r>
            <w:r>
              <w:rPr>
                <w:rFonts w:hint="default" w:ascii="Times New Roman" w:hAnsi="Times New Roman" w:eastAsia="宋体" w:cs="Times New Roman"/>
                <w:color w:val="auto"/>
                <w:sz w:val="24"/>
                <w:szCs w:val="24"/>
                <w:highlight w:val="none"/>
              </w:rPr>
              <w:t>组成及建设内容</w:t>
            </w:r>
            <w:r>
              <w:rPr>
                <w:rFonts w:hint="default" w:ascii="Times New Roman" w:hAnsi="Times New Roman" w:eastAsia="宋体" w:cs="Times New Roman"/>
                <w:color w:val="auto"/>
                <w:sz w:val="24"/>
                <w:szCs w:val="24"/>
                <w:highlight w:val="none"/>
                <w:lang w:eastAsia="zh-CN"/>
              </w:rPr>
              <w:t>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eastAsia="zh-CN"/>
              </w:rPr>
              <w:t>。</w:t>
            </w:r>
          </w:p>
          <w:p w14:paraId="36816188">
            <w:pPr>
              <w:pStyle w:val="22"/>
              <w:widowControl w:val="0"/>
              <w:autoSpaceDE w:val="0"/>
              <w:autoSpaceDN w:val="0"/>
              <w:adjustRightInd w:val="0"/>
              <w:snapToGrid w:val="0"/>
              <w:spacing w:before="120" w:beforeLines="50" w:beforeAutospacing="0" w:after="0" w:afterAutospacing="0"/>
              <w:jc w:val="center"/>
              <w:textAlignment w:val="baseline"/>
              <w:rPr>
                <w:rFonts w:hint="default" w:ascii="Times New Roman" w:hAnsi="Times New Roman" w:eastAsia="黑体" w:cs="Times New Roman"/>
                <w:color w:val="auto"/>
                <w:spacing w:val="6"/>
              </w:rPr>
            </w:pPr>
          </w:p>
          <w:p w14:paraId="7B26F052">
            <w:pPr>
              <w:pStyle w:val="22"/>
              <w:widowControl w:val="0"/>
              <w:autoSpaceDE w:val="0"/>
              <w:autoSpaceDN w:val="0"/>
              <w:adjustRightInd w:val="0"/>
              <w:snapToGrid w:val="0"/>
              <w:spacing w:before="120" w:beforeLines="50" w:beforeAutospacing="0" w:after="0" w:afterAutospacing="0"/>
              <w:jc w:val="center"/>
              <w:textAlignment w:val="baseline"/>
              <w:rPr>
                <w:rFonts w:hint="default" w:ascii="Times New Roman" w:hAnsi="Times New Roman" w:eastAsia="黑体" w:cs="Times New Roman"/>
                <w:color w:val="auto"/>
                <w:spacing w:val="6"/>
                <w:highlight w:val="yellow"/>
              </w:rPr>
            </w:pPr>
            <w:r>
              <w:rPr>
                <w:rFonts w:hint="default" w:ascii="Times New Roman" w:hAnsi="Times New Roman" w:eastAsia="黑体" w:cs="Times New Roman"/>
                <w:color w:val="auto"/>
                <w:spacing w:val="6"/>
              </w:rPr>
              <w:t>表2.2-</w:t>
            </w:r>
            <w:r>
              <w:rPr>
                <w:rFonts w:hint="default" w:ascii="Times New Roman" w:hAnsi="Times New Roman" w:eastAsia="黑体" w:cs="Times New Roman"/>
                <w:color w:val="auto"/>
                <w:spacing w:val="6"/>
                <w:lang w:val="en-US" w:eastAsia="zh-CN"/>
              </w:rPr>
              <w:t>2</w:t>
            </w:r>
            <w:r>
              <w:rPr>
                <w:rFonts w:hint="default" w:ascii="Times New Roman" w:hAnsi="Times New Roman" w:eastAsia="黑体" w:cs="Times New Roman"/>
                <w:color w:val="auto"/>
                <w:spacing w:val="6"/>
              </w:rPr>
              <w:t xml:space="preserve">  项目组成一览表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355"/>
              <w:gridCol w:w="6102"/>
            </w:tblGrid>
            <w:tr w14:paraId="11949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noWrap w:val="0"/>
                  <w:vAlign w:val="center"/>
                </w:tcPr>
                <w:p w14:paraId="5D57DD45">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p w14:paraId="695BC9B7">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821" w:type="pct"/>
                  <w:noWrap w:val="0"/>
                  <w:vAlign w:val="center"/>
                </w:tcPr>
                <w:p w14:paraId="342C3D56">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项目组成</w:t>
                  </w:r>
                </w:p>
              </w:tc>
              <w:tc>
                <w:tcPr>
                  <w:tcW w:w="3698" w:type="pct"/>
                  <w:noWrap w:val="0"/>
                  <w:vAlign w:val="center"/>
                </w:tcPr>
                <w:p w14:paraId="1909C385">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具体建设内容</w:t>
                  </w:r>
                </w:p>
              </w:tc>
            </w:tr>
            <w:tr w14:paraId="0D3BD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noWrap w:val="0"/>
                  <w:vAlign w:val="center"/>
                </w:tcPr>
                <w:p w14:paraId="3528853C">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主体工程</w:t>
                  </w:r>
                </w:p>
              </w:tc>
              <w:tc>
                <w:tcPr>
                  <w:tcW w:w="821" w:type="pct"/>
                  <w:noWrap w:val="0"/>
                  <w:vAlign w:val="center"/>
                </w:tcPr>
                <w:p w14:paraId="20ED14C8">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生产区</w:t>
                  </w:r>
                </w:p>
              </w:tc>
              <w:tc>
                <w:tcPr>
                  <w:tcW w:w="3698" w:type="pct"/>
                  <w:noWrap w:val="0"/>
                  <w:vAlign w:val="center"/>
                </w:tcPr>
                <w:p w14:paraId="181D3A47">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40" w:lineRule="exact"/>
                    <w:ind w:left="0" w:leftChars="0" w:right="0" w:right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rPr>
                    <w:t>租赁现有厂房，主要设置原料区、成品区及一般固废暂存区，主要购置全自动破碎机、分选机、沉浮式分选槽等设备。年处理未经污染的医疗一次性塑料输液瓶（袋）</w:t>
                  </w:r>
                  <w:r>
                    <w:rPr>
                      <w:rFonts w:hint="default" w:ascii="Times New Roman" w:hAnsi="Times New Roman" w:eastAsia="宋体" w:cs="Times New Roman"/>
                      <w:color w:val="auto"/>
                      <w:sz w:val="21"/>
                      <w:szCs w:val="21"/>
                      <w:lang w:val="en-US" w:eastAsia="zh-CN"/>
                    </w:rPr>
                    <w:t>64</w:t>
                  </w:r>
                  <w:r>
                    <w:rPr>
                      <w:rFonts w:hint="default" w:ascii="Times New Roman" w:hAnsi="Times New Roman" w:eastAsia="宋体" w:cs="Times New Roman"/>
                      <w:color w:val="auto"/>
                      <w:sz w:val="21"/>
                      <w:szCs w:val="21"/>
                    </w:rPr>
                    <w:t>00吨、玻璃瓶</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000吨、</w:t>
                  </w:r>
                  <w:r>
                    <w:rPr>
                      <w:rFonts w:hint="default" w:ascii="Times New Roman" w:hAnsi="Times New Roman" w:eastAsia="宋体" w:cs="Times New Roman"/>
                      <w:color w:val="auto"/>
                      <w:sz w:val="21"/>
                      <w:szCs w:val="21"/>
                      <w:lang w:val="en-US" w:eastAsia="zh-CN"/>
                    </w:rPr>
                    <w:t>生活源塑料4000</w:t>
                  </w:r>
                  <w:r>
                    <w:rPr>
                      <w:rFonts w:hint="default" w:ascii="Times New Roman" w:hAnsi="Times New Roman" w:eastAsia="宋体" w:cs="Times New Roman"/>
                      <w:color w:val="auto"/>
                      <w:sz w:val="21"/>
                      <w:szCs w:val="21"/>
                    </w:rPr>
                    <w:t>吨。</w:t>
                  </w:r>
                </w:p>
              </w:tc>
            </w:tr>
            <w:tr w14:paraId="286AC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noWrap w:val="0"/>
                  <w:vAlign w:val="center"/>
                </w:tcPr>
                <w:p w14:paraId="6D422037">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储运工程</w:t>
                  </w:r>
                </w:p>
              </w:tc>
              <w:tc>
                <w:tcPr>
                  <w:tcW w:w="821" w:type="pct"/>
                  <w:noWrap w:val="0"/>
                  <w:vAlign w:val="center"/>
                </w:tcPr>
                <w:p w14:paraId="66B1D0DC">
                  <w:pPr>
                    <w:pStyle w:val="134"/>
                    <w:keepNext w:val="0"/>
                    <w:keepLines w:val="0"/>
                    <w:pageBreakBefore w:val="0"/>
                    <w:kinsoku/>
                    <w:wordWrap/>
                    <w:overflowPunct/>
                    <w:topLinePunct w:val="0"/>
                    <w:autoSpaceDE/>
                    <w:autoSpaceDN/>
                    <w:bidi w:val="0"/>
                    <w:adjustRightInd/>
                    <w:snapToGrid/>
                    <w:spacing w:line="340" w:lineRule="exact"/>
                    <w:ind w:left="0" w:leftChars="0" w:right="0" w:rightChars="0" w:hanging="10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原料堆放区</w:t>
                  </w:r>
                </w:p>
              </w:tc>
              <w:tc>
                <w:tcPr>
                  <w:tcW w:w="3698" w:type="pct"/>
                  <w:noWrap w:val="0"/>
                  <w:vAlign w:val="center"/>
                </w:tcPr>
                <w:p w14:paraId="02C1262C">
                  <w:pPr>
                    <w:pStyle w:val="134"/>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生产车间内设置</w:t>
                  </w:r>
                  <w:r>
                    <w:rPr>
                      <w:rFonts w:hint="default" w:ascii="Times New Roman" w:hAnsi="Times New Roman" w:eastAsia="宋体" w:cs="Times New Roman"/>
                      <w:color w:val="auto"/>
                      <w:sz w:val="21"/>
                      <w:szCs w:val="21"/>
                    </w:rPr>
                    <w:t>医疗一次性塑料输液瓶（袋）、</w:t>
                  </w:r>
                  <w:r>
                    <w:rPr>
                      <w:rFonts w:hint="default" w:ascii="Times New Roman" w:hAnsi="Times New Roman" w:eastAsia="宋体" w:cs="Times New Roman"/>
                      <w:color w:val="auto"/>
                      <w:sz w:val="21"/>
                      <w:szCs w:val="21"/>
                      <w:lang w:val="en-US" w:eastAsia="zh-CN"/>
                    </w:rPr>
                    <w:t>医用</w:t>
                  </w:r>
                  <w:r>
                    <w:rPr>
                      <w:rFonts w:hint="default" w:ascii="Times New Roman" w:hAnsi="Times New Roman" w:eastAsia="宋体" w:cs="Times New Roman"/>
                      <w:color w:val="auto"/>
                      <w:sz w:val="21"/>
                      <w:szCs w:val="21"/>
                    </w:rPr>
                    <w:t>玻璃瓶</w:t>
                  </w:r>
                  <w:r>
                    <w:rPr>
                      <w:rFonts w:hint="default" w:ascii="Times New Roman" w:hAnsi="Times New Roman" w:eastAsia="宋体" w:cs="Times New Roman"/>
                      <w:color w:val="auto"/>
                      <w:sz w:val="21"/>
                      <w:szCs w:val="21"/>
                      <w:lang w:val="en-US" w:eastAsia="zh-CN"/>
                    </w:rPr>
                    <w:t>及生活源塑料</w:t>
                  </w:r>
                  <w:r>
                    <w:rPr>
                      <w:rFonts w:hint="eastAsia" w:ascii="Times New Roman" w:hAnsi="Times New Roman" w:eastAsia="宋体" w:cs="Times New Roman"/>
                      <w:color w:val="auto"/>
                      <w:sz w:val="21"/>
                      <w:szCs w:val="21"/>
                      <w:lang w:val="en-US" w:eastAsia="zh-CN"/>
                    </w:rPr>
                    <w:t>(矿泉水瓶)</w:t>
                  </w:r>
                  <w:r>
                    <w:rPr>
                      <w:rFonts w:hint="default" w:ascii="Times New Roman" w:hAnsi="Times New Roman" w:eastAsia="宋体" w:cs="Times New Roman"/>
                      <w:color w:val="auto"/>
                      <w:sz w:val="21"/>
                      <w:szCs w:val="21"/>
                      <w:lang w:val="en-US" w:eastAsia="zh-CN"/>
                    </w:rPr>
                    <w:t>储存</w:t>
                  </w:r>
                  <w:r>
                    <w:rPr>
                      <w:rFonts w:hint="default" w:ascii="Times New Roman" w:hAnsi="Times New Roman" w:eastAsia="宋体" w:cs="Times New Roman"/>
                      <w:color w:val="auto"/>
                      <w:kern w:val="2"/>
                      <w:sz w:val="21"/>
                      <w:szCs w:val="21"/>
                      <w:lang w:val="en-US" w:eastAsia="zh-CN" w:bidi="ar-SA"/>
                    </w:rPr>
                    <w:t>区，</w:t>
                  </w:r>
                  <w:r>
                    <w:rPr>
                      <w:rFonts w:hint="eastAsia" w:ascii="Times New Roman" w:hAnsi="Times New Roman" w:eastAsia="宋体" w:cs="Times New Roman"/>
                      <w:color w:val="auto"/>
                      <w:kern w:val="2"/>
                      <w:sz w:val="21"/>
                      <w:szCs w:val="21"/>
                      <w:lang w:val="en-US" w:eastAsia="zh-CN" w:bidi="ar-SA"/>
                    </w:rPr>
                    <w:t>位于车间西南部，面积66m</w:t>
                  </w:r>
                  <w:r>
                    <w:rPr>
                      <w:rFonts w:hint="eastAsia"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，堆放高度1.2m，</w:t>
                  </w:r>
                  <w:r>
                    <w:rPr>
                      <w:rFonts w:hint="default" w:ascii="Times New Roman" w:hAnsi="Times New Roman" w:eastAsia="宋体" w:cs="Times New Roman"/>
                      <w:color w:val="auto"/>
                      <w:kern w:val="2"/>
                      <w:sz w:val="21"/>
                      <w:szCs w:val="21"/>
                      <w:lang w:val="en-US" w:eastAsia="zh-CN" w:bidi="ar-SA"/>
                    </w:rPr>
                    <w:t>分别用于各自原材料存放</w:t>
                  </w:r>
                </w:p>
              </w:tc>
            </w:tr>
            <w:tr w14:paraId="5A03D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3E4CE1F7">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821" w:type="pct"/>
                  <w:shd w:val="clear" w:color="auto" w:fill="auto"/>
                  <w:noWrap w:val="0"/>
                  <w:vAlign w:val="center"/>
                </w:tcPr>
                <w:p w14:paraId="10F956DC">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成品区</w:t>
                  </w:r>
                </w:p>
              </w:tc>
              <w:tc>
                <w:tcPr>
                  <w:tcW w:w="3698" w:type="pct"/>
                  <w:shd w:val="clear" w:color="auto" w:fill="auto"/>
                  <w:noWrap w:val="0"/>
                  <w:vAlign w:val="center"/>
                </w:tcPr>
                <w:p w14:paraId="5E77191E">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生产车间内设置1个成品区，划分为塑料破碎料、橡胶破碎料及玻璃碎片储存区</w:t>
                  </w:r>
                  <w:r>
                    <w:rPr>
                      <w:rFonts w:hint="eastAsia" w:cs="Times New Roman"/>
                      <w:color w:val="auto"/>
                      <w:kern w:val="2"/>
                      <w:sz w:val="21"/>
                      <w:szCs w:val="21"/>
                      <w:lang w:val="en-US" w:eastAsia="zh-CN" w:bidi="ar-SA"/>
                    </w:rPr>
                    <w:t>，位于车间北部，面积72</w:t>
                  </w:r>
                  <w:r>
                    <w:rPr>
                      <w:rFonts w:hint="eastAsia" w:ascii="Times New Roman" w:hAnsi="Times New Roman" w:eastAsia="宋体" w:cs="Times New Roman"/>
                      <w:color w:val="auto"/>
                      <w:kern w:val="2"/>
                      <w:sz w:val="21"/>
                      <w:szCs w:val="21"/>
                      <w:lang w:val="en-US" w:eastAsia="zh-CN" w:bidi="ar-SA"/>
                    </w:rPr>
                    <w:t>m</w:t>
                  </w:r>
                  <w:r>
                    <w:rPr>
                      <w:rFonts w:hint="eastAsia" w:ascii="Times New Roman" w:hAnsi="Times New Roman" w:eastAsia="宋体" w:cs="Times New Roman"/>
                      <w:color w:val="auto"/>
                      <w:kern w:val="2"/>
                      <w:sz w:val="21"/>
                      <w:szCs w:val="21"/>
                      <w:vertAlign w:val="superscript"/>
                      <w:lang w:val="en-US" w:eastAsia="zh-CN" w:bidi="ar-SA"/>
                    </w:rPr>
                    <w:t>2</w:t>
                  </w:r>
                  <w:r>
                    <w:rPr>
                      <w:rFonts w:hint="eastAsia" w:cs="Times New Roman"/>
                      <w:color w:val="auto"/>
                      <w:kern w:val="2"/>
                      <w:sz w:val="21"/>
                      <w:szCs w:val="21"/>
                      <w:vertAlign w:val="baseline"/>
                      <w:lang w:val="en-US" w:eastAsia="zh-CN" w:bidi="ar-SA"/>
                    </w:rPr>
                    <w:t>，</w:t>
                  </w:r>
                  <w:r>
                    <w:rPr>
                      <w:rFonts w:hint="eastAsia" w:ascii="Times New Roman" w:hAnsi="Times New Roman" w:eastAsia="宋体" w:cs="Times New Roman"/>
                      <w:color w:val="auto"/>
                      <w:kern w:val="2"/>
                      <w:sz w:val="21"/>
                      <w:szCs w:val="21"/>
                      <w:lang w:val="en-US" w:eastAsia="zh-CN" w:bidi="ar-SA"/>
                    </w:rPr>
                    <w:t>堆放高度</w:t>
                  </w:r>
                  <w:r>
                    <w:rPr>
                      <w:rFonts w:hint="eastAsia" w:cs="Times New Roman"/>
                      <w:color w:val="auto"/>
                      <w:kern w:val="2"/>
                      <w:sz w:val="21"/>
                      <w:szCs w:val="21"/>
                      <w:lang w:val="en-US" w:eastAsia="zh-CN" w:bidi="ar-SA"/>
                    </w:rPr>
                    <w:t>2.0</w:t>
                  </w:r>
                  <w:r>
                    <w:rPr>
                      <w:rFonts w:hint="eastAsia" w:ascii="Times New Roman" w:hAnsi="Times New Roman" w:eastAsia="宋体" w:cs="Times New Roman"/>
                      <w:color w:val="auto"/>
                      <w:kern w:val="2"/>
                      <w:sz w:val="21"/>
                      <w:szCs w:val="21"/>
                      <w:lang w:val="en-US" w:eastAsia="zh-CN" w:bidi="ar-SA"/>
                    </w:rPr>
                    <w:t>m</w:t>
                  </w:r>
                </w:p>
              </w:tc>
            </w:tr>
            <w:tr w14:paraId="70C0F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noWrap w:val="0"/>
                  <w:vAlign w:val="center"/>
                </w:tcPr>
                <w:p w14:paraId="270FBED5">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14:paraId="22818593">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821" w:type="pct"/>
                  <w:noWrap w:val="0"/>
                  <w:vAlign w:val="center"/>
                </w:tcPr>
                <w:p w14:paraId="37B9B70E">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3698" w:type="pct"/>
                  <w:noWrap w:val="0"/>
                  <w:vAlign w:val="center"/>
                </w:tcPr>
                <w:p w14:paraId="6E6EC247">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接市政供水管网</w:t>
                  </w:r>
                </w:p>
              </w:tc>
            </w:tr>
            <w:tr w14:paraId="23358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031D0CF3">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noWrap w:val="0"/>
                  <w:vAlign w:val="center"/>
                </w:tcPr>
                <w:p w14:paraId="4D6EDE6F">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3698" w:type="pct"/>
                  <w:noWrap w:val="0"/>
                  <w:vAlign w:val="center"/>
                </w:tcPr>
                <w:p w14:paraId="42F92719">
                  <w:pPr>
                    <w:pStyle w:val="92"/>
                    <w:keepNext w:val="0"/>
                    <w:keepLines w:val="0"/>
                    <w:pageBreakBefore w:val="0"/>
                    <w:kinsoku/>
                    <w:wordWrap/>
                    <w:overflowPunct/>
                    <w:topLinePunct w:val="0"/>
                    <w:autoSpaceDE/>
                    <w:autoSpaceDN/>
                    <w:bidi w:val="0"/>
                    <w:adjustRightInd/>
                    <w:snapToGrid/>
                    <w:spacing w:after="0" w:line="3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接市政供电系统</w:t>
                  </w:r>
                </w:p>
              </w:tc>
            </w:tr>
            <w:tr w14:paraId="07CEC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6867B5A4">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noWrap w:val="0"/>
                  <w:vAlign w:val="center"/>
                </w:tcPr>
                <w:p w14:paraId="7A9368BA">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3698" w:type="pct"/>
                  <w:noWrap w:val="0"/>
                  <w:vAlign w:val="center"/>
                </w:tcPr>
                <w:p w14:paraId="458CCF9C">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雨污分流，雨水经雨水管收集后直接排入市政雨水管网；污水经污水管收集后排入市政污水管网</w:t>
                  </w:r>
                </w:p>
              </w:tc>
            </w:tr>
            <w:tr w14:paraId="6E458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noWrap w:val="0"/>
                  <w:vAlign w:val="center"/>
                </w:tcPr>
                <w:p w14:paraId="705E926B">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w:t>
                  </w:r>
                </w:p>
                <w:p w14:paraId="572EA4EF">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821" w:type="pct"/>
                  <w:vMerge w:val="restart"/>
                  <w:noWrap w:val="0"/>
                  <w:vAlign w:val="center"/>
                </w:tcPr>
                <w:p w14:paraId="4BD3DA62">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废水处理</w:t>
                  </w:r>
                </w:p>
              </w:tc>
              <w:tc>
                <w:tcPr>
                  <w:tcW w:w="3698" w:type="pct"/>
                  <w:noWrap w:val="0"/>
                  <w:vAlign w:val="center"/>
                </w:tcPr>
                <w:p w14:paraId="1B22AEF8">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经收集后经自建污水处理设施处理，处理后约</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eastAsia="zh-CN"/>
                    </w:rPr>
                    <w:t>0%的废水回用于生产，剩余</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eastAsia="zh-CN"/>
                    </w:rPr>
                    <w:t>%通过园区管网排入江镜华侨农场污水处理厂处理。</w:t>
                  </w:r>
                </w:p>
              </w:tc>
            </w:tr>
            <w:tr w14:paraId="4CE17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6608E1D6">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vMerge w:val="continue"/>
                  <w:noWrap w:val="0"/>
                  <w:vAlign w:val="center"/>
                </w:tcPr>
                <w:p w14:paraId="5631D8EA">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3698" w:type="pct"/>
                  <w:noWrap w:val="0"/>
                  <w:vAlign w:val="center"/>
                </w:tcPr>
                <w:p w14:paraId="0102F40B">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生活污水</w:t>
                  </w:r>
                  <w:r>
                    <w:rPr>
                      <w:rFonts w:hint="default" w:ascii="Times New Roman" w:hAnsi="Times New Roman" w:eastAsia="宋体" w:cs="Times New Roman"/>
                      <w:color w:val="auto"/>
                      <w:sz w:val="21"/>
                      <w:szCs w:val="21"/>
                    </w:rPr>
                    <w:t>经化粪池预处理后接入</w:t>
                  </w:r>
                  <w:r>
                    <w:rPr>
                      <w:rFonts w:hint="default" w:ascii="Times New Roman" w:hAnsi="Times New Roman" w:eastAsia="宋体" w:cs="Times New Roman"/>
                      <w:color w:val="auto"/>
                      <w:sz w:val="21"/>
                      <w:szCs w:val="21"/>
                      <w:lang w:eastAsia="zh-CN"/>
                    </w:rPr>
                    <w:t>江镜华侨农场污水处理厂</w:t>
                  </w:r>
                </w:p>
              </w:tc>
            </w:tr>
            <w:tr w14:paraId="73832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719CD0BA">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noWrap w:val="0"/>
                  <w:vAlign w:val="center"/>
                </w:tcPr>
                <w:p w14:paraId="1FEF82B1">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3698" w:type="pct"/>
                  <w:noWrap w:val="0"/>
                  <w:vAlign w:val="center"/>
                </w:tcPr>
                <w:p w14:paraId="16F924B7">
                  <w:pPr>
                    <w:pStyle w:val="79"/>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使用密闭的破碎机</w:t>
                  </w:r>
                  <w:r>
                    <w:rPr>
                      <w:rFonts w:hint="default" w:ascii="Times New Roman" w:hAnsi="Times New Roman" w:eastAsia="宋体" w:cs="Times New Roman"/>
                      <w:color w:val="auto"/>
                      <w:sz w:val="21"/>
                      <w:szCs w:val="21"/>
                      <w:highlight w:val="none"/>
                      <w:lang w:val="en-US" w:eastAsia="zh-CN"/>
                    </w:rPr>
                    <w:t>湿法</w:t>
                  </w:r>
                  <w:r>
                    <w:rPr>
                      <w:rFonts w:hint="eastAsia" w:ascii="Times New Roman" w:hAnsi="Times New Roman" w:eastAsia="宋体"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lang w:val="en-US" w:eastAsia="zh-CN"/>
                    </w:rPr>
                    <w:t>，无</w:t>
                  </w:r>
                  <w:r>
                    <w:rPr>
                      <w:rFonts w:hint="eastAsia"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lang w:val="en-US" w:eastAsia="zh-CN"/>
                    </w:rPr>
                    <w:t>废气产生</w:t>
                  </w:r>
                  <w:r>
                    <w:rPr>
                      <w:rFonts w:hint="eastAsia" w:cs="Times New Roman"/>
                      <w:color w:val="auto"/>
                      <w:sz w:val="21"/>
                      <w:szCs w:val="21"/>
                      <w:highlight w:val="none"/>
                      <w:lang w:val="en-US" w:eastAsia="zh-CN"/>
                    </w:rPr>
                    <w:t>，项目污水处理设施加盖密闭，产生的恶臭通过车间通风排放</w:t>
                  </w:r>
                  <w:r>
                    <w:rPr>
                      <w:rFonts w:hint="default" w:ascii="Times New Roman" w:hAnsi="Times New Roman" w:eastAsia="宋体" w:cs="Times New Roman"/>
                      <w:color w:val="auto"/>
                      <w:sz w:val="21"/>
                      <w:szCs w:val="21"/>
                      <w:highlight w:val="none"/>
                      <w:lang w:val="en-US" w:eastAsia="zh-CN"/>
                    </w:rPr>
                    <w:t>。</w:t>
                  </w:r>
                </w:p>
              </w:tc>
            </w:tr>
            <w:tr w14:paraId="23D78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6EE99AF1">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vMerge w:val="restart"/>
                  <w:noWrap w:val="0"/>
                  <w:vAlign w:val="center"/>
                </w:tcPr>
                <w:p w14:paraId="217CF95D">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w:t>
                  </w:r>
                </w:p>
              </w:tc>
              <w:tc>
                <w:tcPr>
                  <w:tcW w:w="3698" w:type="pct"/>
                  <w:shd w:val="clear" w:color="auto" w:fill="auto"/>
                  <w:noWrap w:val="0"/>
                  <w:vAlign w:val="center"/>
                </w:tcPr>
                <w:p w14:paraId="42F95845">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设一般工业固废暂存区，一般工业固废</w:t>
                  </w:r>
                  <w:r>
                    <w:rPr>
                      <w:rFonts w:hint="default" w:ascii="Times New Roman" w:hAnsi="Times New Roman" w:eastAsia="宋体" w:cs="Times New Roman"/>
                      <w:color w:val="auto"/>
                      <w:sz w:val="21"/>
                      <w:szCs w:val="21"/>
                      <w:lang w:eastAsia="zh-CN"/>
                    </w:rPr>
                    <w:t>统一</w:t>
                  </w:r>
                  <w:r>
                    <w:rPr>
                      <w:rFonts w:hint="default" w:ascii="Times New Roman" w:hAnsi="Times New Roman" w:eastAsia="宋体" w:cs="Times New Roman"/>
                      <w:color w:val="auto"/>
                      <w:sz w:val="21"/>
                      <w:szCs w:val="21"/>
                    </w:rPr>
                    <w:t>分类收集后外售</w:t>
                  </w:r>
                </w:p>
              </w:tc>
            </w:tr>
            <w:tr w14:paraId="279CC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3F62A37A">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vMerge w:val="continue"/>
                  <w:noWrap w:val="0"/>
                  <w:vAlign w:val="center"/>
                </w:tcPr>
                <w:p w14:paraId="2CD01009">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3698" w:type="pct"/>
                  <w:shd w:val="clear" w:color="auto" w:fill="auto"/>
                  <w:noWrap w:val="0"/>
                  <w:vAlign w:val="center"/>
                </w:tcPr>
                <w:p w14:paraId="406E326D">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设置生活垃圾桶，生活垃圾收集后委托环卫工人处置</w:t>
                  </w:r>
                </w:p>
              </w:tc>
            </w:tr>
            <w:tr w14:paraId="4B49D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007FE9AE">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noWrap w:val="0"/>
                  <w:vAlign w:val="center"/>
                </w:tcPr>
                <w:p w14:paraId="05ED5D2D">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噪声处置</w:t>
                  </w:r>
                </w:p>
              </w:tc>
              <w:tc>
                <w:tcPr>
                  <w:tcW w:w="3698" w:type="pct"/>
                  <w:noWrap w:val="0"/>
                  <w:vAlign w:val="center"/>
                </w:tcPr>
                <w:p w14:paraId="7B05BD18">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选用低噪声设备，对高噪声设备采取减振、隔声等降噪措施</w:t>
                  </w:r>
                </w:p>
              </w:tc>
            </w:tr>
          </w:tbl>
          <w:p w14:paraId="5ED81016">
            <w:pPr>
              <w:spacing w:line="360" w:lineRule="auto"/>
              <w:rPr>
                <w:rFonts w:hint="default" w:ascii="Times New Roman" w:hAnsi="Times New Roman" w:eastAsia="宋体" w:cs="Times New Roman"/>
                <w:color w:val="auto"/>
                <w:lang w:val="en-US" w:eastAsia="zh-CN"/>
              </w:rPr>
            </w:pPr>
          </w:p>
        </w:tc>
      </w:tr>
    </w:tbl>
    <w:p w14:paraId="660BB80D">
      <w:pPr>
        <w:pStyle w:val="22"/>
        <w:adjustRightInd w:val="0"/>
        <w:snapToGrid w:val="0"/>
        <w:spacing w:before="0" w:beforeAutospacing="0" w:after="0" w:afterAutospacing="0"/>
        <w:jc w:val="center"/>
        <w:rPr>
          <w:rFonts w:hint="default" w:ascii="Times New Roman" w:hAnsi="Times New Roman" w:eastAsia="宋体" w:cs="Times New Roman"/>
          <w:color w:val="auto"/>
          <w:sz w:val="21"/>
          <w:szCs w:val="21"/>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94"/>
      </w:tblGrid>
      <w:tr w14:paraId="3BAB9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dxa"/>
            <w:noWrap w:val="0"/>
            <w:vAlign w:val="center"/>
          </w:tcPr>
          <w:p w14:paraId="54975668">
            <w:pPr>
              <w:pStyle w:val="22"/>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c>
          <w:tcPr>
            <w:tcW w:w="8594" w:type="dxa"/>
            <w:noWrap w:val="0"/>
            <w:vAlign w:val="top"/>
          </w:tcPr>
          <w:p w14:paraId="39B89384">
            <w:pPr>
              <w:keepNext w:val="0"/>
              <w:keepLines w:val="0"/>
              <w:pageBreakBefore w:val="0"/>
              <w:widowControl w:val="0"/>
              <w:kinsoku/>
              <w:wordWrap/>
              <w:overflowPunct/>
              <w:topLinePunct w:val="0"/>
              <w:autoSpaceDE/>
              <w:autoSpaceDN/>
              <w:bidi w:val="0"/>
              <w:adjustRightInd/>
              <w:snapToGrid/>
              <w:spacing w:before="191" w:beforeLines="50" w:line="360" w:lineRule="auto"/>
              <w:textAlignment w:val="auto"/>
              <w:rPr>
                <w:rFonts w:hint="default" w:ascii="Times New Roman" w:hAnsi="Times New Roman" w:eastAsia="宋体" w:cs="Times New Roman"/>
                <w:b/>
                <w:color w:val="auto"/>
                <w:sz w:val="24"/>
                <w:szCs w:val="24"/>
                <w:highlight w:val="none"/>
              </w:rPr>
            </w:pPr>
            <w:bookmarkStart w:id="18" w:name="_Toc13343"/>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 xml:space="preserve"> 项目主要原辅材料</w:t>
            </w:r>
            <w:bookmarkEnd w:id="18"/>
          </w:p>
          <w:p w14:paraId="7E9D296F">
            <w:pPr>
              <w:tabs>
                <w:tab w:val="left" w:pos="5184"/>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根据国卫办医发〔2017〕30号，本项目回收的各级医院未被污染的医用输液瓶（袋）属于可回收物，可作为再生资源回收利用，不属于医疗废物和危险废物。</w:t>
            </w:r>
          </w:p>
          <w:p w14:paraId="3AB5FECE">
            <w:pPr>
              <w:tabs>
                <w:tab w:val="left" w:pos="5184"/>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回收过程中派专人全程监督交货过程，对收购的原料进行严格筛选，同时要求建设单位将在与医疗机构单位签订的回收协议中明确，</w:t>
            </w:r>
            <w:r>
              <w:rPr>
                <w:rFonts w:hint="default" w:ascii="Times New Roman" w:hAnsi="Times New Roman" w:eastAsia="宋体" w:cs="Times New Roman"/>
                <w:b/>
                <w:bCs/>
                <w:color w:val="auto"/>
                <w:sz w:val="24"/>
                <w:szCs w:val="24"/>
                <w:highlight w:val="none"/>
              </w:rPr>
              <w:t>仅回收PP</w:t>
            </w:r>
            <w:r>
              <w:rPr>
                <w:rFonts w:hint="default" w:ascii="Times New Roman" w:hAnsi="Times New Roman" w:cs="Times New Roman"/>
                <w:b/>
                <w:bCs/>
                <w:color w:val="auto"/>
                <w:sz w:val="24"/>
                <w:szCs w:val="24"/>
                <w:highlight w:val="none"/>
                <w:lang w:val="en-US" w:eastAsia="zh-CN"/>
              </w:rPr>
              <w:t>、PE</w:t>
            </w:r>
            <w:r>
              <w:rPr>
                <w:rFonts w:hint="default" w:ascii="Times New Roman" w:hAnsi="Times New Roman" w:eastAsia="宋体" w:cs="Times New Roman"/>
                <w:b/>
                <w:bCs/>
                <w:color w:val="auto"/>
                <w:sz w:val="24"/>
                <w:szCs w:val="24"/>
                <w:highlight w:val="none"/>
              </w:rPr>
              <w:t>材质的塑料输液瓶（袋）</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所用</w:t>
            </w:r>
            <w:r>
              <w:rPr>
                <w:rFonts w:hint="eastAsia" w:cs="Times New Roman"/>
                <w:color w:val="auto"/>
                <w:sz w:val="24"/>
                <w:szCs w:val="24"/>
                <w:highlight w:val="none"/>
                <w:lang w:val="en-US" w:eastAsia="zh-CN"/>
              </w:rPr>
              <w:t>生活源</w:t>
            </w:r>
            <w:r>
              <w:rPr>
                <w:rFonts w:hint="default" w:ascii="Times New Roman" w:hAnsi="Times New Roman" w:eastAsia="宋体" w:cs="Times New Roman"/>
                <w:color w:val="auto"/>
                <w:sz w:val="24"/>
                <w:szCs w:val="24"/>
                <w:highlight w:val="none"/>
              </w:rPr>
              <w:t>塑料为废矿泉水瓶，来源于</w:t>
            </w:r>
            <w:r>
              <w:rPr>
                <w:rFonts w:hint="eastAsia" w:cs="Times New Roman"/>
                <w:color w:val="auto"/>
                <w:sz w:val="24"/>
                <w:szCs w:val="24"/>
                <w:highlight w:val="none"/>
                <w:lang w:val="en-US" w:eastAsia="zh-CN"/>
              </w:rPr>
              <w:t>福建省内</w:t>
            </w:r>
            <w:r>
              <w:rPr>
                <w:rFonts w:hint="default" w:ascii="Times New Roman" w:hAnsi="Times New Roman" w:eastAsia="宋体" w:cs="Times New Roman"/>
                <w:color w:val="auto"/>
                <w:sz w:val="24"/>
                <w:szCs w:val="24"/>
                <w:highlight w:val="none"/>
              </w:rPr>
              <w:t>废品回收站，经人工分选后，只利用无颜色的废矿泉水瓶，瓶身的主要成份为PET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对不符合要求的塑料制品予以拒收。同时，按计划回收，分期分批入库，项目应建立台账，对采购的原料应建立详细的台账，并设专人管理。</w:t>
            </w:r>
          </w:p>
          <w:p w14:paraId="4E8D21D5">
            <w:pPr>
              <w:tabs>
                <w:tab w:val="left" w:pos="5184"/>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项目原辅材料及能源消耗情况见表</w:t>
            </w:r>
            <w:r>
              <w:rPr>
                <w:rFonts w:hint="default" w:ascii="Times New Roman" w:hAnsi="Times New Roman" w:cs="Times New Roman"/>
                <w:color w:val="auto"/>
                <w:sz w:val="24"/>
                <w:szCs w:val="24"/>
                <w:highlight w:val="none"/>
                <w:lang w:val="en-US" w:eastAsia="zh-CN"/>
              </w:rPr>
              <w:t>2.2-3，</w:t>
            </w:r>
            <w:r>
              <w:rPr>
                <w:rFonts w:hint="default" w:ascii="Times New Roman" w:hAnsi="Times New Roman" w:eastAsia="宋体" w:cs="Times New Roman"/>
                <w:color w:val="auto"/>
                <w:sz w:val="24"/>
                <w:szCs w:val="24"/>
                <w:highlight w:val="none"/>
              </w:rPr>
              <w:t>主要原辅材料性质详见表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-4。</w:t>
            </w:r>
          </w:p>
          <w:p w14:paraId="67306519">
            <w:pPr>
              <w:keepNext w:val="0"/>
              <w:keepLines w:val="0"/>
              <w:pageBreakBefore w:val="0"/>
              <w:widowControl w:val="0"/>
              <w:tabs>
                <w:tab w:val="left" w:pos="5184"/>
              </w:tabs>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bCs/>
                <w:color w:val="auto"/>
                <w:kern w:val="44"/>
                <w:sz w:val="24"/>
                <w:szCs w:val="24"/>
                <w:lang w:val="en-US" w:eastAsia="zh-CN" w:bidi="ar-SA"/>
              </w:rPr>
            </w:pPr>
            <w:r>
              <w:rPr>
                <w:rFonts w:hint="default" w:ascii="Times New Roman" w:hAnsi="Times New Roman" w:eastAsia="黑体" w:cs="Times New Roman"/>
                <w:bCs/>
                <w:color w:val="auto"/>
                <w:kern w:val="44"/>
                <w:sz w:val="24"/>
                <w:szCs w:val="24"/>
                <w:lang w:val="en-US" w:eastAsia="zh-CN" w:bidi="ar-SA"/>
              </w:rPr>
              <w:t>表2.2-3  各原辅材料储存方式一览表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599"/>
              <w:gridCol w:w="1446"/>
              <w:gridCol w:w="1857"/>
              <w:gridCol w:w="1373"/>
              <w:gridCol w:w="1312"/>
            </w:tblGrid>
            <w:tr w14:paraId="325ED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14:paraId="0FD95172">
                  <w:pPr>
                    <w:pStyle w:val="15"/>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954" w:type="pct"/>
                  <w:noWrap w:val="0"/>
                  <w:vAlign w:val="center"/>
                </w:tcPr>
                <w:p w14:paraId="22CD6A35">
                  <w:pPr>
                    <w:pStyle w:val="15"/>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材料名称</w:t>
                  </w:r>
                </w:p>
              </w:tc>
              <w:tc>
                <w:tcPr>
                  <w:tcW w:w="863" w:type="pct"/>
                  <w:noWrap w:val="0"/>
                  <w:vAlign w:val="center"/>
                </w:tcPr>
                <w:p w14:paraId="0E7D7A95">
                  <w:pPr>
                    <w:pStyle w:val="15"/>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年使用量</w:t>
                  </w:r>
                </w:p>
              </w:tc>
              <w:tc>
                <w:tcPr>
                  <w:tcW w:w="1108" w:type="pct"/>
                  <w:noWrap w:val="0"/>
                  <w:vAlign w:val="center"/>
                </w:tcPr>
                <w:p w14:paraId="4EA4BDD2">
                  <w:pPr>
                    <w:pStyle w:val="15"/>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最大储存量</w:t>
                  </w:r>
                </w:p>
              </w:tc>
              <w:tc>
                <w:tcPr>
                  <w:tcW w:w="819" w:type="pct"/>
                  <w:noWrap w:val="0"/>
                  <w:vAlign w:val="center"/>
                </w:tcPr>
                <w:p w14:paraId="2200C051">
                  <w:pPr>
                    <w:pStyle w:val="15"/>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物理形态</w:t>
                  </w:r>
                </w:p>
              </w:tc>
              <w:tc>
                <w:tcPr>
                  <w:tcW w:w="783" w:type="pct"/>
                  <w:noWrap w:val="0"/>
                  <w:vAlign w:val="center"/>
                </w:tcPr>
                <w:p w14:paraId="13B9CEB8">
                  <w:pPr>
                    <w:pStyle w:val="15"/>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来源</w:t>
                  </w:r>
                </w:p>
              </w:tc>
            </w:tr>
            <w:tr w14:paraId="68504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14:paraId="2F942093">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1</w:t>
                  </w:r>
                </w:p>
              </w:tc>
              <w:tc>
                <w:tcPr>
                  <w:tcW w:w="954" w:type="pct"/>
                  <w:noWrap w:val="0"/>
                  <w:vAlign w:val="center"/>
                </w:tcPr>
                <w:p w14:paraId="590A1A73">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未被污染的医用塑料输液瓶（袋）</w:t>
                  </w:r>
                </w:p>
              </w:tc>
              <w:tc>
                <w:tcPr>
                  <w:tcW w:w="863" w:type="pct"/>
                  <w:noWrap w:val="0"/>
                  <w:vAlign w:val="center"/>
                </w:tcPr>
                <w:p w14:paraId="5389485B">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6400吨/年</w:t>
                  </w:r>
                </w:p>
              </w:tc>
              <w:tc>
                <w:tcPr>
                  <w:tcW w:w="1108" w:type="pct"/>
                  <w:noWrap w:val="0"/>
                  <w:vAlign w:val="center"/>
                </w:tcPr>
                <w:p w14:paraId="6FFB6F80">
                  <w:pPr>
                    <w:keepNext w:val="0"/>
                    <w:keepLines w:val="0"/>
                    <w:pageBreakBefore w:val="0"/>
                    <w:widowControl/>
                    <w:suppressLineNumbers w:val="0"/>
                    <w:kinsoku/>
                    <w:wordWrap/>
                    <w:overflowPunct/>
                    <w:topLinePunct w:val="0"/>
                    <w:bidi w:val="0"/>
                    <w:adjustRightInd/>
                    <w:snapToGrid/>
                    <w:spacing w:line="340" w:lineRule="exact"/>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200吨</w:t>
                  </w:r>
                </w:p>
              </w:tc>
              <w:tc>
                <w:tcPr>
                  <w:tcW w:w="819" w:type="pct"/>
                  <w:noWrap w:val="0"/>
                  <w:vAlign w:val="center"/>
                </w:tcPr>
                <w:p w14:paraId="5F5C394D">
                  <w:pPr>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固态</w:t>
                  </w:r>
                </w:p>
              </w:tc>
              <w:tc>
                <w:tcPr>
                  <w:tcW w:w="783" w:type="pct"/>
                  <w:vMerge w:val="restart"/>
                  <w:noWrap w:val="0"/>
                  <w:vAlign w:val="center"/>
                </w:tcPr>
                <w:p w14:paraId="63DF7EA3">
                  <w:pPr>
                    <w:pStyle w:val="15"/>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回收</w:t>
                  </w:r>
                  <w:r>
                    <w:rPr>
                      <w:rFonts w:hint="eastAsia" w:ascii="Times New Roman" w:hAnsi="Times New Roman" w:cs="Times New Roman"/>
                      <w:b w:val="0"/>
                      <w:bCs/>
                      <w:color w:val="auto"/>
                      <w:sz w:val="21"/>
                      <w:szCs w:val="21"/>
                      <w:lang w:val="en-US" w:eastAsia="zh-CN"/>
                    </w:rPr>
                    <w:t>福建省内</w:t>
                  </w:r>
                  <w:r>
                    <w:rPr>
                      <w:rFonts w:hint="default" w:ascii="Times New Roman" w:hAnsi="Times New Roman" w:eastAsia="宋体" w:cs="Times New Roman"/>
                      <w:b w:val="0"/>
                      <w:bCs/>
                      <w:color w:val="auto"/>
                      <w:sz w:val="21"/>
                      <w:szCs w:val="21"/>
                      <w:lang w:eastAsia="zh-CN"/>
                    </w:rPr>
                    <w:t>各级医院未被污染的医用输液瓶（袋）</w:t>
                  </w:r>
                </w:p>
              </w:tc>
            </w:tr>
            <w:tr w14:paraId="5255D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14:paraId="514AC31E">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954" w:type="pct"/>
                  <w:noWrap w:val="0"/>
                  <w:vAlign w:val="center"/>
                </w:tcPr>
                <w:p w14:paraId="7D13AF2E">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未被污染的医用玻璃瓶</w:t>
                  </w:r>
                </w:p>
              </w:tc>
              <w:tc>
                <w:tcPr>
                  <w:tcW w:w="863" w:type="pct"/>
                  <w:noWrap w:val="0"/>
                  <w:vAlign w:val="center"/>
                </w:tcPr>
                <w:p w14:paraId="1E9B27B4">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4000吨/年</w:t>
                  </w:r>
                </w:p>
              </w:tc>
              <w:tc>
                <w:tcPr>
                  <w:tcW w:w="1108" w:type="pct"/>
                  <w:noWrap w:val="0"/>
                  <w:vAlign w:val="center"/>
                </w:tcPr>
                <w:p w14:paraId="4E711590">
                  <w:pPr>
                    <w:keepNext w:val="0"/>
                    <w:keepLines w:val="0"/>
                    <w:pageBreakBefore w:val="0"/>
                    <w:widowControl/>
                    <w:suppressLineNumbers w:val="0"/>
                    <w:kinsoku/>
                    <w:wordWrap/>
                    <w:overflowPunct/>
                    <w:topLinePunct w:val="0"/>
                    <w:bidi w:val="0"/>
                    <w:adjustRightInd/>
                    <w:snapToGrid/>
                    <w:spacing w:line="340" w:lineRule="exact"/>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150吨</w:t>
                  </w:r>
                </w:p>
              </w:tc>
              <w:tc>
                <w:tcPr>
                  <w:tcW w:w="819" w:type="pct"/>
                  <w:noWrap w:val="0"/>
                  <w:vAlign w:val="center"/>
                </w:tcPr>
                <w:p w14:paraId="3864CF40">
                  <w:pPr>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固态</w:t>
                  </w:r>
                </w:p>
              </w:tc>
              <w:tc>
                <w:tcPr>
                  <w:tcW w:w="783" w:type="pct"/>
                  <w:vMerge w:val="continue"/>
                  <w:noWrap w:val="0"/>
                  <w:vAlign w:val="center"/>
                </w:tcPr>
                <w:p w14:paraId="5E9D537E">
                  <w:pPr>
                    <w:pStyle w:val="15"/>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color w:val="auto"/>
                      <w:sz w:val="21"/>
                      <w:szCs w:val="21"/>
                      <w:lang w:eastAsia="zh-CN"/>
                    </w:rPr>
                  </w:pPr>
                </w:p>
              </w:tc>
            </w:tr>
            <w:tr w14:paraId="6A9FA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shd w:val="clear" w:color="auto" w:fill="auto"/>
                  <w:noWrap w:val="0"/>
                  <w:vAlign w:val="center"/>
                </w:tcPr>
                <w:p w14:paraId="4E478297">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3</w:t>
                  </w:r>
                </w:p>
              </w:tc>
              <w:tc>
                <w:tcPr>
                  <w:tcW w:w="954" w:type="pct"/>
                  <w:noWrap w:val="0"/>
                  <w:vAlign w:val="center"/>
                </w:tcPr>
                <w:p w14:paraId="33BF9ED7">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生活源塑料</w:t>
                  </w:r>
                </w:p>
                <w:p w14:paraId="76D7D601">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i w:val="0"/>
                      <w:iCs w:val="0"/>
                      <w:color w:val="auto"/>
                      <w:kern w:val="0"/>
                      <w:sz w:val="21"/>
                      <w:szCs w:val="21"/>
                      <w:highlight w:val="none"/>
                      <w:u w:val="none"/>
                      <w:lang w:val="en-US" w:eastAsia="zh-CN" w:bidi="ar"/>
                    </w:rPr>
                    <w:t>（矿泉水瓶）</w:t>
                  </w:r>
                </w:p>
              </w:tc>
              <w:tc>
                <w:tcPr>
                  <w:tcW w:w="863" w:type="pct"/>
                  <w:noWrap w:val="0"/>
                  <w:vAlign w:val="center"/>
                </w:tcPr>
                <w:p w14:paraId="3FD11B57">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4000吨/年</w:t>
                  </w:r>
                </w:p>
              </w:tc>
              <w:tc>
                <w:tcPr>
                  <w:tcW w:w="1108" w:type="pct"/>
                  <w:noWrap w:val="0"/>
                  <w:vAlign w:val="center"/>
                </w:tcPr>
                <w:p w14:paraId="348739BD">
                  <w:pPr>
                    <w:keepNext w:val="0"/>
                    <w:keepLines w:val="0"/>
                    <w:pageBreakBefore w:val="0"/>
                    <w:widowControl/>
                    <w:suppressLineNumbers w:val="0"/>
                    <w:kinsoku/>
                    <w:wordWrap/>
                    <w:overflowPunct/>
                    <w:topLinePunct w:val="0"/>
                    <w:bidi w:val="0"/>
                    <w:adjustRightInd/>
                    <w:snapToGrid/>
                    <w:spacing w:line="340" w:lineRule="exact"/>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150吨</w:t>
                  </w:r>
                </w:p>
              </w:tc>
              <w:tc>
                <w:tcPr>
                  <w:tcW w:w="819" w:type="pct"/>
                  <w:noWrap w:val="0"/>
                  <w:vAlign w:val="center"/>
                </w:tcPr>
                <w:p w14:paraId="286F4F4D">
                  <w:pPr>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固态</w:t>
                  </w:r>
                </w:p>
              </w:tc>
              <w:tc>
                <w:tcPr>
                  <w:tcW w:w="783" w:type="pct"/>
                  <w:noWrap w:val="0"/>
                  <w:vAlign w:val="center"/>
                </w:tcPr>
                <w:p w14:paraId="1F3FCB8E">
                  <w:pPr>
                    <w:pStyle w:val="15"/>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外购</w:t>
                  </w:r>
                </w:p>
              </w:tc>
            </w:tr>
            <w:tr w14:paraId="01A3B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shd w:val="clear" w:color="auto" w:fill="auto"/>
                  <w:noWrap w:val="0"/>
                  <w:vAlign w:val="center"/>
                </w:tcPr>
                <w:p w14:paraId="7C051775">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4</w:t>
                  </w:r>
                </w:p>
              </w:tc>
              <w:tc>
                <w:tcPr>
                  <w:tcW w:w="954" w:type="pct"/>
                  <w:noWrap w:val="0"/>
                  <w:vAlign w:val="center"/>
                </w:tcPr>
                <w:p w14:paraId="33975A4A">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i w:val="0"/>
                      <w:iCs w:val="0"/>
                      <w:color w:val="auto"/>
                      <w:kern w:val="0"/>
                      <w:sz w:val="21"/>
                      <w:szCs w:val="21"/>
                      <w:highlight w:val="none"/>
                      <w:u w:val="none"/>
                      <w:lang w:val="en-US" w:eastAsia="zh-CN" w:bidi="ar"/>
                    </w:rPr>
                    <w:t>PAC</w:t>
                  </w:r>
                </w:p>
              </w:tc>
              <w:tc>
                <w:tcPr>
                  <w:tcW w:w="863" w:type="pct"/>
                  <w:noWrap w:val="0"/>
                  <w:vAlign w:val="center"/>
                </w:tcPr>
                <w:p w14:paraId="0B58CD9B">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i w:val="0"/>
                      <w:iCs w:val="0"/>
                      <w:color w:val="auto"/>
                      <w:kern w:val="0"/>
                      <w:sz w:val="21"/>
                      <w:szCs w:val="21"/>
                      <w:highlight w:val="none"/>
                      <w:u w:val="none"/>
                      <w:lang w:val="en-US" w:eastAsia="zh-CN" w:bidi="ar"/>
                    </w:rPr>
                    <w:t>1.5</w:t>
                  </w:r>
                  <w:r>
                    <w:rPr>
                      <w:rFonts w:hint="default" w:ascii="Times New Roman" w:hAnsi="Times New Roman" w:eastAsia="宋体" w:cs="Times New Roman"/>
                      <w:b w:val="0"/>
                      <w:bCs/>
                      <w:i w:val="0"/>
                      <w:iCs w:val="0"/>
                      <w:color w:val="auto"/>
                      <w:kern w:val="0"/>
                      <w:sz w:val="21"/>
                      <w:szCs w:val="21"/>
                      <w:highlight w:val="none"/>
                      <w:u w:val="none"/>
                      <w:lang w:val="en-US" w:eastAsia="zh-CN" w:bidi="ar"/>
                    </w:rPr>
                    <w:t>吨/年</w:t>
                  </w:r>
                </w:p>
              </w:tc>
              <w:tc>
                <w:tcPr>
                  <w:tcW w:w="1108" w:type="pct"/>
                  <w:noWrap w:val="0"/>
                  <w:vAlign w:val="center"/>
                </w:tcPr>
                <w:p w14:paraId="392FD899">
                  <w:pPr>
                    <w:keepNext w:val="0"/>
                    <w:keepLines w:val="0"/>
                    <w:pageBreakBefore w:val="0"/>
                    <w:widowControl/>
                    <w:suppressLineNumbers w:val="0"/>
                    <w:kinsoku/>
                    <w:wordWrap/>
                    <w:overflowPunct/>
                    <w:topLinePunct w:val="0"/>
                    <w:bidi w:val="0"/>
                    <w:adjustRightInd/>
                    <w:snapToGrid/>
                    <w:spacing w:line="340" w:lineRule="exact"/>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cs="Times New Roman"/>
                      <w:b w:val="0"/>
                      <w:bCs/>
                      <w:i w:val="0"/>
                      <w:iCs w:val="0"/>
                      <w:color w:val="auto"/>
                      <w:kern w:val="0"/>
                      <w:sz w:val="21"/>
                      <w:szCs w:val="21"/>
                      <w:highlight w:val="none"/>
                      <w:u w:val="none"/>
                      <w:lang w:val="en-US" w:eastAsia="zh-CN" w:bidi="ar"/>
                    </w:rPr>
                    <w:t>0.3</w:t>
                  </w:r>
                  <w:r>
                    <w:rPr>
                      <w:rFonts w:hint="default" w:ascii="Times New Roman" w:hAnsi="Times New Roman" w:eastAsia="宋体" w:cs="Times New Roman"/>
                      <w:b w:val="0"/>
                      <w:bCs/>
                      <w:i w:val="0"/>
                      <w:iCs w:val="0"/>
                      <w:color w:val="auto"/>
                      <w:kern w:val="0"/>
                      <w:sz w:val="21"/>
                      <w:szCs w:val="21"/>
                      <w:highlight w:val="none"/>
                      <w:u w:val="none"/>
                      <w:lang w:val="en-US" w:eastAsia="zh-CN" w:bidi="ar"/>
                    </w:rPr>
                    <w:t>吨</w:t>
                  </w:r>
                </w:p>
              </w:tc>
              <w:tc>
                <w:tcPr>
                  <w:tcW w:w="1373" w:type="dxa"/>
                  <w:noWrap w:val="0"/>
                  <w:vAlign w:val="center"/>
                </w:tcPr>
                <w:p w14:paraId="2984767D">
                  <w:pPr>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固态</w:t>
                  </w:r>
                </w:p>
              </w:tc>
              <w:tc>
                <w:tcPr>
                  <w:tcW w:w="1312" w:type="dxa"/>
                  <w:noWrap w:val="0"/>
                  <w:vAlign w:val="center"/>
                </w:tcPr>
                <w:p w14:paraId="5D7D8544">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外购</w:t>
                  </w:r>
                </w:p>
              </w:tc>
            </w:tr>
            <w:tr w14:paraId="725AE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shd w:val="clear" w:color="auto" w:fill="auto"/>
                  <w:noWrap w:val="0"/>
                  <w:vAlign w:val="center"/>
                </w:tcPr>
                <w:p w14:paraId="683FD30C">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5</w:t>
                  </w:r>
                </w:p>
              </w:tc>
              <w:tc>
                <w:tcPr>
                  <w:tcW w:w="954" w:type="pct"/>
                  <w:noWrap w:val="0"/>
                  <w:vAlign w:val="center"/>
                </w:tcPr>
                <w:p w14:paraId="6AE26496">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i w:val="0"/>
                      <w:iCs w:val="0"/>
                      <w:color w:val="auto"/>
                      <w:kern w:val="0"/>
                      <w:sz w:val="21"/>
                      <w:szCs w:val="21"/>
                      <w:highlight w:val="none"/>
                      <w:u w:val="none"/>
                      <w:lang w:val="en-US" w:eastAsia="zh-CN" w:bidi="ar"/>
                    </w:rPr>
                    <w:t>PAM</w:t>
                  </w:r>
                </w:p>
              </w:tc>
              <w:tc>
                <w:tcPr>
                  <w:tcW w:w="863" w:type="pct"/>
                  <w:noWrap w:val="0"/>
                  <w:vAlign w:val="center"/>
                </w:tcPr>
                <w:p w14:paraId="253AB73D">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i w:val="0"/>
                      <w:iCs w:val="0"/>
                      <w:color w:val="auto"/>
                      <w:kern w:val="0"/>
                      <w:sz w:val="21"/>
                      <w:szCs w:val="21"/>
                      <w:highlight w:val="none"/>
                      <w:u w:val="none"/>
                      <w:lang w:val="en-US" w:eastAsia="zh-CN" w:bidi="ar"/>
                    </w:rPr>
                    <w:t>1.5</w:t>
                  </w:r>
                  <w:r>
                    <w:rPr>
                      <w:rFonts w:hint="default" w:ascii="Times New Roman" w:hAnsi="Times New Roman" w:eastAsia="宋体" w:cs="Times New Roman"/>
                      <w:b w:val="0"/>
                      <w:bCs/>
                      <w:i w:val="0"/>
                      <w:iCs w:val="0"/>
                      <w:color w:val="auto"/>
                      <w:kern w:val="0"/>
                      <w:sz w:val="21"/>
                      <w:szCs w:val="21"/>
                      <w:highlight w:val="none"/>
                      <w:u w:val="none"/>
                      <w:lang w:val="en-US" w:eastAsia="zh-CN" w:bidi="ar"/>
                    </w:rPr>
                    <w:t>吨/年</w:t>
                  </w:r>
                </w:p>
              </w:tc>
              <w:tc>
                <w:tcPr>
                  <w:tcW w:w="1108" w:type="pct"/>
                  <w:noWrap w:val="0"/>
                  <w:vAlign w:val="center"/>
                </w:tcPr>
                <w:p w14:paraId="3CB9A891">
                  <w:pPr>
                    <w:keepNext w:val="0"/>
                    <w:keepLines w:val="0"/>
                    <w:pageBreakBefore w:val="0"/>
                    <w:widowControl/>
                    <w:suppressLineNumbers w:val="0"/>
                    <w:kinsoku/>
                    <w:wordWrap/>
                    <w:overflowPunct/>
                    <w:topLinePunct w:val="0"/>
                    <w:bidi w:val="0"/>
                    <w:adjustRightInd/>
                    <w:snapToGrid/>
                    <w:spacing w:line="340" w:lineRule="exact"/>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cs="Times New Roman"/>
                      <w:b w:val="0"/>
                      <w:bCs/>
                      <w:i w:val="0"/>
                      <w:iCs w:val="0"/>
                      <w:color w:val="auto"/>
                      <w:kern w:val="0"/>
                      <w:sz w:val="21"/>
                      <w:szCs w:val="21"/>
                      <w:highlight w:val="none"/>
                      <w:u w:val="none"/>
                      <w:lang w:val="en-US" w:eastAsia="zh-CN" w:bidi="ar"/>
                    </w:rPr>
                    <w:t>0.3</w:t>
                  </w:r>
                  <w:r>
                    <w:rPr>
                      <w:rFonts w:hint="default" w:ascii="Times New Roman" w:hAnsi="Times New Roman" w:eastAsia="宋体" w:cs="Times New Roman"/>
                      <w:b w:val="0"/>
                      <w:bCs/>
                      <w:i w:val="0"/>
                      <w:iCs w:val="0"/>
                      <w:color w:val="auto"/>
                      <w:kern w:val="0"/>
                      <w:sz w:val="21"/>
                      <w:szCs w:val="21"/>
                      <w:highlight w:val="none"/>
                      <w:u w:val="none"/>
                      <w:lang w:val="en-US" w:eastAsia="zh-CN" w:bidi="ar"/>
                    </w:rPr>
                    <w:t>吨</w:t>
                  </w:r>
                </w:p>
              </w:tc>
              <w:tc>
                <w:tcPr>
                  <w:tcW w:w="1373" w:type="dxa"/>
                  <w:noWrap w:val="0"/>
                  <w:vAlign w:val="center"/>
                </w:tcPr>
                <w:p w14:paraId="79AAB1CC">
                  <w:pPr>
                    <w:keepNext w:val="0"/>
                    <w:keepLines w:val="0"/>
                    <w:pageBreakBefore w:val="0"/>
                    <w:kinsoku/>
                    <w:wordWrap/>
                    <w:overflowPunct/>
                    <w:topLinePunct w:val="0"/>
                    <w:bidi w:val="0"/>
                    <w:adjustRightInd/>
                    <w:snapToGrid/>
                    <w:spacing w:line="3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固态</w:t>
                  </w:r>
                </w:p>
              </w:tc>
              <w:tc>
                <w:tcPr>
                  <w:tcW w:w="1312" w:type="dxa"/>
                  <w:noWrap w:val="0"/>
                  <w:vAlign w:val="center"/>
                </w:tcPr>
                <w:p w14:paraId="124DE77F">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外购</w:t>
                  </w:r>
                </w:p>
              </w:tc>
            </w:tr>
            <w:tr w14:paraId="66824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shd w:val="clear" w:color="auto" w:fill="auto"/>
                  <w:noWrap w:val="0"/>
                  <w:vAlign w:val="center"/>
                </w:tcPr>
                <w:p w14:paraId="738CD7C4">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6</w:t>
                  </w:r>
                </w:p>
              </w:tc>
              <w:tc>
                <w:tcPr>
                  <w:tcW w:w="954" w:type="pct"/>
                  <w:noWrap w:val="0"/>
                  <w:vAlign w:val="center"/>
                </w:tcPr>
                <w:p w14:paraId="7C08BB19">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水</w:t>
                  </w:r>
                </w:p>
              </w:tc>
              <w:tc>
                <w:tcPr>
                  <w:tcW w:w="863" w:type="pct"/>
                  <w:noWrap w:val="0"/>
                  <w:vAlign w:val="center"/>
                </w:tcPr>
                <w:p w14:paraId="5191B7EE">
                  <w:pPr>
                    <w:keepNext w:val="0"/>
                    <w:keepLines w:val="0"/>
                    <w:pageBreakBefore w:val="0"/>
                    <w:widowControl/>
                    <w:suppressLineNumbers w:val="0"/>
                    <w:kinsoku/>
                    <w:wordWrap/>
                    <w:overflowPunct/>
                    <w:topLinePunct w:val="0"/>
                    <w:bidi w:val="0"/>
                    <w:adjustRightInd/>
                    <w:snapToGrid/>
                    <w:spacing w:line="340" w:lineRule="exact"/>
                    <w:jc w:val="center"/>
                    <w:textAlignment w:val="center"/>
                    <w:rPr>
                      <w:rFonts w:hint="default" w:ascii="Times New Roman" w:hAnsi="Times New Roman" w:eastAsia="宋体" w:cs="Times New Roman"/>
                      <w:b w:val="0"/>
                      <w:bCs/>
                      <w:i w:val="0"/>
                      <w:iCs w:val="0"/>
                      <w:color w:val="auto"/>
                      <w:kern w:val="0"/>
                      <w:sz w:val="21"/>
                      <w:szCs w:val="21"/>
                      <w:highlight w:val="yellow"/>
                      <w:u w:val="none"/>
                      <w:lang w:val="en-US" w:eastAsia="zh-CN" w:bidi="ar"/>
                    </w:rPr>
                  </w:pPr>
                  <w:r>
                    <w:rPr>
                      <w:rFonts w:hint="eastAsia" w:cs="Times New Roman"/>
                      <w:b w:val="0"/>
                      <w:bCs/>
                      <w:i w:val="0"/>
                      <w:iCs w:val="0"/>
                      <w:color w:val="auto"/>
                      <w:kern w:val="0"/>
                      <w:sz w:val="21"/>
                      <w:szCs w:val="21"/>
                      <w:highlight w:val="none"/>
                      <w:u w:val="none"/>
                      <w:lang w:val="en-US" w:eastAsia="zh-CN" w:bidi="ar"/>
                    </w:rPr>
                    <w:t>2598t</w:t>
                  </w:r>
                  <w:r>
                    <w:rPr>
                      <w:rFonts w:hint="default" w:ascii="Times New Roman" w:hAnsi="Times New Roman" w:eastAsia="宋体" w:cs="Times New Roman"/>
                      <w:b w:val="0"/>
                      <w:bCs/>
                      <w:i w:val="0"/>
                      <w:iCs w:val="0"/>
                      <w:color w:val="auto"/>
                      <w:kern w:val="0"/>
                      <w:sz w:val="21"/>
                      <w:szCs w:val="21"/>
                      <w:highlight w:val="none"/>
                      <w:u w:val="none"/>
                      <w:lang w:val="en-US" w:eastAsia="zh-CN" w:bidi="ar"/>
                    </w:rPr>
                    <w:t>/a</w:t>
                  </w:r>
                </w:p>
              </w:tc>
              <w:tc>
                <w:tcPr>
                  <w:tcW w:w="1108" w:type="pct"/>
                  <w:noWrap w:val="0"/>
                  <w:vAlign w:val="center"/>
                </w:tcPr>
                <w:p w14:paraId="00A5FE3A">
                  <w:pPr>
                    <w:pStyle w:val="48"/>
                    <w:keepNext w:val="0"/>
                    <w:keepLines w:val="0"/>
                    <w:pageBreakBefore w:val="0"/>
                    <w:kinsoku/>
                    <w:wordWrap/>
                    <w:overflowPunct/>
                    <w:topLinePunct w:val="0"/>
                    <w:bidi w:val="0"/>
                    <w:adjustRightInd/>
                    <w:snapToGrid/>
                    <w:spacing w:after="0" w:line="340" w:lineRule="exact"/>
                    <w:ind w:left="0" w:leftChars="0" w:firstLine="0" w:firstLineChars="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2"/>
                      <w:sz w:val="21"/>
                      <w:szCs w:val="21"/>
                    </w:rPr>
                    <w:t>——</w:t>
                  </w:r>
                </w:p>
              </w:tc>
              <w:tc>
                <w:tcPr>
                  <w:tcW w:w="819" w:type="pct"/>
                  <w:noWrap w:val="0"/>
                  <w:vAlign w:val="center"/>
                </w:tcPr>
                <w:p w14:paraId="40E7D339">
                  <w:pPr>
                    <w:pStyle w:val="48"/>
                    <w:keepNext w:val="0"/>
                    <w:keepLines w:val="0"/>
                    <w:pageBreakBefore w:val="0"/>
                    <w:kinsoku/>
                    <w:wordWrap/>
                    <w:overflowPunct/>
                    <w:topLinePunct w:val="0"/>
                    <w:bidi w:val="0"/>
                    <w:adjustRightInd/>
                    <w:snapToGrid/>
                    <w:spacing w:after="0" w:line="340" w:lineRule="exact"/>
                    <w:ind w:left="0" w:leftChars="0" w:firstLine="0" w:firstLineChars="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2"/>
                      <w:sz w:val="21"/>
                      <w:szCs w:val="21"/>
                    </w:rPr>
                    <w:t>——</w:t>
                  </w:r>
                </w:p>
              </w:tc>
              <w:tc>
                <w:tcPr>
                  <w:tcW w:w="783" w:type="pct"/>
                  <w:noWrap w:val="0"/>
                  <w:vAlign w:val="center"/>
                </w:tcPr>
                <w:p w14:paraId="58347F2B">
                  <w:pPr>
                    <w:pStyle w:val="48"/>
                    <w:keepNext w:val="0"/>
                    <w:keepLines w:val="0"/>
                    <w:pageBreakBefore w:val="0"/>
                    <w:kinsoku/>
                    <w:wordWrap/>
                    <w:overflowPunct/>
                    <w:topLinePunct w:val="0"/>
                    <w:bidi w:val="0"/>
                    <w:adjustRightInd/>
                    <w:snapToGrid/>
                    <w:spacing w:after="0" w:line="340" w:lineRule="exact"/>
                    <w:ind w:left="0" w:leftChars="0" w:firstLine="0" w:firstLineChars="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2"/>
                      <w:sz w:val="21"/>
                      <w:szCs w:val="21"/>
                    </w:rPr>
                    <w:t>——</w:t>
                  </w:r>
                </w:p>
              </w:tc>
            </w:tr>
            <w:tr w14:paraId="25A60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14:paraId="21EB107E">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7</w:t>
                  </w:r>
                </w:p>
              </w:tc>
              <w:tc>
                <w:tcPr>
                  <w:tcW w:w="954" w:type="pct"/>
                  <w:noWrap w:val="0"/>
                  <w:vAlign w:val="center"/>
                </w:tcPr>
                <w:p w14:paraId="275ADA2C">
                  <w:pPr>
                    <w:pStyle w:val="15"/>
                    <w:keepNext w:val="0"/>
                    <w:keepLines w:val="0"/>
                    <w:pageBreakBefore w:val="0"/>
                    <w:kinsoku/>
                    <w:wordWrap/>
                    <w:overflowPunct/>
                    <w:topLinePunct w:val="0"/>
                    <w:bidi w:val="0"/>
                    <w:adjustRightInd/>
                    <w:snapToGrid/>
                    <w:spacing w:line="340" w:lineRule="exact"/>
                    <w:ind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电</w:t>
                  </w:r>
                </w:p>
              </w:tc>
              <w:tc>
                <w:tcPr>
                  <w:tcW w:w="863" w:type="pct"/>
                  <w:noWrap w:val="0"/>
                  <w:vAlign w:val="center"/>
                </w:tcPr>
                <w:p w14:paraId="33430920">
                  <w:pPr>
                    <w:keepNext w:val="0"/>
                    <w:keepLines w:val="0"/>
                    <w:pageBreakBefore w:val="0"/>
                    <w:widowControl/>
                    <w:suppressLineNumbers w:val="0"/>
                    <w:kinsoku/>
                    <w:wordWrap/>
                    <w:overflowPunct/>
                    <w:topLinePunct w:val="0"/>
                    <w:bidi w:val="0"/>
                    <w:adjustRightInd/>
                    <w:snapToGrid/>
                    <w:spacing w:line="340" w:lineRule="exact"/>
                    <w:jc w:val="center"/>
                    <w:textAlignment w:val="center"/>
                    <w:rPr>
                      <w:rFonts w:hint="default" w:ascii="Times New Roman" w:hAnsi="Times New Roman" w:eastAsia="宋体" w:cs="Times New Roman"/>
                      <w:b w:val="0"/>
                      <w:bCs/>
                      <w:i w:val="0"/>
                      <w:iCs w:val="0"/>
                      <w:color w:val="auto"/>
                      <w:kern w:val="0"/>
                      <w:sz w:val="21"/>
                      <w:szCs w:val="21"/>
                      <w:highlight w:val="yellow"/>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100万kwh/a</w:t>
                  </w:r>
                </w:p>
              </w:tc>
              <w:tc>
                <w:tcPr>
                  <w:tcW w:w="1108" w:type="pct"/>
                  <w:noWrap w:val="0"/>
                  <w:vAlign w:val="center"/>
                </w:tcPr>
                <w:p w14:paraId="3E85EAD1">
                  <w:pPr>
                    <w:pStyle w:val="48"/>
                    <w:keepNext w:val="0"/>
                    <w:keepLines w:val="0"/>
                    <w:pageBreakBefore w:val="0"/>
                    <w:kinsoku/>
                    <w:wordWrap/>
                    <w:overflowPunct/>
                    <w:topLinePunct w:val="0"/>
                    <w:bidi w:val="0"/>
                    <w:adjustRightInd/>
                    <w:snapToGrid/>
                    <w:spacing w:after="0" w:line="340" w:lineRule="exact"/>
                    <w:ind w:left="0" w:leftChars="0" w:firstLine="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rPr>
                    <w:t>——</w:t>
                  </w:r>
                </w:p>
              </w:tc>
              <w:tc>
                <w:tcPr>
                  <w:tcW w:w="819" w:type="pct"/>
                  <w:noWrap w:val="0"/>
                  <w:vAlign w:val="center"/>
                </w:tcPr>
                <w:p w14:paraId="50DF42E4">
                  <w:pPr>
                    <w:pStyle w:val="48"/>
                    <w:keepNext w:val="0"/>
                    <w:keepLines w:val="0"/>
                    <w:pageBreakBefore w:val="0"/>
                    <w:kinsoku/>
                    <w:wordWrap/>
                    <w:overflowPunct/>
                    <w:topLinePunct w:val="0"/>
                    <w:bidi w:val="0"/>
                    <w:adjustRightInd/>
                    <w:snapToGrid/>
                    <w:spacing w:after="0" w:line="340" w:lineRule="exact"/>
                    <w:ind w:left="0" w:leftChars="0" w:firstLine="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rPr>
                    <w:t>——</w:t>
                  </w:r>
                </w:p>
              </w:tc>
              <w:tc>
                <w:tcPr>
                  <w:tcW w:w="783" w:type="pct"/>
                  <w:noWrap w:val="0"/>
                  <w:vAlign w:val="center"/>
                </w:tcPr>
                <w:p w14:paraId="00BD2B17">
                  <w:pPr>
                    <w:pStyle w:val="48"/>
                    <w:keepNext w:val="0"/>
                    <w:keepLines w:val="0"/>
                    <w:pageBreakBefore w:val="0"/>
                    <w:kinsoku/>
                    <w:wordWrap/>
                    <w:overflowPunct/>
                    <w:topLinePunct w:val="0"/>
                    <w:bidi w:val="0"/>
                    <w:adjustRightInd/>
                    <w:snapToGrid/>
                    <w:spacing w:after="0" w:line="340" w:lineRule="exact"/>
                    <w:ind w:left="0" w:leftChars="0" w:firstLine="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rPr>
                    <w:t>——</w:t>
                  </w:r>
                </w:p>
              </w:tc>
            </w:tr>
          </w:tbl>
          <w:p w14:paraId="4F11BCFA">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黑体" w:cs="Times New Roman"/>
                <w:bCs/>
                <w:color w:val="auto"/>
                <w:kern w:val="44"/>
                <w:sz w:val="24"/>
                <w:szCs w:val="24"/>
                <w:lang w:val="en-US" w:eastAsia="zh-CN" w:bidi="ar-SA"/>
              </w:rPr>
              <w:t>表2.2-4 部分主要原辅材料性质介绍</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34"/>
              <w:gridCol w:w="6330"/>
            </w:tblGrid>
            <w:tr w14:paraId="2E68A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32CF550E">
                  <w:pPr>
                    <w:pStyle w:val="15"/>
                    <w:keepNext w:val="0"/>
                    <w:keepLines w:val="0"/>
                    <w:pageBreakBefore w:val="0"/>
                    <w:widowControl w:val="0"/>
                    <w:kinsoku/>
                    <w:wordWrap/>
                    <w:overflowPunct/>
                    <w:topLinePunct w:val="0"/>
                    <w:autoSpaceDE/>
                    <w:autoSpaceDN/>
                    <w:bidi w:val="0"/>
                    <w:adjustRightInd w:val="0"/>
                    <w:snapToGrid w:val="0"/>
                    <w:spacing w:line="340" w:lineRule="exact"/>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796" w:type="pct"/>
                  <w:noWrap w:val="0"/>
                  <w:vAlign w:val="center"/>
                </w:tcPr>
                <w:p w14:paraId="34632EB8">
                  <w:pPr>
                    <w:pStyle w:val="15"/>
                    <w:keepNext w:val="0"/>
                    <w:keepLines w:val="0"/>
                    <w:pageBreakBefore w:val="0"/>
                    <w:widowControl w:val="0"/>
                    <w:kinsoku/>
                    <w:wordWrap/>
                    <w:overflowPunct/>
                    <w:topLinePunct w:val="0"/>
                    <w:autoSpaceDE/>
                    <w:autoSpaceDN/>
                    <w:bidi w:val="0"/>
                    <w:adjustRightInd w:val="0"/>
                    <w:snapToGrid w:val="0"/>
                    <w:spacing w:line="340" w:lineRule="exact"/>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原料名称</w:t>
                  </w:r>
                </w:p>
              </w:tc>
              <w:tc>
                <w:tcPr>
                  <w:tcW w:w="3777" w:type="pct"/>
                  <w:noWrap w:val="0"/>
                  <w:vAlign w:val="center"/>
                </w:tcPr>
                <w:p w14:paraId="39524F55">
                  <w:pPr>
                    <w:pStyle w:val="15"/>
                    <w:keepNext w:val="0"/>
                    <w:keepLines w:val="0"/>
                    <w:pageBreakBefore w:val="0"/>
                    <w:widowControl w:val="0"/>
                    <w:kinsoku/>
                    <w:wordWrap/>
                    <w:overflowPunct/>
                    <w:topLinePunct w:val="0"/>
                    <w:autoSpaceDE/>
                    <w:autoSpaceDN/>
                    <w:bidi w:val="0"/>
                    <w:adjustRightInd w:val="0"/>
                    <w:snapToGrid w:val="0"/>
                    <w:spacing w:line="340" w:lineRule="exact"/>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性质</w:t>
                  </w:r>
                </w:p>
              </w:tc>
            </w:tr>
            <w:tr w14:paraId="6603E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293CF34F">
                  <w:pPr>
                    <w:pStyle w:val="15"/>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1</w:t>
                  </w:r>
                </w:p>
              </w:tc>
              <w:tc>
                <w:tcPr>
                  <w:tcW w:w="796" w:type="pct"/>
                  <w:noWrap w:val="0"/>
                  <w:vAlign w:val="center"/>
                </w:tcPr>
                <w:p w14:paraId="5D983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塑料输液瓶</w:t>
                  </w:r>
                </w:p>
              </w:tc>
              <w:tc>
                <w:tcPr>
                  <w:tcW w:w="3777" w:type="pct"/>
                  <w:noWrap w:val="0"/>
                  <w:vAlign w:val="center"/>
                </w:tcPr>
                <w:p w14:paraId="043417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rPr>
                    <w:t>塑料输液瓶由瓶体(医用级聚丙烯PP)、瓶塞(聚戊二烯胶与发泡聚氨酯)、标签(纸质不干胶及黏胶)、污水(</w:t>
                  </w:r>
                  <w:r>
                    <w:rPr>
                      <w:rFonts w:hint="eastAsia" w:cs="Times New Roman"/>
                      <w:color w:val="auto"/>
                      <w:sz w:val="21"/>
                      <w:szCs w:val="21"/>
                      <w:lang w:val="en-US" w:eastAsia="zh-CN"/>
                    </w:rPr>
                    <w:t>主要为</w:t>
                  </w:r>
                  <w:r>
                    <w:rPr>
                      <w:rFonts w:hint="default" w:ascii="Times New Roman" w:hAnsi="Times New Roman" w:cs="Times New Roman"/>
                      <w:color w:val="auto"/>
                      <w:sz w:val="21"/>
                      <w:szCs w:val="21"/>
                    </w:rPr>
                    <w:t>纸浆)、封口贴组成。聚丙烯为无毒、无臭、无味的乳白色高结晶的聚合物，密度只有0.90-0.91g/cm’，是所有塑料中最轻的品种之一。它对水特别稳定，在水中的吸水率仅为0.01%，分子量约8万-15万。</w:t>
                  </w:r>
                </w:p>
              </w:tc>
            </w:tr>
            <w:tr w14:paraId="4F4D3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0315B326">
                  <w:pPr>
                    <w:pStyle w:val="15"/>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796" w:type="pct"/>
                  <w:noWrap w:val="0"/>
                  <w:vAlign w:val="center"/>
                </w:tcPr>
                <w:p w14:paraId="1D2E56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color w:val="auto"/>
                      <w:sz w:val="21"/>
                      <w:szCs w:val="21"/>
                    </w:rPr>
                    <w:t>塑料输液袋</w:t>
                  </w:r>
                </w:p>
              </w:tc>
              <w:tc>
                <w:tcPr>
                  <w:tcW w:w="3777" w:type="pct"/>
                  <w:noWrap w:val="0"/>
                  <w:vAlign w:val="center"/>
                </w:tcPr>
                <w:p w14:paraId="69B727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rPr>
                    <w:t>塑料输液袋由袋体(医用级聚乙烯PE复合膜)、袋嘴(医用级聚丙PP)瓶塞(聚异戊二烯橡胶与发泡聚氨酯)、标签(纸质不干胶及胶)、污水(</w:t>
                  </w:r>
                  <w:r>
                    <w:rPr>
                      <w:rFonts w:hint="eastAsia" w:cs="Times New Roman"/>
                      <w:color w:val="auto"/>
                      <w:sz w:val="21"/>
                      <w:szCs w:val="21"/>
                      <w:lang w:val="en-US" w:eastAsia="zh-CN"/>
                    </w:rPr>
                    <w:t>主要为</w:t>
                  </w:r>
                  <w:r>
                    <w:rPr>
                      <w:rFonts w:hint="default" w:ascii="Times New Roman" w:hAnsi="Times New Roman" w:cs="Times New Roman"/>
                      <w:color w:val="auto"/>
                      <w:sz w:val="21"/>
                      <w:szCs w:val="21"/>
                    </w:rPr>
                    <w:t>纸浆)、封口贴组成。聚乙烯无臭，无毒，具有优良的耐低温性能(最低使用温度可达-70--100℃)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化学稳定性好能耐大多数酸碱的侵蚀(不耐具有氧化性质的酸)，常温下不溶于一般溶剂，吸水性小，但由于其为线性分子可缓慢溶于某些有机溶剂</w:t>
                  </w:r>
                  <w:r>
                    <w:rPr>
                      <w:rFonts w:hint="eastAsia" w:cs="Times New Roman"/>
                      <w:color w:val="auto"/>
                      <w:sz w:val="21"/>
                      <w:szCs w:val="21"/>
                      <w:lang w:eastAsia="zh-CN"/>
                    </w:rPr>
                    <w:t>且</w:t>
                  </w:r>
                  <w:r>
                    <w:rPr>
                      <w:rFonts w:hint="default" w:ascii="Times New Roman" w:hAnsi="Times New Roman" w:cs="Times New Roman"/>
                      <w:color w:val="auto"/>
                      <w:sz w:val="21"/>
                      <w:szCs w:val="21"/>
                    </w:rPr>
                    <w:t>不发生溶胀电绝缘性能优良</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但聚乙烯对于环境应力(化学与机械作用)是很敏感的，耐热老化性差</w:t>
                  </w:r>
                  <w:r>
                    <w:rPr>
                      <w:rFonts w:hint="default" w:ascii="Times New Roman" w:hAnsi="Times New Roman" w:cs="Times New Roman"/>
                      <w:color w:val="auto"/>
                      <w:sz w:val="21"/>
                      <w:szCs w:val="21"/>
                      <w:lang w:eastAsia="zh-CN"/>
                    </w:rPr>
                    <w:t>。</w:t>
                  </w:r>
                </w:p>
              </w:tc>
            </w:tr>
            <w:tr w14:paraId="2D1C8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7896C304">
                  <w:pPr>
                    <w:pStyle w:val="15"/>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w:t>
                  </w:r>
                </w:p>
              </w:tc>
              <w:tc>
                <w:tcPr>
                  <w:tcW w:w="796" w:type="pct"/>
                  <w:shd w:val="clear" w:color="auto" w:fill="auto"/>
                  <w:noWrap w:val="0"/>
                  <w:vAlign w:val="center"/>
                </w:tcPr>
                <w:p w14:paraId="3BC275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玻璃输液瓶</w:t>
                  </w:r>
                </w:p>
              </w:tc>
              <w:tc>
                <w:tcPr>
                  <w:tcW w:w="3777" w:type="pct"/>
                  <w:shd w:val="clear" w:color="auto" w:fill="auto"/>
                  <w:noWrap w:val="0"/>
                  <w:vAlign w:val="center"/>
                </w:tcPr>
                <w:p w14:paraId="2A2E1F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rPr>
                    <w:t>玻璃输液瓶由瓶体、瓶口组成</w:t>
                  </w:r>
                  <w:r>
                    <w:rPr>
                      <w:rFonts w:hint="eastAsia" w:cs="Times New Roman"/>
                      <w:color w:val="auto"/>
                      <w:sz w:val="21"/>
                      <w:szCs w:val="21"/>
                      <w:lang w:eastAsia="zh-CN"/>
                    </w:rPr>
                    <w:t>，</w:t>
                  </w:r>
                  <w:r>
                    <w:rPr>
                      <w:rFonts w:hint="eastAsia" w:cs="Times New Roman"/>
                      <w:color w:val="auto"/>
                      <w:sz w:val="21"/>
                      <w:szCs w:val="21"/>
                      <w:lang w:val="en-US" w:eastAsia="zh-CN"/>
                    </w:rPr>
                    <w:t>不含有瓶塞</w:t>
                  </w:r>
                  <w:r>
                    <w:rPr>
                      <w:rFonts w:hint="default" w:ascii="Times New Roman" w:hAnsi="Times New Roman" w:cs="Times New Roman"/>
                      <w:color w:val="auto"/>
                      <w:sz w:val="21"/>
                      <w:szCs w:val="21"/>
                    </w:rPr>
                    <w:t>。</w:t>
                  </w:r>
                </w:p>
              </w:tc>
            </w:tr>
            <w:tr w14:paraId="42FCE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06875C4C">
                  <w:pPr>
                    <w:pStyle w:val="15"/>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w:t>
                  </w:r>
                </w:p>
              </w:tc>
              <w:tc>
                <w:tcPr>
                  <w:tcW w:w="796" w:type="pct"/>
                  <w:noWrap w:val="0"/>
                  <w:vAlign w:val="center"/>
                </w:tcPr>
                <w:p w14:paraId="77836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生活源塑料</w:t>
                  </w:r>
                </w:p>
              </w:tc>
              <w:tc>
                <w:tcPr>
                  <w:tcW w:w="3777" w:type="pct"/>
                  <w:noWrap w:val="0"/>
                  <w:vAlign w:val="center"/>
                </w:tcPr>
                <w:p w14:paraId="4EE727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本项目收集</w:t>
                  </w:r>
                  <w:r>
                    <w:rPr>
                      <w:rFonts w:hint="eastAsia" w:cs="Times New Roman"/>
                      <w:color w:val="auto"/>
                      <w:sz w:val="21"/>
                      <w:szCs w:val="21"/>
                      <w:highlight w:val="none"/>
                      <w:u w:val="none"/>
                      <w:lang w:val="en-US" w:eastAsia="zh-CN"/>
                    </w:rPr>
                    <w:t>的</w:t>
                  </w:r>
                  <w:r>
                    <w:rPr>
                      <w:rFonts w:hint="default" w:ascii="Times New Roman" w:hAnsi="Times New Roman" w:eastAsia="宋体" w:cs="Times New Roman"/>
                      <w:color w:val="auto"/>
                      <w:sz w:val="21"/>
                      <w:szCs w:val="21"/>
                      <w:highlight w:val="none"/>
                      <w:u w:val="none"/>
                      <w:lang w:val="en-US" w:eastAsia="zh-CN"/>
                    </w:rPr>
                    <w:t>日常生活废塑料</w:t>
                  </w:r>
                  <w:r>
                    <w:rPr>
                      <w:rFonts w:hint="eastAsia" w:cs="Times New Roman"/>
                      <w:color w:val="auto"/>
                      <w:sz w:val="21"/>
                      <w:szCs w:val="21"/>
                      <w:highlight w:val="none"/>
                      <w:u w:val="none"/>
                      <w:lang w:val="en-US" w:eastAsia="zh-CN"/>
                    </w:rPr>
                    <w:t>为无颜色的矿泉水瓶，瓶身主要成分为PET，回收的矿泉水瓶清洁度高，项目</w:t>
                  </w:r>
                  <w:r>
                    <w:rPr>
                      <w:rFonts w:hint="default" w:ascii="Times New Roman" w:hAnsi="Times New Roman" w:eastAsia="宋体" w:cs="Times New Roman"/>
                      <w:color w:val="auto"/>
                      <w:sz w:val="21"/>
                      <w:szCs w:val="21"/>
                      <w:highlight w:val="none"/>
                      <w:u w:val="none"/>
                      <w:lang w:val="en-US" w:eastAsia="zh-CN"/>
                    </w:rPr>
                    <w:t>不</w:t>
                  </w:r>
                  <w:r>
                    <w:rPr>
                      <w:rFonts w:hint="eastAsia" w:cs="Times New Roman"/>
                      <w:color w:val="auto"/>
                      <w:sz w:val="21"/>
                      <w:szCs w:val="21"/>
                      <w:highlight w:val="none"/>
                      <w:u w:val="none"/>
                      <w:lang w:val="en-US" w:eastAsia="zh-CN"/>
                    </w:rPr>
                    <w:t>回收</w:t>
                  </w:r>
                  <w:r>
                    <w:rPr>
                      <w:rFonts w:hint="default" w:ascii="Times New Roman" w:hAnsi="Times New Roman" w:eastAsia="宋体" w:cs="Times New Roman"/>
                      <w:color w:val="auto"/>
                      <w:sz w:val="21"/>
                      <w:szCs w:val="21"/>
                      <w:highlight w:val="none"/>
                      <w:u w:val="none"/>
                      <w:lang w:val="en-US" w:eastAsia="zh-CN"/>
                    </w:rPr>
                    <w:t>进口废塑料、不利用属于危险废物的废塑料</w:t>
                  </w:r>
                  <w:r>
                    <w:rPr>
                      <w:rFonts w:hint="eastAsia" w:cs="Times New Roman"/>
                      <w:color w:val="auto"/>
                      <w:sz w:val="21"/>
                      <w:szCs w:val="21"/>
                      <w:highlight w:val="none"/>
                      <w:u w:val="none"/>
                      <w:lang w:val="en-US" w:eastAsia="zh-CN"/>
                    </w:rPr>
                    <w:t>及</w:t>
                  </w:r>
                  <w:r>
                    <w:rPr>
                      <w:rFonts w:hint="default" w:ascii="Times New Roman" w:hAnsi="Times New Roman" w:eastAsia="宋体" w:cs="Times New Roman"/>
                      <w:color w:val="auto"/>
                      <w:sz w:val="21"/>
                      <w:szCs w:val="21"/>
                      <w:highlight w:val="none"/>
                      <w:u w:val="none"/>
                      <w:lang w:val="en-US" w:eastAsia="zh-CN"/>
                    </w:rPr>
                    <w:t>其他企业废塑料。</w:t>
                  </w:r>
                </w:p>
              </w:tc>
            </w:tr>
            <w:tr w14:paraId="5D4E4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501EF5A0">
                  <w:pPr>
                    <w:pStyle w:val="15"/>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w:t>
                  </w:r>
                </w:p>
              </w:tc>
              <w:tc>
                <w:tcPr>
                  <w:tcW w:w="796" w:type="pct"/>
                  <w:noWrap w:val="0"/>
                  <w:vAlign w:val="center"/>
                </w:tcPr>
                <w:p w14:paraId="1A874B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PAC</w:t>
                  </w:r>
                </w:p>
              </w:tc>
              <w:tc>
                <w:tcPr>
                  <w:tcW w:w="3777" w:type="pct"/>
                  <w:noWrap w:val="0"/>
                  <w:vAlign w:val="center"/>
                </w:tcPr>
                <w:p w14:paraId="2DD80C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简称聚铝，是介于AlCl</w:t>
                  </w:r>
                  <w:r>
                    <w:rPr>
                      <w:rFonts w:hint="default" w:ascii="Times New Roman" w:hAnsi="Times New Roman" w:eastAsia="宋体" w:cs="Times New Roman"/>
                      <w:color w:val="auto"/>
                      <w:sz w:val="21"/>
                      <w:szCs w:val="21"/>
                      <w:highlight w:val="none"/>
                      <w:u w:val="none"/>
                      <w:vertAlign w:val="subscript"/>
                      <w:lang w:val="en-US" w:eastAsia="zh-CN"/>
                    </w:rPr>
                    <w:t>3</w:t>
                  </w:r>
                  <w:r>
                    <w:rPr>
                      <w:rFonts w:hint="default" w:ascii="Times New Roman" w:hAnsi="Times New Roman" w:eastAsia="宋体" w:cs="Times New Roman"/>
                      <w:color w:val="auto"/>
                      <w:sz w:val="21"/>
                      <w:szCs w:val="21"/>
                      <w:highlight w:val="none"/>
                      <w:u w:val="none"/>
                      <w:lang w:val="en-US" w:eastAsia="zh-CN"/>
                    </w:rPr>
                    <w:t>和Al(OH)</w:t>
                  </w:r>
                  <w:r>
                    <w:rPr>
                      <w:rFonts w:hint="default" w:ascii="Times New Roman" w:hAnsi="Times New Roman" w:eastAsia="宋体" w:cs="Times New Roman"/>
                      <w:color w:val="auto"/>
                      <w:sz w:val="21"/>
                      <w:szCs w:val="21"/>
                      <w:highlight w:val="none"/>
                      <w:u w:val="none"/>
                      <w:vertAlign w:val="subscript"/>
                      <w:lang w:val="en-US" w:eastAsia="zh-CN"/>
                    </w:rPr>
                    <w:t>3</w:t>
                  </w:r>
                  <w:r>
                    <w:rPr>
                      <w:rFonts w:hint="default" w:ascii="Times New Roman" w:hAnsi="Times New Roman" w:eastAsia="宋体" w:cs="Times New Roman"/>
                      <w:color w:val="auto"/>
                      <w:sz w:val="21"/>
                      <w:szCs w:val="21"/>
                      <w:highlight w:val="none"/>
                      <w:u w:val="none"/>
                      <w:lang w:val="en-US" w:eastAsia="zh-CN"/>
                    </w:rPr>
                    <w:t>之间的一种水溶性无机高分子聚合物，化学通式为[Al</w:t>
                  </w:r>
                  <w:r>
                    <w:rPr>
                      <w:rFonts w:hint="default" w:ascii="Times New Roman" w:hAnsi="Times New Roman" w:eastAsia="宋体" w:cs="Times New Roman"/>
                      <w:color w:val="auto"/>
                      <w:sz w:val="21"/>
                      <w:szCs w:val="21"/>
                      <w:highlight w:val="none"/>
                      <w:u w:val="none"/>
                      <w:vertAlign w:val="subscript"/>
                      <w:lang w:val="en-US" w:eastAsia="zh-CN"/>
                    </w:rPr>
                    <w:t>2</w:t>
                  </w:r>
                  <w:r>
                    <w:rPr>
                      <w:rFonts w:hint="default" w:ascii="Times New Roman" w:hAnsi="Times New Roman" w:eastAsia="宋体" w:cs="Times New Roman"/>
                      <w:color w:val="auto"/>
                      <w:sz w:val="21"/>
                      <w:szCs w:val="21"/>
                      <w:highlight w:val="none"/>
                      <w:u w:val="none"/>
                      <w:lang w:val="en-US" w:eastAsia="zh-CN"/>
                    </w:rPr>
                    <w:t>(OH)nCl</w:t>
                  </w:r>
                  <w:r>
                    <w:rPr>
                      <w:rFonts w:hint="default" w:ascii="Times New Roman" w:hAnsi="Times New Roman" w:eastAsia="宋体" w:cs="Times New Roman"/>
                      <w:color w:val="auto"/>
                      <w:sz w:val="21"/>
                      <w:szCs w:val="21"/>
                      <w:highlight w:val="none"/>
                      <w:u w:val="none"/>
                      <w:vertAlign w:val="subscript"/>
                      <w:lang w:val="en-US" w:eastAsia="zh-CN"/>
                    </w:rPr>
                    <w:t>6-n</w:t>
                  </w:r>
                  <w:r>
                    <w:rPr>
                      <w:rFonts w:hint="default"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vertAlign w:val="subscript"/>
                      <w:lang w:val="en-US" w:eastAsia="zh-CN"/>
                    </w:rPr>
                    <w:t>m</w:t>
                  </w:r>
                  <w:r>
                    <w:rPr>
                      <w:rFonts w:hint="default" w:ascii="Times New Roman" w:hAnsi="Times New Roman" w:eastAsia="宋体" w:cs="Times New Roman"/>
                      <w:color w:val="auto"/>
                      <w:sz w:val="21"/>
                      <w:szCs w:val="21"/>
                      <w:highlight w:val="none"/>
                      <w:u w:val="none"/>
                      <w:lang w:val="en-US" w:eastAsia="zh-CN"/>
                    </w:rPr>
                    <w:t>，其中m代表聚合程度，n表示聚合氯化铝产品的中性程度，n=1~5为具有Keggin结构的高电荷聚合环链体，对水中胶体和颗粒物具有高度电中和及桥联作用，并可强力去除有毒物及重金属离子，性状稳定，常作为新兴净水材料、混凝剂，被广泛应用于饮用水、工业废水和城市污水的净化处理</w:t>
                  </w:r>
                </w:p>
              </w:tc>
            </w:tr>
            <w:tr w14:paraId="20641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4A9E8D9C">
                  <w:pPr>
                    <w:pStyle w:val="15"/>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6</w:t>
                  </w:r>
                </w:p>
              </w:tc>
              <w:tc>
                <w:tcPr>
                  <w:tcW w:w="796" w:type="pct"/>
                  <w:noWrap w:val="0"/>
                  <w:vAlign w:val="center"/>
                </w:tcPr>
                <w:p w14:paraId="4F3165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PAM</w:t>
                  </w:r>
                </w:p>
              </w:tc>
              <w:tc>
                <w:tcPr>
                  <w:tcW w:w="3777" w:type="pct"/>
                  <w:noWrap w:val="0"/>
                  <w:vAlign w:val="center"/>
                </w:tcPr>
                <w:p w14:paraId="21F77D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聚丙烯酰胺（英文名：Polyacrylamide，缩写PAM），为线型水溶性高分子化合物，是水溶性聚合物中应用最广泛的品种之一。聚丙烯酰胺为白色粉末，无毒；易溶于水、具有吸湿性，不溶于一般的有机溶剂（如苯、酯类以及丙酮等）。它的混凝效果在于对胶体表面具有强烈的吸附作用，在胶粒之间形成桥联。</w:t>
                  </w:r>
                </w:p>
              </w:tc>
            </w:tr>
          </w:tbl>
          <w:p w14:paraId="55FF8D7B">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firstLine="472"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 w:val="0"/>
                <w:bCs w:val="0"/>
                <w:color w:val="auto"/>
                <w:spacing w:val="-2"/>
                <w:sz w:val="24"/>
                <w:szCs w:val="24"/>
                <w:u w:val="none" w:color="auto"/>
                <w:lang w:val="en-US" w:eastAsia="zh-CN"/>
              </w:rPr>
              <w:t>建设单位通过市</w:t>
            </w:r>
            <w:r>
              <w:rPr>
                <w:rFonts w:hint="eastAsia" w:ascii="Times New Roman" w:hAnsi="Times New Roman" w:eastAsia="宋体" w:cs="Times New Roman"/>
                <w:b w:val="0"/>
                <w:bCs w:val="0"/>
                <w:color w:val="auto"/>
                <w:spacing w:val="-2"/>
                <w:sz w:val="24"/>
                <w:szCs w:val="24"/>
                <w:u w:val="none" w:color="auto"/>
                <w:lang w:val="en-US" w:eastAsia="zh-CN"/>
              </w:rPr>
              <w:t>场</w:t>
            </w:r>
            <w:r>
              <w:rPr>
                <w:rFonts w:hint="default" w:ascii="Times New Roman" w:hAnsi="Times New Roman" w:eastAsia="宋体" w:cs="Times New Roman"/>
                <w:b w:val="0"/>
                <w:bCs w:val="0"/>
                <w:color w:val="auto"/>
                <w:spacing w:val="-2"/>
                <w:sz w:val="24"/>
                <w:szCs w:val="24"/>
                <w:u w:val="none" w:color="auto"/>
                <w:lang w:val="en-US" w:eastAsia="zh-CN"/>
              </w:rPr>
              <w:t>调研，福州市域内原料规模无法满足本项目生产需求，同时查阅相关政策文件，未针对此类项目回收原料的地域范围进行限制，因此本项目确定</w:t>
            </w:r>
            <w:r>
              <w:rPr>
                <w:rFonts w:hint="default" w:ascii="Times New Roman" w:hAnsi="Times New Roman" w:eastAsia="宋体" w:cs="Times New Roman"/>
                <w:b w:val="0"/>
                <w:bCs w:val="0"/>
                <w:color w:val="auto"/>
                <w:spacing w:val="-2"/>
                <w:sz w:val="24"/>
                <w:szCs w:val="24"/>
                <w:u w:val="none" w:color="auto"/>
              </w:rPr>
              <w:t>原料</w:t>
            </w:r>
            <w:r>
              <w:rPr>
                <w:rFonts w:hint="default" w:ascii="Times New Roman" w:hAnsi="Times New Roman" w:eastAsia="宋体" w:cs="Times New Roman"/>
                <w:b w:val="0"/>
                <w:bCs w:val="0"/>
                <w:color w:val="auto"/>
                <w:spacing w:val="-2"/>
                <w:sz w:val="24"/>
                <w:szCs w:val="24"/>
                <w:u w:val="none" w:color="auto"/>
                <w:lang w:val="en-US"/>
              </w:rPr>
              <w:t>来源</w:t>
            </w:r>
            <w:r>
              <w:rPr>
                <w:rFonts w:hint="default" w:ascii="Times New Roman" w:hAnsi="Times New Roman" w:eastAsia="宋体" w:cs="Times New Roman"/>
                <w:b w:val="0"/>
                <w:bCs w:val="0"/>
                <w:color w:val="auto"/>
                <w:spacing w:val="-2"/>
                <w:sz w:val="24"/>
                <w:szCs w:val="24"/>
                <w:u w:val="none" w:color="auto"/>
              </w:rPr>
              <w:t>为</w:t>
            </w:r>
            <w:r>
              <w:rPr>
                <w:rFonts w:hint="default" w:ascii="Times New Roman" w:hAnsi="Times New Roman" w:eastAsia="宋体" w:cs="Times New Roman"/>
                <w:b w:val="0"/>
                <w:bCs w:val="0"/>
                <w:color w:val="auto"/>
                <w:spacing w:val="-2"/>
                <w:sz w:val="24"/>
                <w:szCs w:val="24"/>
                <w:u w:val="none" w:color="auto"/>
                <w:lang w:val="en-US"/>
              </w:rPr>
              <w:t>福建省</w:t>
            </w:r>
            <w:r>
              <w:rPr>
                <w:rFonts w:hint="default" w:ascii="Times New Roman" w:hAnsi="Times New Roman" w:eastAsia="宋体" w:cs="Times New Roman"/>
                <w:b w:val="0"/>
                <w:bCs w:val="0"/>
                <w:color w:val="auto"/>
                <w:spacing w:val="-2"/>
                <w:sz w:val="24"/>
                <w:szCs w:val="24"/>
                <w:u w:val="none" w:color="auto"/>
              </w:rPr>
              <w:t>范围内医疗机构使用后的</w:t>
            </w:r>
            <w:r>
              <w:rPr>
                <w:rFonts w:hint="default" w:ascii="Times New Roman" w:hAnsi="Times New Roman" w:eastAsia="宋体" w:cs="Times New Roman"/>
                <w:b w:val="0"/>
                <w:bCs w:val="0"/>
                <w:color w:val="auto"/>
                <w:spacing w:val="-2"/>
                <w:sz w:val="24"/>
                <w:szCs w:val="24"/>
                <w:u w:val="none" w:color="auto"/>
                <w:lang w:val="en-US" w:eastAsia="zh-CN"/>
              </w:rPr>
              <w:t>未被污染的医用塑料输液瓶（袋）</w:t>
            </w:r>
            <w:r>
              <w:rPr>
                <w:rFonts w:hint="default" w:ascii="Times New Roman" w:hAnsi="Times New Roman" w:eastAsia="宋体" w:cs="Times New Roman"/>
                <w:b w:val="0"/>
                <w:bCs w:val="0"/>
                <w:color w:val="auto"/>
                <w:spacing w:val="-2"/>
                <w:sz w:val="24"/>
                <w:szCs w:val="24"/>
                <w:u w:val="none" w:color="auto"/>
                <w:lang w:eastAsia="zh-CN"/>
              </w:rPr>
              <w:t>，</w:t>
            </w:r>
            <w:r>
              <w:rPr>
                <w:rFonts w:hint="default" w:ascii="Times New Roman" w:hAnsi="Times New Roman" w:eastAsia="宋体" w:cs="Times New Roman"/>
                <w:b w:val="0"/>
                <w:bCs w:val="0"/>
                <w:color w:val="auto"/>
                <w:spacing w:val="-2"/>
                <w:sz w:val="24"/>
                <w:szCs w:val="24"/>
                <w:u w:val="none" w:color="auto"/>
                <w:lang w:val="en-US" w:eastAsia="zh-CN"/>
              </w:rPr>
              <w:t>不包含输液管线</w:t>
            </w:r>
            <w:r>
              <w:rPr>
                <w:rFonts w:hint="default" w:ascii="Times New Roman" w:hAnsi="Times New Roman" w:eastAsia="宋体" w:cs="Times New Roman"/>
                <w:color w:val="auto"/>
                <w:spacing w:val="-2"/>
                <w:sz w:val="24"/>
                <w:szCs w:val="24"/>
                <w:u w:val="none" w:color="auto"/>
              </w:rPr>
              <w:t>。同时收集的原材料还需要满足下述条件：</w:t>
            </w:r>
          </w:p>
          <w:p w14:paraId="6306DD86">
            <w:pPr>
              <w:pStyle w:val="134"/>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
                <w:sz w:val="24"/>
                <w:szCs w:val="24"/>
                <w:u w:val="none" w:color="auto"/>
              </w:rPr>
              <w:t>①不涉及进口废旧塑料再生利用；</w:t>
            </w:r>
          </w:p>
          <w:p w14:paraId="396EB605">
            <w:pPr>
              <w:pStyle w:val="134"/>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1"/>
                <w:sz w:val="24"/>
                <w:szCs w:val="24"/>
                <w:u w:val="none" w:color="auto"/>
              </w:rPr>
              <w:t>②不回收利用氟塑料等特种工程塑料等；</w:t>
            </w:r>
          </w:p>
          <w:p w14:paraId="6DF9B3FE">
            <w:pPr>
              <w:pStyle w:val="134"/>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③不涉及利用属于危险废物的废塑料，包括被危险化学品、农药等污染的废弃塑料包装物，废弃的一次性医疗用塑料制品（如输液器、血袋等</w:t>
            </w:r>
            <w:r>
              <w:rPr>
                <w:rFonts w:hint="default" w:ascii="Times New Roman" w:hAnsi="Times New Roman" w:eastAsia="宋体" w:cs="Times New Roman"/>
                <w:color w:val="auto"/>
                <w:spacing w:val="5"/>
                <w:sz w:val="24"/>
                <w:szCs w:val="24"/>
                <w:u w:val="none" w:color="auto"/>
              </w:rPr>
              <w:t>），</w:t>
            </w:r>
            <w:r>
              <w:rPr>
                <w:rFonts w:hint="default" w:ascii="Times New Roman" w:hAnsi="Times New Roman" w:eastAsia="宋体" w:cs="Times New Roman"/>
                <w:color w:val="auto"/>
                <w:spacing w:val="1"/>
                <w:sz w:val="24"/>
                <w:szCs w:val="24"/>
                <w:u w:val="none" w:color="auto"/>
              </w:rPr>
              <w:t>盛装农药、废染料、强酸、强碱的废塑料等。</w:t>
            </w:r>
          </w:p>
          <w:p w14:paraId="75B8F038">
            <w:pPr>
              <w:pStyle w:val="134"/>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④本项目废</w:t>
            </w:r>
            <w:r>
              <w:rPr>
                <w:rFonts w:hint="eastAsia" w:ascii="Times New Roman" w:hAnsi="Times New Roman" w:eastAsia="宋体" w:cs="Times New Roman"/>
                <w:color w:val="auto"/>
                <w:sz w:val="24"/>
                <w:szCs w:val="24"/>
                <w:u w:val="none" w:color="auto"/>
                <w:lang w:eastAsia="zh-CN"/>
              </w:rPr>
              <w:t>塑料</w:t>
            </w:r>
            <w:r>
              <w:rPr>
                <w:rFonts w:hint="default" w:ascii="Times New Roman" w:hAnsi="Times New Roman" w:eastAsia="宋体" w:cs="Times New Roman"/>
                <w:color w:val="auto"/>
                <w:sz w:val="24"/>
                <w:szCs w:val="24"/>
                <w:u w:val="none" w:color="auto"/>
              </w:rPr>
              <w:t>原料的回收、包装、运输和贮存应符合《废塑料污染控制</w:t>
            </w:r>
            <w:r>
              <w:rPr>
                <w:rFonts w:hint="default" w:ascii="Times New Roman" w:hAnsi="Times New Roman" w:eastAsia="宋体" w:cs="Times New Roman"/>
                <w:color w:val="auto"/>
                <w:spacing w:val="1"/>
                <w:sz w:val="24"/>
                <w:szCs w:val="24"/>
                <w:u w:val="none" w:color="auto"/>
              </w:rPr>
              <w:t>技术规范》（</w:t>
            </w:r>
            <w:r>
              <w:rPr>
                <w:rFonts w:hint="default" w:ascii="Times New Roman" w:hAnsi="Times New Roman" w:eastAsia="宋体" w:cs="Times New Roman"/>
                <w:color w:val="auto"/>
                <w:sz w:val="24"/>
                <w:szCs w:val="24"/>
                <w:u w:val="none" w:color="auto"/>
              </w:rPr>
              <w:t>HJ</w:t>
            </w:r>
            <w:r>
              <w:rPr>
                <w:rFonts w:hint="default" w:ascii="Times New Roman" w:hAnsi="Times New Roman" w:eastAsia="宋体" w:cs="Times New Roman"/>
                <w:color w:val="auto"/>
                <w:spacing w:val="1"/>
                <w:sz w:val="24"/>
                <w:szCs w:val="24"/>
                <w:u w:val="none" w:color="auto"/>
              </w:rPr>
              <w:t>364-2022）的要求，对</w:t>
            </w:r>
            <w:r>
              <w:rPr>
                <w:rFonts w:hint="default" w:ascii="Times New Roman" w:hAnsi="Times New Roman" w:eastAsia="宋体" w:cs="Times New Roman"/>
                <w:color w:val="auto"/>
                <w:sz w:val="24"/>
                <w:szCs w:val="24"/>
                <w:u w:val="none" w:color="auto"/>
              </w:rPr>
              <w:t>环境和人体健康不会造成危害。</w:t>
            </w:r>
          </w:p>
          <w:p w14:paraId="4E7F88DF">
            <w:pPr>
              <w:pStyle w:val="134"/>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u w:val="none" w:color="auto"/>
                <w:lang w:val="en-US" w:eastAsia="zh-CN"/>
              </w:rPr>
            </w:pPr>
            <w:r>
              <w:rPr>
                <w:rFonts w:hint="default" w:ascii="Times New Roman" w:hAnsi="Times New Roman" w:eastAsia="宋体" w:cs="Times New Roman"/>
                <w:color w:val="auto"/>
                <w:spacing w:val="-1"/>
                <w:sz w:val="24"/>
                <w:szCs w:val="24"/>
                <w:u w:val="none" w:color="auto"/>
                <w:lang w:val="en-US" w:eastAsia="zh-CN"/>
              </w:rPr>
              <w:t>此外，医疗机构需要将收集的塑料（玻璃）瓶（袋）中的废药液尽量清理干净，</w:t>
            </w:r>
            <w:r>
              <w:rPr>
                <w:rFonts w:hint="default" w:ascii="Times New Roman" w:hAnsi="Times New Roman" w:eastAsia="宋体" w:cs="Times New Roman"/>
                <w:color w:val="auto"/>
                <w:spacing w:val="-1"/>
                <w:sz w:val="24"/>
                <w:szCs w:val="24"/>
                <w:u w:val="single" w:color="auto"/>
                <w:lang w:val="en-US" w:eastAsia="zh-CN"/>
              </w:rPr>
              <w:t>如有大量残液建设单位不能进行收集，须先将残液倾倒在医院废药液收集桶后才能回收。</w:t>
            </w:r>
          </w:p>
          <w:p w14:paraId="327188B0">
            <w:pPr>
              <w:pStyle w:val="134"/>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u w:val="none" w:color="auto"/>
              </w:rPr>
            </w:pPr>
            <w:r>
              <w:rPr>
                <w:rFonts w:hint="default" w:ascii="Times New Roman" w:hAnsi="Times New Roman" w:eastAsia="宋体" w:cs="Times New Roman"/>
                <w:color w:val="auto"/>
                <w:spacing w:val="-1"/>
                <w:sz w:val="24"/>
                <w:szCs w:val="24"/>
                <w:u w:val="none" w:color="auto"/>
                <w:lang w:val="en-US" w:eastAsia="zh-CN"/>
              </w:rPr>
              <w:t>项目</w:t>
            </w:r>
            <w:r>
              <w:rPr>
                <w:rFonts w:hint="default" w:ascii="Times New Roman" w:hAnsi="Times New Roman" w:eastAsia="宋体" w:cs="Times New Roman"/>
                <w:color w:val="auto"/>
                <w:spacing w:val="-1"/>
                <w:sz w:val="24"/>
                <w:szCs w:val="24"/>
                <w:u w:val="none" w:color="auto"/>
              </w:rPr>
              <w:t>收购的废塑料为保证材料的出成率，要求供应方进行初步分拣</w:t>
            </w:r>
            <w:r>
              <w:rPr>
                <w:rFonts w:hint="eastAsia" w:ascii="Times New Roman" w:hAnsi="Times New Roman" w:eastAsia="宋体" w:cs="Times New Roman"/>
                <w:color w:val="auto"/>
                <w:spacing w:val="-1"/>
                <w:sz w:val="24"/>
                <w:szCs w:val="24"/>
                <w:u w:val="none" w:color="auto"/>
                <w:lang w:eastAsia="zh-CN"/>
              </w:rPr>
              <w:t>，</w:t>
            </w:r>
            <w:r>
              <w:rPr>
                <w:rFonts w:hint="eastAsia" w:ascii="Times New Roman" w:hAnsi="Times New Roman" w:eastAsia="宋体" w:cs="Times New Roman"/>
                <w:color w:val="auto"/>
                <w:spacing w:val="-1"/>
                <w:sz w:val="24"/>
                <w:szCs w:val="24"/>
                <w:u w:val="none" w:color="auto"/>
                <w:lang w:val="en-US" w:eastAsia="zh-CN"/>
              </w:rPr>
              <w:t>同时回收的未被污染的医用玻璃瓶均已去除橡胶塞</w:t>
            </w:r>
            <w:r>
              <w:rPr>
                <w:rFonts w:hint="default" w:ascii="Times New Roman" w:hAnsi="Times New Roman" w:eastAsia="宋体" w:cs="Times New Roman"/>
                <w:color w:val="auto"/>
                <w:spacing w:val="-1"/>
                <w:sz w:val="24"/>
                <w:szCs w:val="24"/>
                <w:u w:val="none" w:color="auto"/>
              </w:rPr>
              <w:t>。不符合要求的原料不予进入生产，避免含有毒、有害化学品的废塑料夹混其中。另外，建设单位应建立废塑料回收情况记录，内容包括每批次废塑料的回收时间、地点、来源（包括名称和联系方式）、数量、种类，并做好月度和年度汇总工作。</w:t>
            </w:r>
          </w:p>
          <w:p w14:paraId="62763544">
            <w:pPr>
              <w:pStyle w:val="134"/>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u w:val="none" w:color="auto"/>
              </w:rPr>
            </w:pPr>
            <w:r>
              <w:rPr>
                <w:rFonts w:hint="default" w:ascii="Times New Roman" w:hAnsi="Times New Roman" w:eastAsia="宋体" w:cs="Times New Roman"/>
                <w:color w:val="auto"/>
                <w:spacing w:val="-1"/>
                <w:sz w:val="24"/>
                <w:szCs w:val="24"/>
                <w:u w:val="none" w:color="auto"/>
              </w:rPr>
              <w:t>对废塑料根据生产要求、按计划回收、分期分批入库，严格控制贮存量。项目原料储存于车间内部，禁止废塑料露天堆存，同时评价要求建设单位对车间地面进行防渗处理。</w:t>
            </w:r>
          </w:p>
          <w:p w14:paraId="07141EDE">
            <w:pPr>
              <w:pStyle w:val="134"/>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u w:val="none" w:color="auto"/>
              </w:rPr>
            </w:pPr>
            <w:r>
              <w:rPr>
                <w:rFonts w:hint="default" w:ascii="Times New Roman" w:hAnsi="Times New Roman" w:eastAsia="宋体" w:cs="Times New Roman"/>
                <w:color w:val="auto"/>
                <w:spacing w:val="-1"/>
                <w:sz w:val="24"/>
                <w:szCs w:val="24"/>
                <w:u w:val="none" w:color="auto"/>
              </w:rPr>
              <w:t>综上所述，项目所用废塑料原料来源稳定、可靠，满足《废塑料综合利用行业规范条件》及《废塑料加工利用管理规定</w:t>
            </w:r>
            <w:r>
              <w:rPr>
                <w:rFonts w:hint="eastAsia" w:ascii="Times New Roman" w:hAnsi="Times New Roman" w:eastAsia="宋体" w:cs="Times New Roman"/>
                <w:color w:val="auto"/>
                <w:spacing w:val="-1"/>
                <w:sz w:val="24"/>
                <w:szCs w:val="24"/>
                <w:u w:val="none" w:color="auto"/>
                <w:lang w:eastAsia="zh-CN"/>
              </w:rPr>
              <w:t>》等</w:t>
            </w:r>
            <w:r>
              <w:rPr>
                <w:rFonts w:hint="default" w:ascii="Times New Roman" w:hAnsi="Times New Roman" w:eastAsia="宋体" w:cs="Times New Roman"/>
                <w:color w:val="auto"/>
                <w:spacing w:val="-1"/>
                <w:sz w:val="24"/>
                <w:szCs w:val="24"/>
                <w:u w:val="none" w:color="auto"/>
              </w:rPr>
              <w:t>要求。建设单位承诺对废塑料来源、储存、生产及产品去向进行严格控制，保证安全生产过程符合生产工艺及相关环保规范的要求。</w:t>
            </w:r>
          </w:p>
          <w:p w14:paraId="169EA8AD">
            <w:pPr>
              <w:pStyle w:val="134"/>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u w:val="none" w:color="auto"/>
              </w:rPr>
            </w:pPr>
            <w:r>
              <w:rPr>
                <w:rFonts w:hint="default" w:ascii="Times New Roman" w:hAnsi="Times New Roman" w:eastAsia="宋体" w:cs="Times New Roman"/>
                <w:color w:val="auto"/>
                <w:spacing w:val="-1"/>
                <w:sz w:val="24"/>
                <w:szCs w:val="24"/>
                <w:u w:val="none" w:color="auto"/>
              </w:rPr>
              <w:t>建设单位回收的未被污染的输液瓶（袋）委托专业的运输单位进行运输，运输车运输过程中尽量避开人口密集区域和交通拥堵道路，采用专用密封厢式运输车始终保持密封状态</w:t>
            </w:r>
            <w:r>
              <w:rPr>
                <w:rFonts w:hint="eastAsia" w:ascii="Times New Roman" w:hAnsi="Times New Roman" w:eastAsia="宋体" w:cs="Times New Roman"/>
                <w:color w:val="auto"/>
                <w:spacing w:val="-1"/>
                <w:sz w:val="24"/>
                <w:szCs w:val="24"/>
                <w:u w:val="none" w:color="auto"/>
                <w:lang w:eastAsia="zh-CN"/>
              </w:rPr>
              <w:t>且</w:t>
            </w:r>
            <w:r>
              <w:rPr>
                <w:rFonts w:hint="default" w:ascii="Times New Roman" w:hAnsi="Times New Roman" w:eastAsia="宋体" w:cs="Times New Roman"/>
                <w:color w:val="auto"/>
                <w:spacing w:val="-1"/>
                <w:sz w:val="24"/>
                <w:szCs w:val="24"/>
                <w:u w:val="none" w:color="auto"/>
              </w:rPr>
              <w:t>进入处置场地之前任何人不得打开</w:t>
            </w:r>
            <w:r>
              <w:rPr>
                <w:rFonts w:hint="eastAsia" w:ascii="Times New Roman" w:hAnsi="Times New Roman" w:eastAsia="宋体" w:cs="Times New Roman"/>
                <w:color w:val="auto"/>
                <w:spacing w:val="-1"/>
                <w:sz w:val="24"/>
                <w:szCs w:val="24"/>
                <w:u w:val="none" w:color="auto"/>
                <w:lang w:val="en-US" w:eastAsia="zh-CN"/>
              </w:rPr>
              <w:t>车厢门</w:t>
            </w:r>
            <w:r>
              <w:rPr>
                <w:rFonts w:hint="default" w:ascii="Times New Roman" w:hAnsi="Times New Roman" w:eastAsia="宋体" w:cs="Times New Roman"/>
                <w:color w:val="auto"/>
                <w:spacing w:val="-1"/>
                <w:sz w:val="24"/>
                <w:szCs w:val="24"/>
                <w:u w:val="none" w:color="auto"/>
              </w:rPr>
              <w:t>，保证运输过程中回收物不丢失、不人为转卖。</w:t>
            </w:r>
          </w:p>
          <w:p w14:paraId="59D6D7FC">
            <w:pPr>
              <w:adjustRightInd w:val="0"/>
              <w:snapToGrid w:val="0"/>
              <w:spacing w:before="120" w:beforeLines="50"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 xml:space="preserve"> 主要生产设备</w:t>
            </w:r>
          </w:p>
          <w:p w14:paraId="535FF55D">
            <w:pPr>
              <w:keepNext w:val="0"/>
              <w:keepLines w:val="0"/>
              <w:pageBreakBefore w:val="0"/>
              <w:widowControl/>
              <w:kinsoku/>
              <w:wordWrap/>
              <w:overflowPunct/>
              <w:topLinePunct w:val="0"/>
              <w:autoSpaceDE w:val="0"/>
              <w:autoSpaceDN w:val="0"/>
              <w:bidi w:val="0"/>
              <w:adjustRightInd/>
              <w:snapToGrid/>
              <w:spacing w:before="157" w:beforeLines="50" w:line="360" w:lineRule="auto"/>
              <w:ind w:firstLine="480" w:firstLineChars="200"/>
              <w:textAlignment w:val="bottom"/>
              <w:rPr>
                <w:rFonts w:hint="eastAsia"/>
                <w:color w:val="auto"/>
                <w:sz w:val="24"/>
                <w:lang w:val="en-US" w:eastAsia="zh-CN"/>
              </w:rPr>
            </w:pPr>
            <w:r>
              <w:rPr>
                <w:rFonts w:hint="eastAsia"/>
                <w:color w:val="auto"/>
                <w:sz w:val="24"/>
                <w:lang w:val="en-US" w:eastAsia="zh-CN"/>
              </w:rPr>
              <w:t>略</w:t>
            </w:r>
          </w:p>
          <w:p w14:paraId="4F3B9765">
            <w:pPr>
              <w:keepNext w:val="0"/>
              <w:keepLines w:val="0"/>
              <w:pageBreakBefore w:val="0"/>
              <w:widowControl/>
              <w:kinsoku/>
              <w:wordWrap/>
              <w:overflowPunct/>
              <w:topLinePunct w:val="0"/>
              <w:autoSpaceDE w:val="0"/>
              <w:autoSpaceDN w:val="0"/>
              <w:bidi w:val="0"/>
              <w:adjustRightInd/>
              <w:snapToGrid/>
              <w:spacing w:before="157" w:beforeLines="50" w:line="360" w:lineRule="auto"/>
              <w:ind w:firstLine="480" w:firstLineChars="200"/>
              <w:textAlignment w:val="bottom"/>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lang w:val="en-US" w:eastAsia="zh-CN"/>
              </w:rPr>
              <w:t>产能核算</w:t>
            </w:r>
          </w:p>
          <w:p w14:paraId="0275315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ottom"/>
              <w:rPr>
                <w:rFonts w:hint="eastAsia"/>
                <w:color w:val="auto"/>
                <w:sz w:val="24"/>
              </w:rPr>
            </w:pPr>
            <w:r>
              <w:rPr>
                <w:rFonts w:hint="eastAsia"/>
                <w:color w:val="auto"/>
                <w:sz w:val="24"/>
              </w:rPr>
              <w:t>各设备小时产能和年生产能力见表2.2-6。</w:t>
            </w:r>
          </w:p>
          <w:p w14:paraId="6C27720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b w:val="0"/>
                <w:bCs w:val="0"/>
                <w:color w:val="auto"/>
                <w:sz w:val="24"/>
                <w:szCs w:val="24"/>
                <w:highlight w:val="none"/>
              </w:rPr>
            </w:pPr>
            <w:r>
              <w:rPr>
                <w:rFonts w:hint="eastAsia" w:ascii="Times New Roman" w:hAnsi="Times New Roman" w:eastAsia="黑体" w:cs="Times New Roman"/>
                <w:b w:val="0"/>
                <w:bCs w:val="0"/>
                <w:color w:val="auto"/>
                <w:sz w:val="24"/>
                <w:szCs w:val="24"/>
                <w:highlight w:val="none"/>
              </w:rPr>
              <w:t>表2.2-6 各设备小时产能和年生产能力</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17"/>
              <w:gridCol w:w="1606"/>
              <w:gridCol w:w="1259"/>
              <w:gridCol w:w="1364"/>
              <w:gridCol w:w="1529"/>
            </w:tblGrid>
            <w:tr w14:paraId="49DC7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62" w:type="pct"/>
                  <w:tcBorders>
                    <w:tl2br w:val="nil"/>
                    <w:tr2bl w:val="nil"/>
                  </w:tcBorders>
                  <w:noWrap w:val="0"/>
                  <w:vAlign w:val="center"/>
                </w:tcPr>
                <w:p w14:paraId="3B4BF797">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hint="eastAsia"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生产线</w:t>
                  </w:r>
                </w:p>
              </w:tc>
              <w:tc>
                <w:tcPr>
                  <w:tcW w:w="958" w:type="pct"/>
                  <w:tcBorders>
                    <w:tl2br w:val="nil"/>
                    <w:tr2bl w:val="nil"/>
                  </w:tcBorders>
                  <w:noWrap w:val="0"/>
                  <w:vAlign w:val="center"/>
                </w:tcPr>
                <w:p w14:paraId="4B4E4C8D">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单条生产线小时产能</w:t>
                  </w:r>
                </w:p>
              </w:tc>
              <w:tc>
                <w:tcPr>
                  <w:tcW w:w="751" w:type="pct"/>
                  <w:tcBorders>
                    <w:tl2br w:val="nil"/>
                    <w:tr2bl w:val="nil"/>
                  </w:tcBorders>
                  <w:noWrap w:val="0"/>
                  <w:vAlign w:val="center"/>
                </w:tcPr>
                <w:p w14:paraId="3EA14E7A">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单条生产线</w:t>
                  </w:r>
                  <w:r>
                    <w:rPr>
                      <w:rFonts w:hint="eastAsia" w:ascii="Times New Roman" w:hAnsi="Times New Roman" w:cs="Times New Roman"/>
                      <w:b w:val="0"/>
                      <w:bCs w:val="0"/>
                      <w:color w:val="auto"/>
                      <w:sz w:val="21"/>
                      <w:szCs w:val="21"/>
                      <w:lang w:val="en-US" w:eastAsia="zh-CN"/>
                    </w:rPr>
                    <w:t>日</w:t>
                  </w:r>
                  <w:r>
                    <w:rPr>
                      <w:rFonts w:hint="eastAsia" w:ascii="Times New Roman" w:hAnsi="Times New Roman" w:cs="Times New Roman"/>
                      <w:b w:val="0"/>
                      <w:bCs w:val="0"/>
                      <w:color w:val="auto"/>
                      <w:sz w:val="21"/>
                      <w:szCs w:val="21"/>
                      <w:lang w:val="en-US"/>
                    </w:rPr>
                    <w:t>产能</w:t>
                  </w:r>
                </w:p>
              </w:tc>
              <w:tc>
                <w:tcPr>
                  <w:tcW w:w="814" w:type="pct"/>
                  <w:tcBorders>
                    <w:tl2br w:val="nil"/>
                    <w:tr2bl w:val="nil"/>
                  </w:tcBorders>
                  <w:noWrap w:val="0"/>
                  <w:vAlign w:val="center"/>
                </w:tcPr>
                <w:p w14:paraId="57E88231">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拟建生产线条数</w:t>
                  </w:r>
                </w:p>
              </w:tc>
              <w:tc>
                <w:tcPr>
                  <w:tcW w:w="912" w:type="pct"/>
                  <w:tcBorders>
                    <w:tl2br w:val="nil"/>
                    <w:tr2bl w:val="nil"/>
                  </w:tcBorders>
                  <w:noWrap w:val="0"/>
                  <w:vAlign w:val="center"/>
                </w:tcPr>
                <w:p w14:paraId="7B57FB28">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年最大产能</w:t>
                  </w:r>
                </w:p>
              </w:tc>
            </w:tr>
            <w:tr w14:paraId="49038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62" w:type="pct"/>
                  <w:tcBorders>
                    <w:tl2br w:val="nil"/>
                    <w:tr2bl w:val="nil"/>
                  </w:tcBorders>
                  <w:noWrap w:val="0"/>
                  <w:vAlign w:val="center"/>
                </w:tcPr>
                <w:p w14:paraId="2F0C9DDA">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塑料输液瓶（袋）破碎、清洗生产线</w:t>
                  </w:r>
                </w:p>
              </w:tc>
              <w:tc>
                <w:tcPr>
                  <w:tcW w:w="958" w:type="pct"/>
                  <w:tcBorders>
                    <w:tl2br w:val="nil"/>
                    <w:tr2bl w:val="nil"/>
                  </w:tcBorders>
                  <w:noWrap w:val="0"/>
                  <w:vAlign w:val="center"/>
                </w:tcPr>
                <w:p w14:paraId="321DAC64">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eastAsia="zh-CN"/>
                    </w:rPr>
                    <w:t>2</w:t>
                  </w:r>
                  <w:r>
                    <w:rPr>
                      <w:rFonts w:hint="eastAsia" w:ascii="Times New Roman" w:hAnsi="Times New Roman" w:cs="Times New Roman"/>
                      <w:b w:val="0"/>
                      <w:bCs w:val="0"/>
                      <w:color w:val="auto"/>
                      <w:sz w:val="21"/>
                      <w:szCs w:val="21"/>
                      <w:lang w:val="en-US"/>
                    </w:rPr>
                    <w:t>t/h</w:t>
                  </w:r>
                </w:p>
              </w:tc>
              <w:tc>
                <w:tcPr>
                  <w:tcW w:w="751" w:type="pct"/>
                  <w:tcBorders>
                    <w:tl2br w:val="nil"/>
                    <w:tr2bl w:val="nil"/>
                  </w:tcBorders>
                  <w:noWrap w:val="0"/>
                  <w:vAlign w:val="center"/>
                </w:tcPr>
                <w:p w14:paraId="3614EA05">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eastAsia="zh-CN"/>
                    </w:rPr>
                    <w:t>48</w:t>
                  </w:r>
                  <w:r>
                    <w:rPr>
                      <w:rFonts w:hint="eastAsia" w:ascii="Times New Roman" w:hAnsi="Times New Roman" w:cs="Times New Roman"/>
                      <w:b w:val="0"/>
                      <w:bCs w:val="0"/>
                      <w:color w:val="auto"/>
                      <w:sz w:val="21"/>
                      <w:szCs w:val="21"/>
                      <w:lang w:val="en-US"/>
                    </w:rPr>
                    <w:t>t/d</w:t>
                  </w:r>
                </w:p>
              </w:tc>
              <w:tc>
                <w:tcPr>
                  <w:tcW w:w="814" w:type="pct"/>
                  <w:tcBorders>
                    <w:tl2br w:val="nil"/>
                    <w:tr2bl w:val="nil"/>
                  </w:tcBorders>
                  <w:noWrap w:val="0"/>
                  <w:vAlign w:val="center"/>
                </w:tcPr>
                <w:p w14:paraId="6251713E">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hint="eastAsia"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1</w:t>
                  </w:r>
                </w:p>
              </w:tc>
              <w:tc>
                <w:tcPr>
                  <w:tcW w:w="912" w:type="pct"/>
                  <w:tcBorders>
                    <w:tl2br w:val="nil"/>
                    <w:tr2bl w:val="nil"/>
                  </w:tcBorders>
                  <w:noWrap w:val="0"/>
                  <w:vAlign w:val="center"/>
                </w:tcPr>
                <w:p w14:paraId="010D8538">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eastAsia="zh-CN"/>
                    </w:rPr>
                    <w:t>15840</w:t>
                  </w:r>
                  <w:r>
                    <w:rPr>
                      <w:rFonts w:hint="eastAsia" w:ascii="Times New Roman" w:hAnsi="Times New Roman" w:cs="Times New Roman"/>
                      <w:b w:val="0"/>
                      <w:bCs w:val="0"/>
                      <w:color w:val="auto"/>
                      <w:sz w:val="21"/>
                      <w:szCs w:val="21"/>
                      <w:lang w:val="en-US"/>
                    </w:rPr>
                    <w:t>t/a</w:t>
                  </w:r>
                </w:p>
              </w:tc>
            </w:tr>
            <w:tr w14:paraId="6AB20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562" w:type="pct"/>
                  <w:tcBorders>
                    <w:tl2br w:val="nil"/>
                    <w:tr2bl w:val="nil"/>
                  </w:tcBorders>
                  <w:noWrap w:val="0"/>
                  <w:vAlign w:val="center"/>
                </w:tcPr>
                <w:p w14:paraId="58A31A67">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hint="eastAsia"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eastAsia="zh-CN"/>
                    </w:rPr>
                    <w:t>玻璃</w:t>
                  </w:r>
                  <w:r>
                    <w:rPr>
                      <w:rFonts w:hint="eastAsia" w:ascii="Times New Roman" w:hAnsi="Times New Roman" w:cs="Times New Roman"/>
                      <w:b w:val="0"/>
                      <w:bCs w:val="0"/>
                      <w:color w:val="auto"/>
                      <w:sz w:val="21"/>
                      <w:szCs w:val="21"/>
                      <w:lang w:val="en-US"/>
                    </w:rPr>
                    <w:t>破碎、清洗生产线</w:t>
                  </w:r>
                </w:p>
              </w:tc>
              <w:tc>
                <w:tcPr>
                  <w:tcW w:w="958" w:type="pct"/>
                  <w:tcBorders>
                    <w:tl2br w:val="nil"/>
                    <w:tr2bl w:val="nil"/>
                  </w:tcBorders>
                  <w:noWrap w:val="0"/>
                  <w:vAlign w:val="center"/>
                </w:tcPr>
                <w:p w14:paraId="5D4BBD7C">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eastAsia="zh-CN"/>
                    </w:rPr>
                    <w:t>1</w:t>
                  </w:r>
                  <w:r>
                    <w:rPr>
                      <w:rFonts w:hint="eastAsia" w:ascii="Times New Roman" w:hAnsi="Times New Roman" w:cs="Times New Roman"/>
                      <w:b w:val="0"/>
                      <w:bCs w:val="0"/>
                      <w:color w:val="auto"/>
                      <w:sz w:val="21"/>
                      <w:szCs w:val="21"/>
                      <w:lang w:val="en-US"/>
                    </w:rPr>
                    <w:t>t/h</w:t>
                  </w:r>
                </w:p>
              </w:tc>
              <w:tc>
                <w:tcPr>
                  <w:tcW w:w="751" w:type="pct"/>
                  <w:tcBorders>
                    <w:tl2br w:val="nil"/>
                    <w:tr2bl w:val="nil"/>
                  </w:tcBorders>
                  <w:noWrap w:val="0"/>
                  <w:vAlign w:val="center"/>
                </w:tcPr>
                <w:p w14:paraId="5F730428">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eastAsia="zh-CN"/>
                    </w:rPr>
                    <w:t>24t</w:t>
                  </w:r>
                  <w:r>
                    <w:rPr>
                      <w:rFonts w:hint="eastAsia" w:ascii="Times New Roman" w:hAnsi="Times New Roman" w:cs="Times New Roman"/>
                      <w:b w:val="0"/>
                      <w:bCs w:val="0"/>
                      <w:color w:val="auto"/>
                      <w:sz w:val="21"/>
                      <w:szCs w:val="21"/>
                      <w:lang w:val="en-US"/>
                    </w:rPr>
                    <w:t>/d</w:t>
                  </w:r>
                </w:p>
              </w:tc>
              <w:tc>
                <w:tcPr>
                  <w:tcW w:w="814" w:type="pct"/>
                  <w:tcBorders>
                    <w:tl2br w:val="nil"/>
                    <w:tr2bl w:val="nil"/>
                  </w:tcBorders>
                  <w:noWrap w:val="0"/>
                  <w:vAlign w:val="center"/>
                </w:tcPr>
                <w:p w14:paraId="7E63BE84">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hint="eastAsia"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1</w:t>
                  </w:r>
                </w:p>
              </w:tc>
              <w:tc>
                <w:tcPr>
                  <w:tcW w:w="912" w:type="pct"/>
                  <w:tcBorders>
                    <w:tl2br w:val="nil"/>
                    <w:tr2bl w:val="nil"/>
                  </w:tcBorders>
                  <w:noWrap w:val="0"/>
                  <w:vAlign w:val="center"/>
                </w:tcPr>
                <w:p w14:paraId="4C18EED0">
                  <w:pPr>
                    <w:pStyle w:val="97"/>
                    <w:keepNext w:val="0"/>
                    <w:keepLines w:val="0"/>
                    <w:pageBreakBefore w:val="0"/>
                    <w:widowControl/>
                    <w:kinsoku/>
                    <w:wordWrap/>
                    <w:overflowPunct/>
                    <w:topLinePunct w:val="0"/>
                    <w:autoSpaceDE/>
                    <w:autoSpaceDN/>
                    <w:bidi w:val="0"/>
                    <w:adjustRightInd/>
                    <w:snapToGrid/>
                    <w:spacing w:before="0" w:line="340" w:lineRule="exact"/>
                    <w:ind w:left="198" w:right="159"/>
                    <w:jc w:val="center"/>
                    <w:textAlignment w:val="auto"/>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eastAsia="zh-CN"/>
                    </w:rPr>
                    <w:t>7920</w:t>
                  </w:r>
                  <w:r>
                    <w:rPr>
                      <w:rFonts w:hint="eastAsia" w:ascii="Times New Roman" w:hAnsi="Times New Roman" w:cs="Times New Roman"/>
                      <w:b w:val="0"/>
                      <w:bCs w:val="0"/>
                      <w:color w:val="auto"/>
                      <w:sz w:val="21"/>
                      <w:szCs w:val="21"/>
                      <w:lang w:val="en-US"/>
                    </w:rPr>
                    <w:t>t/a</w:t>
                  </w:r>
                </w:p>
              </w:tc>
            </w:tr>
          </w:tbl>
          <w:p w14:paraId="7DEDDD6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rPr>
            </w:pPr>
            <w:r>
              <w:rPr>
                <w:rFonts w:hint="eastAsia"/>
                <w:color w:val="auto"/>
                <w:sz w:val="24"/>
              </w:rPr>
              <w:t>由表2.2-6可知，塑料输液瓶（袋）破碎、清洗生产线的最大产能为</w:t>
            </w:r>
            <w:r>
              <w:rPr>
                <w:rFonts w:hint="eastAsia"/>
                <w:color w:val="auto"/>
                <w:sz w:val="24"/>
                <w:lang w:val="en-US" w:eastAsia="zh-CN"/>
              </w:rPr>
              <w:t>15840</w:t>
            </w:r>
            <w:r>
              <w:rPr>
                <w:rFonts w:hint="eastAsia"/>
                <w:color w:val="auto"/>
                <w:sz w:val="24"/>
              </w:rPr>
              <w:t>t/a，企业年产量为</w:t>
            </w:r>
            <w:r>
              <w:rPr>
                <w:rFonts w:hint="eastAsia"/>
                <w:color w:val="auto"/>
                <w:sz w:val="24"/>
                <w:lang w:val="en-US" w:eastAsia="zh-CN"/>
              </w:rPr>
              <w:t>10400</w:t>
            </w:r>
            <w:r>
              <w:rPr>
                <w:rFonts w:hint="eastAsia"/>
                <w:color w:val="auto"/>
                <w:sz w:val="24"/>
              </w:rPr>
              <w:t>t/a；</w:t>
            </w:r>
            <w:r>
              <w:rPr>
                <w:rFonts w:hint="eastAsia"/>
                <w:color w:val="auto"/>
                <w:sz w:val="24"/>
                <w:lang w:val="en-US" w:eastAsia="zh-CN"/>
              </w:rPr>
              <w:t>玻璃</w:t>
            </w:r>
            <w:r>
              <w:rPr>
                <w:rFonts w:hint="eastAsia"/>
                <w:color w:val="auto"/>
                <w:sz w:val="24"/>
                <w:lang w:val="en-US"/>
              </w:rPr>
              <w:t>破碎</w:t>
            </w:r>
            <w:r>
              <w:rPr>
                <w:rFonts w:hint="eastAsia"/>
                <w:color w:val="auto"/>
                <w:sz w:val="24"/>
              </w:rPr>
              <w:t>、清洗生产线最大产能为</w:t>
            </w:r>
            <w:r>
              <w:rPr>
                <w:rFonts w:hint="eastAsia"/>
                <w:color w:val="auto"/>
                <w:sz w:val="24"/>
                <w:lang w:val="en-US" w:eastAsia="zh-CN"/>
              </w:rPr>
              <w:t>7920</w:t>
            </w:r>
            <w:r>
              <w:rPr>
                <w:rFonts w:hint="eastAsia"/>
                <w:color w:val="auto"/>
                <w:sz w:val="24"/>
              </w:rPr>
              <w:t>t/a，企业年产量为</w:t>
            </w:r>
            <w:r>
              <w:rPr>
                <w:rFonts w:hint="eastAsia"/>
                <w:color w:val="auto"/>
                <w:sz w:val="24"/>
                <w:lang w:val="en-US" w:eastAsia="zh-CN"/>
              </w:rPr>
              <w:t>4000</w:t>
            </w:r>
            <w:r>
              <w:rPr>
                <w:rFonts w:hint="eastAsia"/>
                <w:color w:val="auto"/>
                <w:sz w:val="24"/>
              </w:rPr>
              <w:t>t/a，设备的产能能满足要求。</w:t>
            </w:r>
          </w:p>
          <w:p w14:paraId="2D31725A">
            <w:pPr>
              <w:adjustRightInd w:val="0"/>
              <w:snapToGrid w:val="0"/>
              <w:spacing w:line="360" w:lineRule="auto"/>
              <w:ind w:firstLine="480" w:firstLineChars="200"/>
              <w:rPr>
                <w:rFonts w:hint="eastAsia"/>
                <w:color w:val="auto"/>
                <w:sz w:val="24"/>
              </w:rPr>
            </w:pPr>
            <w:r>
              <w:rPr>
                <w:rFonts w:hint="eastAsia"/>
                <w:color w:val="auto"/>
                <w:sz w:val="24"/>
              </w:rPr>
              <w:t>（3）设备工艺先进性分析</w:t>
            </w:r>
          </w:p>
          <w:p w14:paraId="66948CF9">
            <w:pPr>
              <w:adjustRightInd w:val="0"/>
              <w:snapToGrid w:val="0"/>
              <w:spacing w:line="360" w:lineRule="auto"/>
              <w:ind w:firstLine="480" w:firstLineChars="200"/>
              <w:rPr>
                <w:rFonts w:hint="eastAsia"/>
                <w:color w:val="auto"/>
                <w:sz w:val="24"/>
              </w:rPr>
            </w:pPr>
            <w:r>
              <w:rPr>
                <w:rFonts w:hint="eastAsia"/>
                <w:color w:val="auto"/>
                <w:sz w:val="24"/>
              </w:rPr>
              <w:t>本项目采用未被污染的输液袋（瓶）</w:t>
            </w:r>
            <w:r>
              <w:rPr>
                <w:rFonts w:hint="eastAsia"/>
                <w:color w:val="auto"/>
                <w:sz w:val="24"/>
                <w:lang w:val="en-US" w:eastAsia="zh-CN"/>
              </w:rPr>
              <w:t>及矿泉水瓶</w:t>
            </w:r>
            <w:r>
              <w:rPr>
                <w:rFonts w:hint="eastAsia"/>
                <w:color w:val="auto"/>
                <w:sz w:val="24"/>
              </w:rPr>
              <w:t>为原料，不使用新的资源，减少了原材料资源的消耗，同时回收医疗机构产生的固废，本项目的建设既可使其他单位产生的固废进行资源化、无害化处置，又可创造一定的经济和社会效益，符合国家对清洁生产及循环经济的要求。</w:t>
            </w:r>
          </w:p>
          <w:p w14:paraId="46DCAEDB">
            <w:pPr>
              <w:keepNext/>
              <w:keepLines/>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2"/>
              <w:rPr>
                <w:rFonts w:hint="default" w:ascii="Times New Roman" w:hAnsi="Times New Roman" w:eastAsia="宋体" w:cs="Times New Roman"/>
                <w:b/>
                <w:color w:val="auto"/>
                <w:kern w:val="2"/>
                <w:sz w:val="24"/>
                <w:szCs w:val="24"/>
                <w:lang w:val="en-US" w:eastAsia="zh-CN" w:bidi="ar-SA"/>
              </w:rPr>
            </w:pPr>
            <w:r>
              <w:rPr>
                <w:rFonts w:hint="eastAsia"/>
                <w:color w:val="auto"/>
                <w:sz w:val="24"/>
              </w:rPr>
              <w:t>废塑料的分选采用沉浮分离等先进技术，确保操作人员的健康和安全。项目</w:t>
            </w:r>
            <w:r>
              <w:rPr>
                <w:rFonts w:hint="eastAsia"/>
                <w:color w:val="auto"/>
                <w:sz w:val="24"/>
                <w:lang w:eastAsia="zh-CN"/>
              </w:rPr>
              <w:t>全过</w:t>
            </w:r>
            <w:r>
              <w:rPr>
                <w:rFonts w:hint="eastAsia"/>
                <w:color w:val="auto"/>
                <w:sz w:val="24"/>
              </w:rPr>
              <w:t>程采用节水的机械清洗技术，清洗过程不添加清洗剂，干燥过程采用节能、高效的干燥技术。项目全厂综合水耗小于1.5t/t废塑料，满足《废塑料综合利用行业规范条件》中的相关要求。</w:t>
            </w:r>
          </w:p>
          <w:p w14:paraId="0B44343F">
            <w:pPr>
              <w:keepNext/>
              <w:keepLines/>
              <w:pageBreakBefore w:val="0"/>
              <w:widowControl w:val="0"/>
              <w:kinsoku/>
              <w:wordWrap/>
              <w:overflowPunct/>
              <w:topLinePunct w:val="0"/>
              <w:autoSpaceDE/>
              <w:autoSpaceDN/>
              <w:bidi w:val="0"/>
              <w:adjustRightInd/>
              <w:snapToGrid/>
              <w:spacing w:before="157" w:beforeLines="50" w:beforeAutospacing="0" w:afterAutospacing="0" w:line="360" w:lineRule="auto"/>
              <w:jc w:val="both"/>
              <w:textAlignment w:val="auto"/>
              <w:outlineLvl w:val="2"/>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2.2.</w:t>
            </w:r>
            <w:r>
              <w:rPr>
                <w:rFonts w:hint="eastAsia" w:cs="Times New Roman"/>
                <w:b/>
                <w:color w:val="auto"/>
                <w:kern w:val="2"/>
                <w:sz w:val="24"/>
                <w:szCs w:val="24"/>
                <w:lang w:val="en-US" w:eastAsia="zh-CN" w:bidi="ar-SA"/>
              </w:rPr>
              <w:t>8</w:t>
            </w:r>
            <w:r>
              <w:rPr>
                <w:rFonts w:hint="default" w:ascii="Times New Roman" w:hAnsi="Times New Roman" w:eastAsia="宋体" w:cs="Times New Roman"/>
                <w:b/>
                <w:color w:val="auto"/>
                <w:kern w:val="2"/>
                <w:sz w:val="24"/>
                <w:szCs w:val="24"/>
                <w:lang w:val="en-US" w:eastAsia="zh-CN" w:bidi="ar-SA"/>
              </w:rPr>
              <w:t xml:space="preserve"> </w:t>
            </w:r>
            <w:r>
              <w:rPr>
                <w:rFonts w:hint="eastAsia" w:cs="Times New Roman"/>
                <w:b/>
                <w:color w:val="auto"/>
                <w:kern w:val="2"/>
                <w:sz w:val="24"/>
                <w:szCs w:val="24"/>
                <w:lang w:val="en-US" w:eastAsia="zh-CN" w:bidi="ar-SA"/>
              </w:rPr>
              <w:t>物料平衡及</w:t>
            </w:r>
            <w:r>
              <w:rPr>
                <w:rFonts w:hint="default" w:ascii="Times New Roman" w:hAnsi="Times New Roman" w:eastAsia="宋体" w:cs="Times New Roman"/>
                <w:b/>
                <w:color w:val="auto"/>
                <w:kern w:val="2"/>
                <w:sz w:val="24"/>
                <w:szCs w:val="24"/>
                <w:lang w:val="en-US" w:eastAsia="zh-CN" w:bidi="ar-SA"/>
              </w:rPr>
              <w:t>水平衡</w:t>
            </w:r>
          </w:p>
          <w:p w14:paraId="62FF9848">
            <w:pPr>
              <w:pStyle w:val="22"/>
              <w:keepNext w:val="0"/>
              <w:keepLines w:val="0"/>
              <w:pageBreakBefore w:val="0"/>
              <w:widowControl w:val="0"/>
              <w:kinsoku/>
              <w:wordWrap/>
              <w:overflowPunct/>
              <w:topLinePunct w:val="0"/>
              <w:autoSpaceDE w:val="0"/>
              <w:autoSpaceDN w:val="0"/>
              <w:bidi w:val="0"/>
              <w:adjustRightInd w:val="0"/>
              <w:spacing w:before="0" w:beforeAutospacing="0" w:after="0" w:afterAutospacing="0" w:line="360" w:lineRule="auto"/>
              <w:ind w:firstLine="480" w:firstLineChars="200"/>
              <w:jc w:val="both"/>
              <w:textAlignment w:val="baseline"/>
              <w:rPr>
                <w:rFonts w:ascii="Times New Roman" w:hAnsi="Times New Roman"/>
                <w:color w:val="auto"/>
              </w:rPr>
            </w:pPr>
            <w:r>
              <w:rPr>
                <w:rFonts w:hint="eastAsia" w:ascii="Times New Roman" w:hAnsi="Times New Roman"/>
                <w:color w:val="auto"/>
              </w:rPr>
              <w:t>（1）项目物料平衡</w:t>
            </w:r>
          </w:p>
          <w:p w14:paraId="406C9975">
            <w:pPr>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bottom"/>
              <w:rPr>
                <w:color w:val="auto"/>
                <w:sz w:val="24"/>
              </w:rPr>
            </w:pPr>
            <w:r>
              <w:rPr>
                <w:color w:val="auto"/>
                <w:sz w:val="24"/>
              </w:rPr>
              <w:t>项目物料平衡见表</w:t>
            </w:r>
            <w:r>
              <w:rPr>
                <w:rFonts w:hint="eastAsia"/>
                <w:color w:val="auto"/>
                <w:sz w:val="24"/>
              </w:rPr>
              <w:t>2.2-7</w:t>
            </w:r>
            <w:r>
              <w:rPr>
                <w:color w:val="auto"/>
                <w:sz w:val="24"/>
              </w:rPr>
              <w:t>。</w:t>
            </w:r>
          </w:p>
          <w:p w14:paraId="3AC23BF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b/>
                <w:bCs/>
                <w:color w:val="auto"/>
                <w:sz w:val="24"/>
              </w:rPr>
            </w:pPr>
            <w:r>
              <w:rPr>
                <w:rFonts w:hint="eastAsia" w:ascii="黑体" w:hAnsi="黑体" w:eastAsia="黑体" w:cs="黑体"/>
                <w:b w:val="0"/>
                <w:bCs w:val="0"/>
                <w:color w:val="auto"/>
                <w:sz w:val="24"/>
              </w:rPr>
              <w:t>表2.2-7 项目物料平衡一览表</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56"/>
              <w:gridCol w:w="1659"/>
              <w:gridCol w:w="1774"/>
              <w:gridCol w:w="1897"/>
              <w:gridCol w:w="1689"/>
            </w:tblGrid>
            <w:tr w14:paraId="2FBF80C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tcBorders>
                    <w:tl2br w:val="nil"/>
                    <w:tr2bl w:val="nil"/>
                  </w:tcBorders>
                  <w:noWrap w:val="0"/>
                  <w:vAlign w:val="center"/>
                </w:tcPr>
                <w:p w14:paraId="392AC32B">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b/>
                      <w:bCs/>
                      <w:color w:val="auto"/>
                      <w:lang w:val="en-US"/>
                    </w:rPr>
                  </w:pPr>
                  <w:r>
                    <w:rPr>
                      <w:rFonts w:ascii="Times New Roman" w:hAnsi="Times New Roman" w:cs="Times New Roman"/>
                      <w:b/>
                      <w:bCs/>
                      <w:color w:val="auto"/>
                      <w:lang w:val="en-US"/>
                    </w:rPr>
                    <w:t>分类</w:t>
                  </w:r>
                </w:p>
              </w:tc>
              <w:tc>
                <w:tcPr>
                  <w:tcW w:w="2049" w:type="pct"/>
                  <w:gridSpan w:val="2"/>
                  <w:tcBorders>
                    <w:tl2br w:val="nil"/>
                    <w:tr2bl w:val="nil"/>
                  </w:tcBorders>
                  <w:noWrap w:val="0"/>
                  <w:vAlign w:val="center"/>
                </w:tcPr>
                <w:p w14:paraId="69796951">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ascii="Times New Roman" w:hAnsi="Times New Roman" w:cs="Times New Roman"/>
                      <w:b/>
                      <w:bCs/>
                      <w:color w:val="auto"/>
                      <w:lang w:val="en-US"/>
                    </w:rPr>
                  </w:pPr>
                  <w:r>
                    <w:rPr>
                      <w:rFonts w:ascii="Times New Roman" w:hAnsi="Times New Roman" w:cs="Times New Roman"/>
                      <w:b/>
                      <w:bCs/>
                      <w:color w:val="auto"/>
                      <w:lang w:val="en-US"/>
                    </w:rPr>
                    <w:t>投入</w:t>
                  </w:r>
                </w:p>
              </w:tc>
              <w:tc>
                <w:tcPr>
                  <w:tcW w:w="2140" w:type="pct"/>
                  <w:gridSpan w:val="2"/>
                  <w:tcBorders>
                    <w:tl2br w:val="nil"/>
                    <w:tr2bl w:val="nil"/>
                  </w:tcBorders>
                  <w:noWrap w:val="0"/>
                  <w:vAlign w:val="center"/>
                </w:tcPr>
                <w:p w14:paraId="6419FDA2">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ascii="Times New Roman" w:hAnsi="Times New Roman" w:cs="Times New Roman"/>
                      <w:b/>
                      <w:bCs/>
                      <w:color w:val="auto"/>
                      <w:lang w:val="en-US"/>
                    </w:rPr>
                  </w:pPr>
                  <w:r>
                    <w:rPr>
                      <w:rFonts w:ascii="Times New Roman" w:hAnsi="Times New Roman" w:cs="Times New Roman"/>
                      <w:b/>
                      <w:bCs/>
                      <w:color w:val="auto"/>
                      <w:lang w:val="en-US"/>
                    </w:rPr>
                    <w:t>产出</w:t>
                  </w:r>
                </w:p>
              </w:tc>
            </w:tr>
            <w:tr w14:paraId="7F0F168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restart"/>
                  <w:tcBorders>
                    <w:tl2br w:val="nil"/>
                    <w:tr2bl w:val="nil"/>
                  </w:tcBorders>
                  <w:noWrap w:val="0"/>
                  <w:vAlign w:val="center"/>
                </w:tcPr>
                <w:p w14:paraId="10CFAF51">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lang w:val="en-US"/>
                    </w:rPr>
                  </w:pPr>
                  <w:r>
                    <w:rPr>
                      <w:rFonts w:ascii="Times New Roman" w:hAnsi="Times New Roman" w:cs="Times New Roman"/>
                      <w:bCs/>
                      <w:color w:val="auto"/>
                      <w:szCs w:val="21"/>
                      <w:lang w:val="en-US"/>
                    </w:rPr>
                    <w:t>塑料输液瓶（袋）</w:t>
                  </w:r>
                  <w:r>
                    <w:rPr>
                      <w:rFonts w:hint="eastAsia" w:ascii="Times New Roman" w:hAnsi="Times New Roman" w:cs="Times New Roman"/>
                      <w:bCs/>
                      <w:color w:val="auto"/>
                      <w:szCs w:val="21"/>
                      <w:lang w:val="en-US" w:eastAsia="zh-CN"/>
                    </w:rPr>
                    <w:t>、矿泉水瓶破碎、</w:t>
                  </w:r>
                  <w:r>
                    <w:rPr>
                      <w:rFonts w:ascii="Times New Roman" w:hAnsi="Times New Roman" w:cs="Times New Roman"/>
                      <w:bCs/>
                      <w:color w:val="auto"/>
                      <w:szCs w:val="21"/>
                      <w:lang w:val="en-US"/>
                    </w:rPr>
                    <w:t>清洗</w:t>
                  </w:r>
                  <w:r>
                    <w:rPr>
                      <w:rFonts w:hint="eastAsia" w:ascii="Times New Roman" w:hAnsi="Times New Roman" w:cs="Times New Roman"/>
                      <w:bCs/>
                      <w:color w:val="auto"/>
                      <w:szCs w:val="21"/>
                      <w:lang w:val="en-US"/>
                    </w:rPr>
                    <w:t>生产线</w:t>
                  </w:r>
                </w:p>
              </w:tc>
              <w:tc>
                <w:tcPr>
                  <w:tcW w:w="990" w:type="pct"/>
                  <w:tcBorders>
                    <w:tl2br w:val="nil"/>
                    <w:tr2bl w:val="nil"/>
                  </w:tcBorders>
                  <w:noWrap w:val="0"/>
                  <w:vAlign w:val="center"/>
                </w:tcPr>
                <w:p w14:paraId="0FF7B7BC">
                  <w:pPr>
                    <w:pStyle w:val="97"/>
                    <w:keepNext w:val="0"/>
                    <w:keepLines w:val="0"/>
                    <w:pageBreakBefore w:val="0"/>
                    <w:kinsoku/>
                    <w:wordWrap/>
                    <w:overflowPunct/>
                    <w:topLinePunct w:val="0"/>
                    <w:autoSpaceDE/>
                    <w:autoSpaceDN/>
                    <w:bidi w:val="0"/>
                    <w:spacing w:before="0" w:line="340" w:lineRule="exact"/>
                    <w:ind w:left="137" w:right="110"/>
                    <w:jc w:val="center"/>
                    <w:textAlignment w:val="auto"/>
                    <w:rPr>
                      <w:rFonts w:ascii="Times New Roman" w:hAnsi="Times New Roman" w:cs="Times New Roman"/>
                      <w:color w:val="auto"/>
                    </w:rPr>
                  </w:pPr>
                  <w:r>
                    <w:rPr>
                      <w:rFonts w:ascii="Times New Roman" w:hAnsi="Times New Roman" w:cs="Times New Roman"/>
                      <w:color w:val="auto"/>
                      <w:lang w:val="en-US"/>
                    </w:rPr>
                    <w:t>名称</w:t>
                  </w:r>
                </w:p>
              </w:tc>
              <w:tc>
                <w:tcPr>
                  <w:tcW w:w="1059" w:type="pct"/>
                  <w:tcBorders>
                    <w:tl2br w:val="nil"/>
                    <w:tr2bl w:val="nil"/>
                  </w:tcBorders>
                  <w:noWrap w:val="0"/>
                  <w:vAlign w:val="center"/>
                </w:tcPr>
                <w:p w14:paraId="3F40E7B9">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ascii="Times New Roman" w:hAnsi="Times New Roman" w:cs="Times New Roman"/>
                      <w:color w:val="auto"/>
                    </w:rPr>
                  </w:pPr>
                  <w:r>
                    <w:rPr>
                      <w:rFonts w:ascii="Times New Roman" w:hAnsi="Times New Roman" w:cs="Times New Roman"/>
                      <w:color w:val="auto"/>
                      <w:lang w:val="en-US"/>
                    </w:rPr>
                    <w:t>重量（t/a）</w:t>
                  </w:r>
                </w:p>
              </w:tc>
              <w:tc>
                <w:tcPr>
                  <w:tcW w:w="1132" w:type="pct"/>
                  <w:tcBorders>
                    <w:tl2br w:val="nil"/>
                    <w:tr2bl w:val="nil"/>
                  </w:tcBorders>
                  <w:noWrap w:val="0"/>
                  <w:vAlign w:val="center"/>
                </w:tcPr>
                <w:p w14:paraId="1492AFF0">
                  <w:pPr>
                    <w:pStyle w:val="97"/>
                    <w:keepNext w:val="0"/>
                    <w:keepLines w:val="0"/>
                    <w:pageBreakBefore w:val="0"/>
                    <w:kinsoku/>
                    <w:wordWrap/>
                    <w:overflowPunct/>
                    <w:topLinePunct w:val="0"/>
                    <w:autoSpaceDE/>
                    <w:autoSpaceDN/>
                    <w:bidi w:val="0"/>
                    <w:spacing w:before="0" w:line="340" w:lineRule="exact"/>
                    <w:ind w:left="137" w:right="110"/>
                    <w:jc w:val="center"/>
                    <w:textAlignment w:val="auto"/>
                    <w:rPr>
                      <w:rFonts w:ascii="Times New Roman" w:hAnsi="Times New Roman" w:cs="Times New Roman"/>
                      <w:color w:val="auto"/>
                    </w:rPr>
                  </w:pPr>
                  <w:r>
                    <w:rPr>
                      <w:rFonts w:ascii="Times New Roman" w:hAnsi="Times New Roman" w:cs="Times New Roman"/>
                      <w:color w:val="auto"/>
                      <w:lang w:val="en-US"/>
                    </w:rPr>
                    <w:t>名称</w:t>
                  </w:r>
                </w:p>
              </w:tc>
              <w:tc>
                <w:tcPr>
                  <w:tcW w:w="1008" w:type="pct"/>
                  <w:tcBorders>
                    <w:tl2br w:val="nil"/>
                    <w:tr2bl w:val="nil"/>
                  </w:tcBorders>
                  <w:noWrap w:val="0"/>
                  <w:vAlign w:val="center"/>
                </w:tcPr>
                <w:p w14:paraId="1DE14612">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ascii="Times New Roman" w:hAnsi="Times New Roman" w:cs="Times New Roman"/>
                      <w:color w:val="auto"/>
                      <w:lang w:val="en-US"/>
                    </w:rPr>
                  </w:pPr>
                  <w:r>
                    <w:rPr>
                      <w:rFonts w:ascii="Times New Roman" w:hAnsi="Times New Roman" w:cs="Times New Roman"/>
                      <w:color w:val="auto"/>
                      <w:lang w:val="en-US"/>
                    </w:rPr>
                    <w:t>重量（t/a）</w:t>
                  </w:r>
                </w:p>
              </w:tc>
            </w:tr>
            <w:tr w14:paraId="412BFA0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continue"/>
                  <w:tcBorders>
                    <w:tl2br w:val="nil"/>
                    <w:tr2bl w:val="nil"/>
                  </w:tcBorders>
                  <w:noWrap w:val="0"/>
                  <w:vAlign w:val="center"/>
                </w:tcPr>
                <w:p w14:paraId="23028B7A">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p>
              </w:tc>
              <w:tc>
                <w:tcPr>
                  <w:tcW w:w="990" w:type="pct"/>
                  <w:tcBorders>
                    <w:tl2br w:val="nil"/>
                    <w:tr2bl w:val="nil"/>
                  </w:tcBorders>
                  <w:noWrap w:val="0"/>
                  <w:vAlign w:val="center"/>
                </w:tcPr>
                <w:p w14:paraId="0B7C1814">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r>
                    <w:rPr>
                      <w:rFonts w:ascii="Times New Roman" w:hAnsi="Times New Roman" w:cs="Times New Roman"/>
                      <w:color w:val="auto"/>
                    </w:rPr>
                    <w:t>塑料输液袋</w:t>
                  </w:r>
                </w:p>
              </w:tc>
              <w:tc>
                <w:tcPr>
                  <w:tcW w:w="1059" w:type="pct"/>
                  <w:tcBorders>
                    <w:tl2br w:val="nil"/>
                    <w:tr2bl w:val="nil"/>
                  </w:tcBorders>
                  <w:noWrap w:val="0"/>
                  <w:vAlign w:val="center"/>
                </w:tcPr>
                <w:p w14:paraId="6FD8136A">
                  <w:pPr>
                    <w:pStyle w:val="97"/>
                    <w:keepNext w:val="0"/>
                    <w:keepLines w:val="0"/>
                    <w:pageBreakBefore w:val="0"/>
                    <w:kinsoku/>
                    <w:wordWrap/>
                    <w:overflowPunct/>
                    <w:topLinePunct w:val="0"/>
                    <w:autoSpaceDE/>
                    <w:autoSpaceDN/>
                    <w:bidi w:val="0"/>
                    <w:spacing w:before="0" w:line="340" w:lineRule="exact"/>
                    <w:ind w:left="242" w:right="215"/>
                    <w:jc w:val="center"/>
                    <w:textAlignment w:val="auto"/>
                    <w:rPr>
                      <w:rFonts w:ascii="Times New Roman" w:hAnsi="Times New Roman" w:cs="Times New Roman"/>
                      <w:color w:val="auto"/>
                      <w:lang w:val="en-US"/>
                    </w:rPr>
                  </w:pPr>
                  <w:r>
                    <w:rPr>
                      <w:rFonts w:hint="eastAsia" w:ascii="Times New Roman" w:hAnsi="Times New Roman" w:cs="Times New Roman"/>
                      <w:color w:val="auto"/>
                      <w:lang w:val="en-US" w:eastAsia="zh-CN"/>
                    </w:rPr>
                    <w:t>320</w:t>
                  </w:r>
                  <w:r>
                    <w:rPr>
                      <w:rFonts w:hint="eastAsia" w:ascii="Times New Roman" w:hAnsi="Times New Roman" w:cs="Times New Roman"/>
                      <w:color w:val="auto"/>
                      <w:lang w:val="en-US"/>
                    </w:rPr>
                    <w:t>0</w:t>
                  </w:r>
                </w:p>
              </w:tc>
              <w:tc>
                <w:tcPr>
                  <w:tcW w:w="1132" w:type="pct"/>
                  <w:tcBorders>
                    <w:tl2br w:val="nil"/>
                    <w:tr2bl w:val="nil"/>
                  </w:tcBorders>
                  <w:noWrap w:val="0"/>
                  <w:vAlign w:val="center"/>
                </w:tcPr>
                <w:p w14:paraId="4F3505C2">
                  <w:pPr>
                    <w:pStyle w:val="97"/>
                    <w:keepNext w:val="0"/>
                    <w:keepLines w:val="0"/>
                    <w:pageBreakBefore w:val="0"/>
                    <w:kinsoku/>
                    <w:wordWrap/>
                    <w:overflowPunct/>
                    <w:topLinePunct w:val="0"/>
                    <w:autoSpaceDE/>
                    <w:autoSpaceDN/>
                    <w:bidi w:val="0"/>
                    <w:spacing w:before="0" w:line="340" w:lineRule="exact"/>
                    <w:ind w:left="137" w:right="110"/>
                    <w:jc w:val="center"/>
                    <w:textAlignment w:val="auto"/>
                    <w:rPr>
                      <w:rFonts w:ascii="Times New Roman" w:hAnsi="Times New Roman" w:cs="Times New Roman"/>
                      <w:color w:val="auto"/>
                    </w:rPr>
                  </w:pPr>
                  <w:r>
                    <w:rPr>
                      <w:rFonts w:hint="eastAsia" w:ascii="Times New Roman" w:hAnsi="Times New Roman" w:cs="Times New Roman"/>
                      <w:color w:val="auto"/>
                      <w:lang w:val="en-US"/>
                    </w:rPr>
                    <w:t>塑料</w:t>
                  </w:r>
                  <w:r>
                    <w:rPr>
                      <w:rFonts w:ascii="Times New Roman" w:hAnsi="Times New Roman" w:cs="Times New Roman"/>
                      <w:color w:val="auto"/>
                    </w:rPr>
                    <w:t>破碎料</w:t>
                  </w:r>
                </w:p>
              </w:tc>
              <w:tc>
                <w:tcPr>
                  <w:tcW w:w="1008" w:type="pct"/>
                  <w:tcBorders>
                    <w:tl2br w:val="nil"/>
                    <w:tr2bl w:val="nil"/>
                  </w:tcBorders>
                  <w:noWrap w:val="0"/>
                  <w:vAlign w:val="center"/>
                </w:tcPr>
                <w:p w14:paraId="6133DC0F">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9898.36</w:t>
                  </w:r>
                </w:p>
              </w:tc>
            </w:tr>
            <w:tr w14:paraId="328E004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continue"/>
                  <w:tcBorders>
                    <w:tl2br w:val="nil"/>
                    <w:tr2bl w:val="nil"/>
                  </w:tcBorders>
                  <w:noWrap w:val="0"/>
                  <w:vAlign w:val="center"/>
                </w:tcPr>
                <w:p w14:paraId="5983A06A">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p>
              </w:tc>
              <w:tc>
                <w:tcPr>
                  <w:tcW w:w="990" w:type="pct"/>
                  <w:tcBorders>
                    <w:tl2br w:val="nil"/>
                    <w:tr2bl w:val="nil"/>
                  </w:tcBorders>
                  <w:noWrap w:val="0"/>
                  <w:vAlign w:val="center"/>
                </w:tcPr>
                <w:p w14:paraId="52E412F1">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r>
                    <w:rPr>
                      <w:rFonts w:ascii="Times New Roman" w:hAnsi="Times New Roman" w:cs="Times New Roman"/>
                      <w:color w:val="auto"/>
                    </w:rPr>
                    <w:t>塑料输液瓶</w:t>
                  </w:r>
                </w:p>
              </w:tc>
              <w:tc>
                <w:tcPr>
                  <w:tcW w:w="1059" w:type="pct"/>
                  <w:tcBorders>
                    <w:tl2br w:val="nil"/>
                    <w:tr2bl w:val="nil"/>
                  </w:tcBorders>
                  <w:noWrap w:val="0"/>
                  <w:vAlign w:val="center"/>
                </w:tcPr>
                <w:p w14:paraId="7AF18E52">
                  <w:pPr>
                    <w:pStyle w:val="97"/>
                    <w:keepNext w:val="0"/>
                    <w:keepLines w:val="0"/>
                    <w:pageBreakBefore w:val="0"/>
                    <w:kinsoku/>
                    <w:wordWrap/>
                    <w:overflowPunct/>
                    <w:topLinePunct w:val="0"/>
                    <w:autoSpaceDE/>
                    <w:autoSpaceDN/>
                    <w:bidi w:val="0"/>
                    <w:spacing w:before="0" w:line="340" w:lineRule="exact"/>
                    <w:ind w:left="242" w:right="215"/>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3200</w:t>
                  </w:r>
                </w:p>
              </w:tc>
              <w:tc>
                <w:tcPr>
                  <w:tcW w:w="1132" w:type="pct"/>
                  <w:tcBorders>
                    <w:tl2br w:val="nil"/>
                    <w:tr2bl w:val="nil"/>
                  </w:tcBorders>
                  <w:noWrap w:val="0"/>
                  <w:vAlign w:val="center"/>
                </w:tcPr>
                <w:p w14:paraId="33C3FFB2">
                  <w:pPr>
                    <w:pStyle w:val="97"/>
                    <w:keepNext w:val="0"/>
                    <w:keepLines w:val="0"/>
                    <w:pageBreakBefore w:val="0"/>
                    <w:kinsoku/>
                    <w:wordWrap/>
                    <w:overflowPunct/>
                    <w:topLinePunct w:val="0"/>
                    <w:autoSpaceDE/>
                    <w:autoSpaceDN/>
                    <w:bidi w:val="0"/>
                    <w:spacing w:before="0" w:line="340" w:lineRule="exact"/>
                    <w:ind w:left="137" w:right="110"/>
                    <w:jc w:val="center"/>
                    <w:textAlignment w:val="auto"/>
                    <w:rPr>
                      <w:rFonts w:ascii="Times New Roman" w:hAnsi="Times New Roman" w:cs="Times New Roman"/>
                      <w:color w:val="auto"/>
                    </w:rPr>
                  </w:pPr>
                  <w:r>
                    <w:rPr>
                      <w:rFonts w:ascii="Times New Roman" w:hAnsi="Times New Roman" w:cs="Times New Roman"/>
                      <w:color w:val="auto"/>
                    </w:rPr>
                    <w:t>橡胶破碎料</w:t>
                  </w:r>
                </w:p>
              </w:tc>
              <w:tc>
                <w:tcPr>
                  <w:tcW w:w="1008" w:type="pct"/>
                  <w:tcBorders>
                    <w:tl2br w:val="nil"/>
                    <w:tr2bl w:val="nil"/>
                  </w:tcBorders>
                  <w:noWrap w:val="0"/>
                  <w:vAlign w:val="center"/>
                </w:tcPr>
                <w:p w14:paraId="39663410">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395</w:t>
                  </w:r>
                </w:p>
              </w:tc>
            </w:tr>
            <w:tr w14:paraId="6D91921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continue"/>
                  <w:tcBorders>
                    <w:tl2br w:val="nil"/>
                    <w:tr2bl w:val="nil"/>
                  </w:tcBorders>
                  <w:noWrap w:val="0"/>
                  <w:vAlign w:val="center"/>
                </w:tcPr>
                <w:p w14:paraId="649FC6AC">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p>
              </w:tc>
              <w:tc>
                <w:tcPr>
                  <w:tcW w:w="990" w:type="pct"/>
                  <w:tcBorders>
                    <w:tl2br w:val="nil"/>
                    <w:tr2bl w:val="nil"/>
                  </w:tcBorders>
                  <w:noWrap w:val="0"/>
                  <w:vAlign w:val="center"/>
                </w:tcPr>
                <w:p w14:paraId="415B04A8">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矿泉水瓶</w:t>
                  </w:r>
                </w:p>
              </w:tc>
              <w:tc>
                <w:tcPr>
                  <w:tcW w:w="1059" w:type="pct"/>
                  <w:tcBorders>
                    <w:tl2br w:val="nil"/>
                    <w:tr2bl w:val="nil"/>
                  </w:tcBorders>
                  <w:noWrap w:val="0"/>
                  <w:vAlign w:val="center"/>
                </w:tcPr>
                <w:p w14:paraId="1E237801">
                  <w:pPr>
                    <w:pStyle w:val="97"/>
                    <w:keepNext w:val="0"/>
                    <w:keepLines w:val="0"/>
                    <w:pageBreakBefore w:val="0"/>
                    <w:kinsoku/>
                    <w:wordWrap/>
                    <w:overflowPunct/>
                    <w:topLinePunct w:val="0"/>
                    <w:autoSpaceDE/>
                    <w:autoSpaceDN/>
                    <w:bidi w:val="0"/>
                    <w:spacing w:before="0" w:line="340" w:lineRule="exact"/>
                    <w:ind w:left="242" w:right="215"/>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4000</w:t>
                  </w:r>
                </w:p>
              </w:tc>
              <w:tc>
                <w:tcPr>
                  <w:tcW w:w="1132" w:type="pct"/>
                  <w:tcBorders>
                    <w:tl2br w:val="nil"/>
                    <w:tr2bl w:val="nil"/>
                  </w:tcBorders>
                  <w:shd w:val="clear" w:color="auto" w:fill="auto"/>
                  <w:noWrap w:val="0"/>
                  <w:vAlign w:val="center"/>
                </w:tcPr>
                <w:p w14:paraId="5357C282">
                  <w:pPr>
                    <w:pStyle w:val="97"/>
                    <w:keepNext w:val="0"/>
                    <w:keepLines w:val="0"/>
                    <w:pageBreakBefore w:val="0"/>
                    <w:kinsoku/>
                    <w:wordWrap/>
                    <w:overflowPunct/>
                    <w:topLinePunct w:val="0"/>
                    <w:autoSpaceDE/>
                    <w:autoSpaceDN/>
                    <w:bidi w:val="0"/>
                    <w:spacing w:before="0" w:line="340" w:lineRule="exact"/>
                    <w:ind w:left="141" w:leftChars="0" w:right="110" w:right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清洗沉渣</w:t>
                  </w:r>
                </w:p>
              </w:tc>
              <w:tc>
                <w:tcPr>
                  <w:tcW w:w="1008" w:type="pct"/>
                  <w:tcBorders>
                    <w:tl2br w:val="nil"/>
                    <w:tr2bl w:val="nil"/>
                  </w:tcBorders>
                  <w:shd w:val="clear" w:color="auto" w:fill="auto"/>
                  <w:noWrap w:val="0"/>
                  <w:vAlign w:val="center"/>
                </w:tcPr>
                <w:p w14:paraId="081F99EE">
                  <w:pPr>
                    <w:pStyle w:val="97"/>
                    <w:keepNext w:val="0"/>
                    <w:keepLines w:val="0"/>
                    <w:pageBreakBefore w:val="0"/>
                    <w:kinsoku/>
                    <w:wordWrap/>
                    <w:overflowPunct/>
                    <w:topLinePunct w:val="0"/>
                    <w:autoSpaceDE/>
                    <w:autoSpaceDN/>
                    <w:bidi w:val="0"/>
                    <w:spacing w:before="0" w:line="340" w:lineRule="exact"/>
                    <w:ind w:left="143" w:leftChars="0" w:right="122" w:right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86.32</w:t>
                  </w:r>
                </w:p>
              </w:tc>
            </w:tr>
            <w:tr w14:paraId="4141A1F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continue"/>
                  <w:tcBorders>
                    <w:tl2br w:val="nil"/>
                    <w:tr2bl w:val="nil"/>
                  </w:tcBorders>
                  <w:noWrap w:val="0"/>
                  <w:vAlign w:val="center"/>
                </w:tcPr>
                <w:p w14:paraId="16429E42">
                  <w:pPr>
                    <w:pStyle w:val="97"/>
                    <w:keepNext w:val="0"/>
                    <w:keepLines w:val="0"/>
                    <w:pageBreakBefore w:val="0"/>
                    <w:kinsoku/>
                    <w:wordWrap/>
                    <w:overflowPunct/>
                    <w:topLinePunct w:val="0"/>
                    <w:autoSpaceDE/>
                    <w:autoSpaceDN/>
                    <w:bidi w:val="0"/>
                    <w:spacing w:before="0" w:line="340" w:lineRule="exact"/>
                    <w:jc w:val="center"/>
                    <w:textAlignment w:val="auto"/>
                    <w:rPr>
                      <w:rFonts w:ascii="Times New Roman" w:hAnsi="Times New Roman" w:cs="Times New Roman"/>
                      <w:color w:val="auto"/>
                      <w:sz w:val="22"/>
                    </w:rPr>
                  </w:pPr>
                </w:p>
              </w:tc>
              <w:tc>
                <w:tcPr>
                  <w:tcW w:w="990" w:type="pct"/>
                  <w:tcBorders>
                    <w:tl2br w:val="nil"/>
                    <w:tr2bl w:val="nil"/>
                  </w:tcBorders>
                  <w:noWrap w:val="0"/>
                  <w:vAlign w:val="center"/>
                </w:tcPr>
                <w:p w14:paraId="5A84FDFF">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sz w:val="22"/>
                    </w:rPr>
                  </w:pPr>
                  <w:r>
                    <w:rPr>
                      <w:rFonts w:hint="eastAsia" w:ascii="Times New Roman" w:hAnsi="Times New Roman" w:cs="Times New Roman"/>
                      <w:color w:val="auto"/>
                      <w:lang w:val="en-US"/>
                    </w:rPr>
                    <w:t>/</w:t>
                  </w:r>
                </w:p>
              </w:tc>
              <w:tc>
                <w:tcPr>
                  <w:tcW w:w="1059" w:type="pct"/>
                  <w:tcBorders>
                    <w:tl2br w:val="nil"/>
                    <w:tr2bl w:val="nil"/>
                  </w:tcBorders>
                  <w:noWrap w:val="0"/>
                  <w:vAlign w:val="center"/>
                </w:tcPr>
                <w:p w14:paraId="290680B8">
                  <w:pPr>
                    <w:pStyle w:val="97"/>
                    <w:keepNext w:val="0"/>
                    <w:keepLines w:val="0"/>
                    <w:pageBreakBefore w:val="0"/>
                    <w:kinsoku/>
                    <w:wordWrap/>
                    <w:overflowPunct/>
                    <w:topLinePunct w:val="0"/>
                    <w:autoSpaceDE/>
                    <w:autoSpaceDN/>
                    <w:bidi w:val="0"/>
                    <w:spacing w:before="0" w:line="340" w:lineRule="exact"/>
                    <w:ind w:left="242" w:right="215"/>
                    <w:jc w:val="center"/>
                    <w:textAlignment w:val="auto"/>
                    <w:rPr>
                      <w:rFonts w:ascii="Times New Roman" w:hAnsi="Times New Roman" w:cs="Times New Roman"/>
                      <w:color w:val="auto"/>
                      <w:sz w:val="22"/>
                    </w:rPr>
                  </w:pPr>
                  <w:r>
                    <w:rPr>
                      <w:rFonts w:hint="eastAsia" w:ascii="Times New Roman" w:hAnsi="Times New Roman" w:cs="Times New Roman"/>
                      <w:color w:val="auto"/>
                      <w:lang w:val="en-US"/>
                    </w:rPr>
                    <w:t>/</w:t>
                  </w:r>
                </w:p>
              </w:tc>
              <w:tc>
                <w:tcPr>
                  <w:tcW w:w="1132" w:type="pct"/>
                  <w:tcBorders>
                    <w:tl2br w:val="nil"/>
                    <w:tr2bl w:val="nil"/>
                  </w:tcBorders>
                  <w:shd w:val="clear" w:color="auto" w:fill="auto"/>
                  <w:noWrap w:val="0"/>
                  <w:vAlign w:val="center"/>
                </w:tcPr>
                <w:p w14:paraId="24396964">
                  <w:pPr>
                    <w:pStyle w:val="97"/>
                    <w:keepNext w:val="0"/>
                    <w:keepLines w:val="0"/>
                    <w:pageBreakBefore w:val="0"/>
                    <w:kinsoku/>
                    <w:wordWrap/>
                    <w:overflowPunct/>
                    <w:topLinePunct w:val="0"/>
                    <w:autoSpaceDE/>
                    <w:autoSpaceDN/>
                    <w:bidi w:val="0"/>
                    <w:spacing w:before="0" w:line="340" w:lineRule="exact"/>
                    <w:ind w:left="137" w:leftChars="0" w:right="110" w:rightChars="0"/>
                    <w:jc w:val="center"/>
                    <w:textAlignment w:val="auto"/>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污水处理污泥</w:t>
                  </w:r>
                </w:p>
              </w:tc>
              <w:tc>
                <w:tcPr>
                  <w:tcW w:w="1008" w:type="pct"/>
                  <w:tcBorders>
                    <w:tl2br w:val="nil"/>
                    <w:tr2bl w:val="nil"/>
                  </w:tcBorders>
                  <w:shd w:val="clear" w:color="auto" w:fill="auto"/>
                  <w:noWrap w:val="0"/>
                  <w:vAlign w:val="center"/>
                </w:tcPr>
                <w:p w14:paraId="456058B3">
                  <w:pPr>
                    <w:pStyle w:val="97"/>
                    <w:keepNext w:val="0"/>
                    <w:keepLines w:val="0"/>
                    <w:pageBreakBefore w:val="0"/>
                    <w:kinsoku/>
                    <w:wordWrap/>
                    <w:overflowPunct/>
                    <w:topLinePunct w:val="0"/>
                    <w:autoSpaceDE/>
                    <w:autoSpaceDN/>
                    <w:bidi w:val="0"/>
                    <w:spacing w:before="0" w:line="340" w:lineRule="exact"/>
                    <w:ind w:left="148" w:leftChars="0" w:right="122" w:rightChars="0"/>
                    <w:jc w:val="center"/>
                    <w:textAlignment w:val="auto"/>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3.52</w:t>
                  </w:r>
                </w:p>
              </w:tc>
            </w:tr>
            <w:tr w14:paraId="3517EFF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continue"/>
                  <w:tcBorders>
                    <w:tl2br w:val="nil"/>
                    <w:tr2bl w:val="nil"/>
                  </w:tcBorders>
                  <w:noWrap w:val="0"/>
                  <w:vAlign w:val="center"/>
                </w:tcPr>
                <w:p w14:paraId="16B0EF93">
                  <w:pPr>
                    <w:pStyle w:val="97"/>
                    <w:keepNext w:val="0"/>
                    <w:keepLines w:val="0"/>
                    <w:pageBreakBefore w:val="0"/>
                    <w:kinsoku/>
                    <w:wordWrap/>
                    <w:overflowPunct/>
                    <w:topLinePunct w:val="0"/>
                    <w:autoSpaceDE/>
                    <w:autoSpaceDN/>
                    <w:bidi w:val="0"/>
                    <w:spacing w:before="0" w:line="340" w:lineRule="exact"/>
                    <w:jc w:val="center"/>
                    <w:textAlignment w:val="auto"/>
                    <w:rPr>
                      <w:rFonts w:ascii="Times New Roman" w:hAnsi="Times New Roman" w:cs="Times New Roman"/>
                      <w:color w:val="auto"/>
                      <w:sz w:val="22"/>
                    </w:rPr>
                  </w:pPr>
                </w:p>
              </w:tc>
              <w:tc>
                <w:tcPr>
                  <w:tcW w:w="990" w:type="pct"/>
                  <w:tcBorders>
                    <w:tl2br w:val="nil"/>
                    <w:tr2bl w:val="nil"/>
                  </w:tcBorders>
                  <w:noWrap w:val="0"/>
                  <w:vAlign w:val="center"/>
                </w:tcPr>
                <w:p w14:paraId="571A11A9">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sz w:val="22"/>
                    </w:rPr>
                  </w:pPr>
                  <w:r>
                    <w:rPr>
                      <w:rFonts w:hint="eastAsia" w:ascii="Times New Roman" w:hAnsi="Times New Roman" w:cs="Times New Roman"/>
                      <w:color w:val="auto"/>
                      <w:lang w:val="en-US"/>
                    </w:rPr>
                    <w:t>/</w:t>
                  </w:r>
                </w:p>
              </w:tc>
              <w:tc>
                <w:tcPr>
                  <w:tcW w:w="1059" w:type="pct"/>
                  <w:tcBorders>
                    <w:tl2br w:val="nil"/>
                    <w:tr2bl w:val="nil"/>
                  </w:tcBorders>
                  <w:noWrap w:val="0"/>
                  <w:vAlign w:val="center"/>
                </w:tcPr>
                <w:p w14:paraId="1221A9BD">
                  <w:pPr>
                    <w:pStyle w:val="97"/>
                    <w:keepNext w:val="0"/>
                    <w:keepLines w:val="0"/>
                    <w:pageBreakBefore w:val="0"/>
                    <w:kinsoku/>
                    <w:wordWrap/>
                    <w:overflowPunct/>
                    <w:topLinePunct w:val="0"/>
                    <w:autoSpaceDE/>
                    <w:autoSpaceDN/>
                    <w:bidi w:val="0"/>
                    <w:spacing w:before="0" w:line="340" w:lineRule="exact"/>
                    <w:ind w:left="242" w:right="215"/>
                    <w:jc w:val="center"/>
                    <w:textAlignment w:val="auto"/>
                    <w:rPr>
                      <w:rFonts w:ascii="Times New Roman" w:hAnsi="Times New Roman" w:cs="Times New Roman"/>
                      <w:color w:val="auto"/>
                      <w:sz w:val="22"/>
                    </w:rPr>
                  </w:pPr>
                  <w:r>
                    <w:rPr>
                      <w:rFonts w:hint="eastAsia" w:ascii="Times New Roman" w:hAnsi="Times New Roman" w:cs="Times New Roman"/>
                      <w:color w:val="auto"/>
                      <w:lang w:val="en-US"/>
                    </w:rPr>
                    <w:t>/</w:t>
                  </w:r>
                </w:p>
              </w:tc>
              <w:tc>
                <w:tcPr>
                  <w:tcW w:w="1132" w:type="pct"/>
                  <w:tcBorders>
                    <w:tl2br w:val="nil"/>
                    <w:tr2bl w:val="nil"/>
                  </w:tcBorders>
                  <w:noWrap w:val="0"/>
                  <w:vAlign w:val="center"/>
                </w:tcPr>
                <w:p w14:paraId="1D27A49D">
                  <w:pPr>
                    <w:pStyle w:val="97"/>
                    <w:keepNext w:val="0"/>
                    <w:keepLines w:val="0"/>
                    <w:pageBreakBefore w:val="0"/>
                    <w:kinsoku/>
                    <w:wordWrap/>
                    <w:overflowPunct/>
                    <w:topLinePunct w:val="0"/>
                    <w:autoSpaceDE/>
                    <w:autoSpaceDN/>
                    <w:bidi w:val="0"/>
                    <w:spacing w:before="0" w:line="340" w:lineRule="exact"/>
                    <w:ind w:left="137" w:right="110"/>
                    <w:jc w:val="center"/>
                    <w:textAlignment w:val="auto"/>
                    <w:rPr>
                      <w:rFonts w:ascii="Times New Roman" w:hAnsi="Times New Roman" w:cs="Times New Roman"/>
                      <w:color w:val="auto"/>
                    </w:rPr>
                  </w:pPr>
                  <w:r>
                    <w:rPr>
                      <w:rFonts w:hint="default" w:ascii="Times New Roman" w:hAnsi="Times New Roman" w:cs="Times New Roman"/>
                      <w:color w:val="auto"/>
                      <w:lang w:val="en-US" w:eastAsia="zh-CN"/>
                    </w:rPr>
                    <w:t>废纸浆、废纸屑</w:t>
                  </w:r>
                </w:p>
              </w:tc>
              <w:tc>
                <w:tcPr>
                  <w:tcW w:w="1008" w:type="pct"/>
                  <w:tcBorders>
                    <w:tl2br w:val="nil"/>
                    <w:tr2bl w:val="nil"/>
                  </w:tcBorders>
                  <w:noWrap w:val="0"/>
                  <w:vAlign w:val="center"/>
                </w:tcPr>
                <w:p w14:paraId="68C005DD">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16.8</w:t>
                  </w:r>
                </w:p>
              </w:tc>
            </w:tr>
            <w:tr w14:paraId="7003D1A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continue"/>
                  <w:tcBorders>
                    <w:tl2br w:val="nil"/>
                    <w:tr2bl w:val="nil"/>
                  </w:tcBorders>
                  <w:noWrap w:val="0"/>
                  <w:vAlign w:val="center"/>
                </w:tcPr>
                <w:p w14:paraId="0736060B">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p>
              </w:tc>
              <w:tc>
                <w:tcPr>
                  <w:tcW w:w="990" w:type="pct"/>
                  <w:tcBorders>
                    <w:tl2br w:val="nil"/>
                    <w:tr2bl w:val="nil"/>
                  </w:tcBorders>
                  <w:noWrap w:val="0"/>
                  <w:vAlign w:val="center"/>
                </w:tcPr>
                <w:p w14:paraId="10831817">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r>
                    <w:rPr>
                      <w:rFonts w:ascii="Times New Roman" w:hAnsi="Times New Roman" w:cs="Times New Roman"/>
                      <w:color w:val="auto"/>
                    </w:rPr>
                    <w:t>合计</w:t>
                  </w:r>
                </w:p>
              </w:tc>
              <w:tc>
                <w:tcPr>
                  <w:tcW w:w="1059" w:type="pct"/>
                  <w:tcBorders>
                    <w:tl2br w:val="nil"/>
                    <w:tr2bl w:val="nil"/>
                  </w:tcBorders>
                  <w:noWrap w:val="0"/>
                  <w:vAlign w:val="center"/>
                </w:tcPr>
                <w:p w14:paraId="3969F123">
                  <w:pPr>
                    <w:pStyle w:val="97"/>
                    <w:keepNext w:val="0"/>
                    <w:keepLines w:val="0"/>
                    <w:pageBreakBefore w:val="0"/>
                    <w:kinsoku/>
                    <w:wordWrap/>
                    <w:overflowPunct/>
                    <w:topLinePunct w:val="0"/>
                    <w:autoSpaceDE/>
                    <w:autoSpaceDN/>
                    <w:bidi w:val="0"/>
                    <w:spacing w:before="0" w:line="340" w:lineRule="exact"/>
                    <w:ind w:left="242" w:right="215"/>
                    <w:jc w:val="center"/>
                    <w:textAlignment w:val="auto"/>
                    <w:rPr>
                      <w:rFonts w:ascii="Times New Roman" w:hAnsi="Times New Roman" w:cs="Times New Roman"/>
                      <w:color w:val="auto"/>
                    </w:rPr>
                  </w:pPr>
                  <w:r>
                    <w:rPr>
                      <w:rFonts w:hint="eastAsia" w:ascii="Times New Roman" w:hAnsi="Times New Roman" w:cs="Times New Roman"/>
                      <w:color w:val="auto"/>
                      <w:lang w:val="en-US" w:eastAsia="zh-CN"/>
                    </w:rPr>
                    <w:t>10400</w:t>
                  </w:r>
                </w:p>
              </w:tc>
              <w:tc>
                <w:tcPr>
                  <w:tcW w:w="1132" w:type="pct"/>
                  <w:tcBorders>
                    <w:tl2br w:val="nil"/>
                    <w:tr2bl w:val="nil"/>
                  </w:tcBorders>
                  <w:noWrap w:val="0"/>
                  <w:vAlign w:val="center"/>
                </w:tcPr>
                <w:p w14:paraId="2D0493A1">
                  <w:pPr>
                    <w:pStyle w:val="97"/>
                    <w:keepNext w:val="0"/>
                    <w:keepLines w:val="0"/>
                    <w:pageBreakBefore w:val="0"/>
                    <w:kinsoku/>
                    <w:wordWrap/>
                    <w:overflowPunct/>
                    <w:topLinePunct w:val="0"/>
                    <w:autoSpaceDE/>
                    <w:autoSpaceDN/>
                    <w:bidi w:val="0"/>
                    <w:spacing w:before="0" w:line="340" w:lineRule="exact"/>
                    <w:ind w:left="137" w:right="110"/>
                    <w:jc w:val="center"/>
                    <w:textAlignment w:val="auto"/>
                    <w:rPr>
                      <w:rFonts w:ascii="Times New Roman" w:hAnsi="Times New Roman" w:cs="Times New Roman"/>
                      <w:color w:val="auto"/>
                    </w:rPr>
                  </w:pPr>
                  <w:r>
                    <w:rPr>
                      <w:rFonts w:ascii="Times New Roman" w:hAnsi="Times New Roman" w:cs="Times New Roman"/>
                      <w:color w:val="auto"/>
                    </w:rPr>
                    <w:t>合计</w:t>
                  </w:r>
                </w:p>
              </w:tc>
              <w:tc>
                <w:tcPr>
                  <w:tcW w:w="1008" w:type="pct"/>
                  <w:tcBorders>
                    <w:tl2br w:val="nil"/>
                    <w:tr2bl w:val="nil"/>
                  </w:tcBorders>
                  <w:noWrap w:val="0"/>
                  <w:vAlign w:val="center"/>
                </w:tcPr>
                <w:p w14:paraId="3923D67C">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10400</w:t>
                  </w:r>
                </w:p>
              </w:tc>
            </w:tr>
            <w:tr w14:paraId="3A564FD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restart"/>
                  <w:tcBorders>
                    <w:tl2br w:val="nil"/>
                    <w:tr2bl w:val="nil"/>
                  </w:tcBorders>
                  <w:noWrap w:val="0"/>
                  <w:vAlign w:val="center"/>
                </w:tcPr>
                <w:p w14:paraId="61C83395">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r>
                    <w:rPr>
                      <w:rFonts w:hint="eastAsia" w:ascii="Times New Roman" w:hAnsi="Times New Roman" w:cs="Times New Roman"/>
                      <w:bCs/>
                      <w:color w:val="auto"/>
                      <w:szCs w:val="21"/>
                      <w:lang w:val="en-US"/>
                    </w:rPr>
                    <w:t>玻璃</w:t>
                  </w:r>
                  <w:r>
                    <w:rPr>
                      <w:rFonts w:ascii="Times New Roman" w:hAnsi="Times New Roman" w:cs="Times New Roman"/>
                      <w:bCs/>
                      <w:color w:val="auto"/>
                      <w:szCs w:val="21"/>
                      <w:lang w:val="en-US"/>
                    </w:rPr>
                    <w:t>输液瓶</w:t>
                  </w:r>
                  <w:r>
                    <w:rPr>
                      <w:rFonts w:hint="eastAsia" w:ascii="Times New Roman" w:hAnsi="Times New Roman" w:cs="Times New Roman"/>
                      <w:bCs/>
                      <w:color w:val="auto"/>
                      <w:szCs w:val="21"/>
                      <w:lang w:val="en-US"/>
                    </w:rPr>
                    <w:t>回收</w:t>
                  </w:r>
                  <w:r>
                    <w:rPr>
                      <w:rFonts w:ascii="Times New Roman" w:hAnsi="Times New Roman" w:cs="Times New Roman"/>
                      <w:bCs/>
                      <w:color w:val="auto"/>
                      <w:szCs w:val="21"/>
                      <w:lang w:val="en-US"/>
                    </w:rPr>
                    <w:t>、</w:t>
                  </w:r>
                  <w:r>
                    <w:rPr>
                      <w:rFonts w:hint="eastAsia" w:ascii="Times New Roman" w:hAnsi="Times New Roman" w:cs="Times New Roman"/>
                      <w:bCs/>
                      <w:color w:val="auto"/>
                      <w:szCs w:val="21"/>
                      <w:lang w:val="en-US"/>
                    </w:rPr>
                    <w:t>破碎生产线</w:t>
                  </w:r>
                </w:p>
              </w:tc>
              <w:tc>
                <w:tcPr>
                  <w:tcW w:w="990" w:type="pct"/>
                  <w:tcBorders>
                    <w:tl2br w:val="nil"/>
                    <w:tr2bl w:val="nil"/>
                  </w:tcBorders>
                  <w:noWrap w:val="0"/>
                  <w:vAlign w:val="center"/>
                </w:tcPr>
                <w:p w14:paraId="7917141A">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hint="eastAsia" w:ascii="Times New Roman" w:hAnsi="Times New Roman" w:cs="Times New Roman"/>
                      <w:color w:val="auto"/>
                    </w:rPr>
                  </w:pPr>
                  <w:r>
                    <w:rPr>
                      <w:rFonts w:hint="eastAsia" w:ascii="Times New Roman" w:hAnsi="Times New Roman" w:cs="Times New Roman"/>
                      <w:color w:val="auto"/>
                      <w:lang w:val="en-US"/>
                    </w:rPr>
                    <w:t>玻璃</w:t>
                  </w:r>
                  <w:r>
                    <w:rPr>
                      <w:rFonts w:ascii="Times New Roman" w:hAnsi="Times New Roman" w:cs="Times New Roman"/>
                      <w:color w:val="auto"/>
                    </w:rPr>
                    <w:t>输液</w:t>
                  </w:r>
                  <w:r>
                    <w:rPr>
                      <w:rFonts w:hint="eastAsia" w:ascii="Times New Roman" w:hAnsi="Times New Roman" w:cs="Times New Roman"/>
                      <w:color w:val="auto"/>
                      <w:lang w:val="en-US"/>
                    </w:rPr>
                    <w:t>瓶</w:t>
                  </w:r>
                </w:p>
              </w:tc>
              <w:tc>
                <w:tcPr>
                  <w:tcW w:w="1059" w:type="pct"/>
                  <w:tcBorders>
                    <w:tl2br w:val="nil"/>
                    <w:tr2bl w:val="nil"/>
                  </w:tcBorders>
                  <w:noWrap w:val="0"/>
                  <w:vAlign w:val="center"/>
                </w:tcPr>
                <w:p w14:paraId="2A27EF68">
                  <w:pPr>
                    <w:pStyle w:val="97"/>
                    <w:keepNext w:val="0"/>
                    <w:keepLines w:val="0"/>
                    <w:pageBreakBefore w:val="0"/>
                    <w:kinsoku/>
                    <w:wordWrap/>
                    <w:overflowPunct/>
                    <w:topLinePunct w:val="0"/>
                    <w:autoSpaceDE/>
                    <w:autoSpaceDN/>
                    <w:bidi w:val="0"/>
                    <w:spacing w:before="0" w:line="340" w:lineRule="exact"/>
                    <w:ind w:left="242" w:right="215"/>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4000</w:t>
                  </w:r>
                </w:p>
              </w:tc>
              <w:tc>
                <w:tcPr>
                  <w:tcW w:w="1132" w:type="pct"/>
                  <w:tcBorders>
                    <w:tl2br w:val="nil"/>
                    <w:tr2bl w:val="nil"/>
                  </w:tcBorders>
                  <w:noWrap w:val="0"/>
                  <w:vAlign w:val="center"/>
                </w:tcPr>
                <w:p w14:paraId="285B3E66">
                  <w:pPr>
                    <w:pStyle w:val="97"/>
                    <w:keepNext w:val="0"/>
                    <w:keepLines w:val="0"/>
                    <w:pageBreakBefore w:val="0"/>
                    <w:kinsoku/>
                    <w:wordWrap/>
                    <w:overflowPunct/>
                    <w:topLinePunct w:val="0"/>
                    <w:autoSpaceDE/>
                    <w:autoSpaceDN/>
                    <w:bidi w:val="0"/>
                    <w:spacing w:before="0" w:line="340" w:lineRule="exact"/>
                    <w:ind w:left="137" w:right="110"/>
                    <w:jc w:val="center"/>
                    <w:textAlignment w:val="auto"/>
                    <w:rPr>
                      <w:rFonts w:hint="eastAsia" w:ascii="Times New Roman" w:hAnsi="Times New Roman" w:cs="Times New Roman"/>
                      <w:color w:val="auto"/>
                      <w:lang w:val="en-US"/>
                    </w:rPr>
                  </w:pPr>
                  <w:r>
                    <w:rPr>
                      <w:rFonts w:hint="eastAsia" w:ascii="Times New Roman" w:hAnsi="Times New Roman" w:cs="Times New Roman"/>
                      <w:color w:val="auto"/>
                      <w:lang w:val="en-US"/>
                    </w:rPr>
                    <w:t>玻璃碎片</w:t>
                  </w:r>
                </w:p>
              </w:tc>
              <w:tc>
                <w:tcPr>
                  <w:tcW w:w="1008" w:type="pct"/>
                  <w:tcBorders>
                    <w:tl2br w:val="nil"/>
                    <w:tr2bl w:val="nil"/>
                  </w:tcBorders>
                  <w:noWrap w:val="0"/>
                  <w:vAlign w:val="center"/>
                </w:tcPr>
                <w:p w14:paraId="195C4D10">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3998.8</w:t>
                  </w:r>
                </w:p>
              </w:tc>
            </w:tr>
            <w:tr w14:paraId="1E57C32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continue"/>
                  <w:tcBorders>
                    <w:tl2br w:val="nil"/>
                    <w:tr2bl w:val="nil"/>
                  </w:tcBorders>
                  <w:noWrap w:val="0"/>
                  <w:vAlign w:val="center"/>
                </w:tcPr>
                <w:p w14:paraId="0D77300C">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hint="eastAsia" w:ascii="Times New Roman" w:hAnsi="Times New Roman" w:cs="Times New Roman"/>
                      <w:bCs/>
                      <w:color w:val="auto"/>
                      <w:szCs w:val="21"/>
                      <w:lang w:val="en-US"/>
                    </w:rPr>
                  </w:pPr>
                </w:p>
              </w:tc>
              <w:tc>
                <w:tcPr>
                  <w:tcW w:w="1653" w:type="dxa"/>
                  <w:tcBorders>
                    <w:tl2br w:val="nil"/>
                    <w:tr2bl w:val="nil"/>
                  </w:tcBorders>
                  <w:noWrap w:val="0"/>
                  <w:vAlign w:val="center"/>
                </w:tcPr>
                <w:p w14:paraId="4422F6A3">
                  <w:pPr>
                    <w:pStyle w:val="97"/>
                    <w:keepNext w:val="0"/>
                    <w:keepLines w:val="0"/>
                    <w:pageBreakBefore w:val="0"/>
                    <w:kinsoku/>
                    <w:wordWrap/>
                    <w:overflowPunct/>
                    <w:topLinePunct w:val="0"/>
                    <w:autoSpaceDE/>
                    <w:autoSpaceDN/>
                    <w:bidi w:val="0"/>
                    <w:spacing w:before="0" w:line="340" w:lineRule="exact"/>
                    <w:ind w:left="199" w:leftChars="0" w:right="156" w:rightChars="0"/>
                    <w:jc w:val="center"/>
                    <w:textAlignment w:val="auto"/>
                    <w:rPr>
                      <w:rFonts w:hint="eastAsia" w:ascii="Times New Roman" w:hAnsi="Times New Roman" w:cs="Times New Roman"/>
                      <w:color w:val="auto"/>
                      <w:lang w:val="en-US"/>
                    </w:rPr>
                  </w:pPr>
                  <w:r>
                    <w:rPr>
                      <w:rFonts w:hint="eastAsia" w:ascii="Times New Roman" w:hAnsi="Times New Roman" w:cs="Times New Roman"/>
                      <w:color w:val="auto"/>
                      <w:lang w:val="en-US"/>
                    </w:rPr>
                    <w:t>/</w:t>
                  </w:r>
                </w:p>
              </w:tc>
              <w:tc>
                <w:tcPr>
                  <w:tcW w:w="1768" w:type="dxa"/>
                  <w:tcBorders>
                    <w:tl2br w:val="nil"/>
                    <w:tr2bl w:val="nil"/>
                  </w:tcBorders>
                  <w:noWrap w:val="0"/>
                  <w:vAlign w:val="center"/>
                </w:tcPr>
                <w:p w14:paraId="446EBA07">
                  <w:pPr>
                    <w:pStyle w:val="97"/>
                    <w:keepNext w:val="0"/>
                    <w:keepLines w:val="0"/>
                    <w:pageBreakBefore w:val="0"/>
                    <w:kinsoku/>
                    <w:wordWrap/>
                    <w:overflowPunct/>
                    <w:topLinePunct w:val="0"/>
                    <w:autoSpaceDE/>
                    <w:autoSpaceDN/>
                    <w:bidi w:val="0"/>
                    <w:spacing w:before="0" w:line="340" w:lineRule="exact"/>
                    <w:ind w:left="242" w:leftChars="0" w:right="215" w:rightChars="0"/>
                    <w:jc w:val="center"/>
                    <w:textAlignment w:val="auto"/>
                    <w:rPr>
                      <w:rFonts w:hint="eastAsia" w:ascii="Times New Roman" w:hAnsi="Times New Roman" w:cs="Times New Roman"/>
                      <w:color w:val="auto"/>
                      <w:lang w:val="en-US"/>
                    </w:rPr>
                  </w:pPr>
                  <w:r>
                    <w:rPr>
                      <w:rFonts w:hint="eastAsia" w:ascii="Times New Roman" w:hAnsi="Times New Roman" w:cs="Times New Roman"/>
                      <w:color w:val="auto"/>
                      <w:lang w:val="en-US"/>
                    </w:rPr>
                    <w:t>/</w:t>
                  </w:r>
                </w:p>
              </w:tc>
              <w:tc>
                <w:tcPr>
                  <w:tcW w:w="1132" w:type="pct"/>
                  <w:tcBorders>
                    <w:tl2br w:val="nil"/>
                    <w:tr2bl w:val="nil"/>
                  </w:tcBorders>
                  <w:noWrap w:val="0"/>
                  <w:vAlign w:val="center"/>
                </w:tcPr>
                <w:p w14:paraId="7A014611">
                  <w:pPr>
                    <w:pStyle w:val="97"/>
                    <w:keepNext w:val="0"/>
                    <w:keepLines w:val="0"/>
                    <w:pageBreakBefore w:val="0"/>
                    <w:kinsoku/>
                    <w:wordWrap/>
                    <w:overflowPunct/>
                    <w:topLinePunct w:val="0"/>
                    <w:autoSpaceDE/>
                    <w:autoSpaceDN/>
                    <w:bidi w:val="0"/>
                    <w:spacing w:before="0" w:line="340" w:lineRule="exact"/>
                    <w:ind w:left="137" w:right="11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kern w:val="0"/>
                      <w:sz w:val="22"/>
                      <w:szCs w:val="22"/>
                      <w:lang w:val="en-US" w:eastAsia="zh-CN" w:bidi="ar"/>
                    </w:rPr>
                    <w:t>清洗沉渣</w:t>
                  </w:r>
                </w:p>
              </w:tc>
              <w:tc>
                <w:tcPr>
                  <w:tcW w:w="1008" w:type="pct"/>
                  <w:tcBorders>
                    <w:tl2br w:val="nil"/>
                    <w:tr2bl w:val="nil"/>
                  </w:tcBorders>
                  <w:noWrap w:val="0"/>
                  <w:vAlign w:val="center"/>
                </w:tcPr>
                <w:p w14:paraId="0CA06B20">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w:t>
                  </w:r>
                </w:p>
              </w:tc>
            </w:tr>
            <w:tr w14:paraId="3B050C1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09" w:type="pct"/>
                  <w:vMerge w:val="continue"/>
                  <w:tcBorders>
                    <w:tl2br w:val="nil"/>
                    <w:tr2bl w:val="nil"/>
                  </w:tcBorders>
                  <w:noWrap w:val="0"/>
                  <w:vAlign w:val="center"/>
                </w:tcPr>
                <w:p w14:paraId="4086EA7B">
                  <w:pPr>
                    <w:pStyle w:val="97"/>
                    <w:keepNext w:val="0"/>
                    <w:keepLines w:val="0"/>
                    <w:pageBreakBefore w:val="0"/>
                    <w:kinsoku/>
                    <w:wordWrap/>
                    <w:overflowPunct/>
                    <w:topLinePunct w:val="0"/>
                    <w:autoSpaceDE/>
                    <w:autoSpaceDN/>
                    <w:bidi w:val="0"/>
                    <w:spacing w:before="0" w:line="340" w:lineRule="exact"/>
                    <w:ind w:left="148" w:right="122"/>
                    <w:jc w:val="center"/>
                    <w:textAlignment w:val="auto"/>
                    <w:rPr>
                      <w:rFonts w:ascii="Times New Roman" w:hAnsi="Times New Roman" w:cs="Times New Roman"/>
                      <w:color w:val="auto"/>
                    </w:rPr>
                  </w:pPr>
                </w:p>
              </w:tc>
              <w:tc>
                <w:tcPr>
                  <w:tcW w:w="990" w:type="pct"/>
                  <w:tcBorders>
                    <w:tl2br w:val="nil"/>
                    <w:tr2bl w:val="nil"/>
                  </w:tcBorders>
                  <w:noWrap w:val="0"/>
                  <w:vAlign w:val="center"/>
                </w:tcPr>
                <w:p w14:paraId="0BB37D83">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r>
                    <w:rPr>
                      <w:rFonts w:ascii="Times New Roman" w:hAnsi="Times New Roman" w:cs="Times New Roman"/>
                      <w:color w:val="auto"/>
                    </w:rPr>
                    <w:t>合计</w:t>
                  </w:r>
                </w:p>
              </w:tc>
              <w:tc>
                <w:tcPr>
                  <w:tcW w:w="1059" w:type="pct"/>
                  <w:tcBorders>
                    <w:tl2br w:val="nil"/>
                    <w:tr2bl w:val="nil"/>
                  </w:tcBorders>
                  <w:noWrap w:val="0"/>
                  <w:vAlign w:val="center"/>
                </w:tcPr>
                <w:p w14:paraId="1FC07F59">
                  <w:pPr>
                    <w:pStyle w:val="97"/>
                    <w:keepNext w:val="0"/>
                    <w:keepLines w:val="0"/>
                    <w:pageBreakBefore w:val="0"/>
                    <w:kinsoku/>
                    <w:wordWrap/>
                    <w:overflowPunct/>
                    <w:topLinePunct w:val="0"/>
                    <w:autoSpaceDE/>
                    <w:autoSpaceDN/>
                    <w:bidi w:val="0"/>
                    <w:spacing w:before="0" w:line="340" w:lineRule="exact"/>
                    <w:ind w:left="242" w:right="215"/>
                    <w:jc w:val="center"/>
                    <w:textAlignment w:val="auto"/>
                    <w:rPr>
                      <w:rFonts w:ascii="Times New Roman" w:hAnsi="Times New Roman" w:cs="Times New Roman"/>
                      <w:color w:val="auto"/>
                    </w:rPr>
                  </w:pPr>
                  <w:r>
                    <w:rPr>
                      <w:rFonts w:hint="eastAsia" w:ascii="Times New Roman" w:hAnsi="Times New Roman" w:cs="Times New Roman"/>
                      <w:color w:val="auto"/>
                      <w:lang w:val="en-US" w:eastAsia="zh-CN"/>
                    </w:rPr>
                    <w:t>4000</w:t>
                  </w:r>
                </w:p>
              </w:tc>
              <w:tc>
                <w:tcPr>
                  <w:tcW w:w="1132" w:type="pct"/>
                  <w:tcBorders>
                    <w:tl2br w:val="nil"/>
                    <w:tr2bl w:val="nil"/>
                  </w:tcBorders>
                  <w:noWrap w:val="0"/>
                  <w:vAlign w:val="center"/>
                </w:tcPr>
                <w:p w14:paraId="270866BB">
                  <w:pPr>
                    <w:pStyle w:val="97"/>
                    <w:keepNext w:val="0"/>
                    <w:keepLines w:val="0"/>
                    <w:pageBreakBefore w:val="0"/>
                    <w:kinsoku/>
                    <w:wordWrap/>
                    <w:overflowPunct/>
                    <w:topLinePunct w:val="0"/>
                    <w:autoSpaceDE/>
                    <w:autoSpaceDN/>
                    <w:bidi w:val="0"/>
                    <w:spacing w:before="0" w:line="340" w:lineRule="exact"/>
                    <w:ind w:left="199" w:right="156"/>
                    <w:jc w:val="center"/>
                    <w:textAlignment w:val="auto"/>
                    <w:rPr>
                      <w:rFonts w:ascii="Times New Roman" w:hAnsi="Times New Roman" w:cs="Times New Roman"/>
                      <w:color w:val="auto"/>
                    </w:rPr>
                  </w:pPr>
                  <w:r>
                    <w:rPr>
                      <w:rFonts w:ascii="Times New Roman" w:hAnsi="Times New Roman" w:cs="Times New Roman"/>
                      <w:color w:val="auto"/>
                    </w:rPr>
                    <w:t>合计</w:t>
                  </w:r>
                </w:p>
              </w:tc>
              <w:tc>
                <w:tcPr>
                  <w:tcW w:w="1008" w:type="pct"/>
                  <w:tcBorders>
                    <w:tl2br w:val="nil"/>
                    <w:tr2bl w:val="nil"/>
                  </w:tcBorders>
                  <w:noWrap w:val="0"/>
                  <w:vAlign w:val="center"/>
                </w:tcPr>
                <w:p w14:paraId="5B04C8CE">
                  <w:pPr>
                    <w:pStyle w:val="97"/>
                    <w:keepNext w:val="0"/>
                    <w:keepLines w:val="0"/>
                    <w:pageBreakBefore w:val="0"/>
                    <w:kinsoku/>
                    <w:wordWrap/>
                    <w:overflowPunct/>
                    <w:topLinePunct w:val="0"/>
                    <w:autoSpaceDE/>
                    <w:autoSpaceDN/>
                    <w:bidi w:val="0"/>
                    <w:spacing w:before="0" w:line="340" w:lineRule="exact"/>
                    <w:ind w:left="242" w:right="215"/>
                    <w:jc w:val="center"/>
                    <w:textAlignment w:val="auto"/>
                    <w:rPr>
                      <w:rFonts w:ascii="Times New Roman" w:hAnsi="Times New Roman" w:cs="Times New Roman"/>
                      <w:color w:val="auto"/>
                    </w:rPr>
                  </w:pPr>
                  <w:r>
                    <w:rPr>
                      <w:rFonts w:hint="eastAsia" w:ascii="Times New Roman" w:hAnsi="Times New Roman" w:cs="Times New Roman"/>
                      <w:color w:val="auto"/>
                      <w:lang w:val="en-US" w:eastAsia="zh-CN"/>
                    </w:rPr>
                    <w:t>4000</w:t>
                  </w:r>
                </w:p>
              </w:tc>
            </w:tr>
          </w:tbl>
          <w:p w14:paraId="1723F9CD">
            <w:pPr>
              <w:pStyle w:val="125"/>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lang w:val="en-US" w:eastAsia="zh-CN"/>
              </w:rPr>
            </w:pPr>
            <w:r>
              <w:rPr>
                <w:rFonts w:hint="eastAsia" w:cs="Times New Roman"/>
                <w:color w:val="auto"/>
                <w:lang w:val="en-US" w:eastAsia="zh-CN"/>
              </w:rPr>
              <w:t>（2）水平衡</w:t>
            </w:r>
          </w:p>
          <w:p w14:paraId="770036A7">
            <w:pPr>
              <w:pStyle w:val="12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本项目运营期外排废水主要为</w:t>
            </w:r>
            <w:r>
              <w:rPr>
                <w:rFonts w:hint="eastAsia" w:ascii="Times New Roman" w:hAnsi="Times New Roman" w:cs="Times New Roman"/>
                <w:color w:val="auto"/>
                <w:lang w:val="en-US" w:eastAsia="zh-CN"/>
              </w:rPr>
              <w:t>生产废水及</w:t>
            </w:r>
            <w:r>
              <w:rPr>
                <w:rFonts w:hint="default" w:ascii="Times New Roman" w:hAnsi="Times New Roman" w:cs="Times New Roman"/>
                <w:color w:val="auto"/>
                <w:lang w:val="en-US" w:eastAsia="zh-CN"/>
              </w:rPr>
              <w:t>职工生活用水。</w:t>
            </w:r>
          </w:p>
          <w:p w14:paraId="2FAE133F">
            <w:pPr>
              <w:pStyle w:val="125"/>
              <w:bidi w:val="0"/>
              <w:rPr>
                <w:rFonts w:hint="default" w:ascii="Times New Roman" w:hAnsi="Times New Roman" w:cs="Times New Roman"/>
                <w:color w:val="auto"/>
                <w:lang w:val="en-US" w:eastAsia="zh-CN"/>
              </w:rPr>
            </w:pPr>
            <w:r>
              <w:rPr>
                <w:rFonts w:hint="eastAsia" w:cs="Times New Roman"/>
                <w:color w:val="auto"/>
                <w:lang w:val="en-US" w:eastAsia="zh-CN"/>
              </w:rPr>
              <w:t>A.</w:t>
            </w:r>
            <w:r>
              <w:rPr>
                <w:rFonts w:hint="default" w:ascii="Times New Roman" w:hAnsi="Times New Roman" w:eastAsia="宋体" w:cs="Times New Roman"/>
                <w:color w:val="auto"/>
                <w:sz w:val="24"/>
                <w:lang w:val="en-US" w:eastAsia="zh-CN"/>
              </w:rPr>
              <w:t>湿法粉碎、清洗用水</w:t>
            </w:r>
          </w:p>
          <w:p w14:paraId="59881D34">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项目生产过程中原材料采用湿法</w:t>
            </w:r>
            <w:r>
              <w:rPr>
                <w:rFonts w:hint="eastAsia" w:ascii="Times New Roman" w:hAnsi="Times New Roman" w:cs="Times New Roman"/>
                <w:color w:val="auto"/>
                <w:sz w:val="24"/>
                <w:lang w:val="en-US" w:eastAsia="zh-CN"/>
              </w:rPr>
              <w:t>破碎</w:t>
            </w:r>
            <w:r>
              <w:rPr>
                <w:rFonts w:hint="default" w:ascii="Times New Roman" w:hAnsi="Times New Roman" w:eastAsia="宋体" w:cs="Times New Roman"/>
                <w:color w:val="auto"/>
                <w:sz w:val="24"/>
                <w:lang w:val="en-US" w:eastAsia="zh-CN"/>
              </w:rPr>
              <w:t>+清洗的生产工艺，</w:t>
            </w:r>
            <w:r>
              <w:rPr>
                <w:rFonts w:hint="default" w:ascii="Times New Roman" w:hAnsi="Times New Roman" w:cs="Times New Roman"/>
                <w:color w:val="auto"/>
                <w:sz w:val="24"/>
                <w:lang w:val="en-US" w:eastAsia="zh-CN"/>
              </w:rPr>
              <w:t>参考</w:t>
            </w:r>
            <w:r>
              <w:rPr>
                <w:rFonts w:hint="default" w:ascii="Times New Roman" w:hAnsi="Times New Roman" w:eastAsia="宋体" w:cs="Times New Roman"/>
                <w:color w:val="auto"/>
                <w:sz w:val="24"/>
                <w:lang w:val="en-US" w:eastAsia="zh-CN"/>
              </w:rPr>
              <w:t>《排放源统计调查产排污核算方法和系数手册（公告2021年第24号）》中——4220 非金属废料和碎屑加工处理行业系数手册中原材料废PE/PP再生塑料粒子采用清洗或湿法破碎+清洗工艺</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工业废水量产污系数为1t/t-原料</w:t>
            </w:r>
            <w:r>
              <w:rPr>
                <w:rFonts w:hint="default" w:ascii="Times New Roman" w:hAnsi="Times New Roman" w:cs="Times New Roman"/>
                <w:color w:val="auto"/>
                <w:sz w:val="24"/>
                <w:lang w:val="en-US" w:eastAsia="zh-CN"/>
              </w:rPr>
              <w:t>；废玻璃采用破碎+分选+水洗工艺，</w:t>
            </w:r>
            <w:r>
              <w:rPr>
                <w:rFonts w:hint="default" w:ascii="Times New Roman" w:hAnsi="Times New Roman" w:eastAsia="宋体" w:cs="Times New Roman"/>
                <w:color w:val="auto"/>
                <w:sz w:val="24"/>
                <w:lang w:val="en-US" w:eastAsia="zh-CN"/>
              </w:rPr>
              <w:t>工业废水量产污系数为0.02t/t-原料。项目年使用塑料输液瓶（袋）6400t、生活源塑料4000t、医用玻璃瓶4000t，则项目湿法粉碎、清洗废水量为</w:t>
            </w:r>
            <w:r>
              <w:rPr>
                <w:rFonts w:hint="default" w:ascii="Times New Roman" w:hAnsi="Times New Roman" w:cs="Times New Roman"/>
                <w:color w:val="auto"/>
                <w:sz w:val="24"/>
                <w:lang w:val="en-US" w:eastAsia="zh-CN"/>
              </w:rPr>
              <w:t>10480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/a（</w:t>
            </w:r>
            <w:r>
              <w:rPr>
                <w:rFonts w:hint="eastAsia" w:ascii="Times New Roman" w:hAnsi="Times New Roman" w:cs="Times New Roman"/>
                <w:color w:val="auto"/>
                <w:sz w:val="24"/>
                <w:lang w:val="en-US" w:eastAsia="zh-CN"/>
              </w:rPr>
              <w:t>即</w:t>
            </w:r>
            <w:r>
              <w:rPr>
                <w:rFonts w:hint="default" w:ascii="Times New Roman" w:hAnsi="Times New Roman" w:cs="Times New Roman"/>
                <w:color w:val="auto"/>
                <w:sz w:val="24"/>
                <w:lang w:val="en-US" w:eastAsia="zh-CN"/>
              </w:rPr>
              <w:t>31.76</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w:t>
            </w:r>
            <w:r>
              <w:rPr>
                <w:rFonts w:hint="eastAsia" w:ascii="Times New Roman" w:hAnsi="Times New Roman" w:cs="Times New Roman"/>
                <w:color w:val="auto"/>
                <w:sz w:val="24"/>
                <w:lang w:val="en-US" w:eastAsia="zh-CN"/>
              </w:rPr>
              <w:t>，项目废水产生量为约占总用水量的90%，则用水量为11644</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/a（</w:t>
            </w:r>
            <w:r>
              <w:rPr>
                <w:rFonts w:hint="eastAsia" w:ascii="Times New Roman" w:hAnsi="Times New Roman" w:cs="Times New Roman"/>
                <w:color w:val="auto"/>
                <w:sz w:val="24"/>
                <w:lang w:val="en-US" w:eastAsia="zh-CN"/>
              </w:rPr>
              <w:t>即</w:t>
            </w:r>
            <w:r>
              <w:rPr>
                <w:rFonts w:hint="default" w:ascii="Times New Roman" w:hAnsi="Times New Roman" w:cs="Times New Roman"/>
                <w:color w:val="auto"/>
                <w:sz w:val="24"/>
                <w:lang w:val="en-US" w:eastAsia="zh-CN"/>
              </w:rPr>
              <w:t>3</w:t>
            </w:r>
            <w:r>
              <w:rPr>
                <w:rFonts w:hint="eastAsia" w:ascii="Times New Roman" w:hAnsi="Times New Roman" w:cs="Times New Roman"/>
                <w:color w:val="auto"/>
                <w:sz w:val="24"/>
                <w:lang w:val="en-US" w:eastAsia="zh-CN"/>
              </w:rPr>
              <w:t>5.28</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w:t>
            </w:r>
            <w:r>
              <w:rPr>
                <w:rFonts w:hint="default" w:ascii="Times New Roman" w:hAnsi="Times New Roman" w:cs="Times New Roman"/>
                <w:color w:val="auto"/>
                <w:sz w:val="24"/>
                <w:lang w:val="en-US" w:eastAsia="zh-CN"/>
              </w:rPr>
              <w:t>。</w:t>
            </w:r>
          </w:p>
          <w:p w14:paraId="11E6EF5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生产废水收集后经自建污水处理设施处理，处理后约</w:t>
            </w:r>
            <w:r>
              <w:rPr>
                <w:rFonts w:hint="eastAsia" w:cs="Times New Roman"/>
                <w:color w:val="auto"/>
                <w:sz w:val="24"/>
                <w:lang w:val="en-US" w:eastAsia="zh-CN"/>
              </w:rPr>
              <w:t>9</w:t>
            </w:r>
            <w:r>
              <w:rPr>
                <w:rFonts w:hint="default" w:ascii="Times New Roman" w:hAnsi="Times New Roman" w:cs="Times New Roman"/>
                <w:color w:val="auto"/>
                <w:sz w:val="24"/>
                <w:lang w:val="en-US" w:eastAsia="zh-CN"/>
              </w:rPr>
              <w:t>0%的废水回用于生产，剩余</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0%通过园区管网排入江镜华侨农场污水处理厂进一步处理，故本项目生产废水回用量为</w:t>
            </w:r>
            <w:r>
              <w:rPr>
                <w:rFonts w:hint="eastAsia" w:cs="Times New Roman"/>
                <w:color w:val="auto"/>
                <w:sz w:val="24"/>
                <w:lang w:val="en-US" w:eastAsia="zh-CN"/>
              </w:rPr>
              <w:t>9432</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w:t>
            </w:r>
            <w:r>
              <w:rPr>
                <w:rFonts w:hint="eastAsia" w:cs="Times New Roman"/>
                <w:color w:val="auto"/>
                <w:sz w:val="24"/>
                <w:lang w:val="en-US" w:eastAsia="zh-CN"/>
              </w:rPr>
              <w:t>25.58</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/a），排放量为</w:t>
            </w:r>
            <w:r>
              <w:rPr>
                <w:rFonts w:hint="eastAsia" w:cs="Times New Roman"/>
                <w:color w:val="auto"/>
                <w:sz w:val="24"/>
                <w:lang w:val="en-US" w:eastAsia="zh-CN"/>
              </w:rPr>
              <w:t>1048</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w:t>
            </w:r>
            <w:r>
              <w:rPr>
                <w:rFonts w:hint="eastAsia" w:cs="Times New Roman"/>
                <w:color w:val="auto"/>
                <w:sz w:val="24"/>
                <w:lang w:val="en-US" w:eastAsia="zh-CN"/>
              </w:rPr>
              <w:t>3.18</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w:t>
            </w:r>
          </w:p>
          <w:p w14:paraId="08A7B7E4">
            <w:pPr>
              <w:keepNext/>
              <w:keepLines/>
              <w:widowControl w:val="0"/>
              <w:bidi w:val="0"/>
              <w:spacing w:line="360" w:lineRule="auto"/>
              <w:ind w:firstLine="480" w:firstLineChars="200"/>
              <w:jc w:val="both"/>
              <w:outlineLvl w:val="9"/>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B.地面冲洗水</w:t>
            </w:r>
          </w:p>
          <w:p w14:paraId="3777BC4B">
            <w:pPr>
              <w:keepNext/>
              <w:keepLines/>
              <w:widowControl w:val="0"/>
              <w:bidi w:val="0"/>
              <w:spacing w:line="360" w:lineRule="auto"/>
              <w:ind w:firstLine="480" w:firstLineChars="200"/>
              <w:jc w:val="both"/>
              <w:outlineLvl w:val="9"/>
              <w:rPr>
                <w:rFonts w:hint="eastAsia" w:cs="Times New Roman"/>
                <w:color w:val="auto"/>
                <w:kern w:val="2"/>
                <w:sz w:val="24"/>
                <w:szCs w:val="24"/>
                <w:lang w:val="en-US" w:eastAsia="zh-CN" w:bidi="ar-SA"/>
              </w:rPr>
            </w:pPr>
            <w:r>
              <w:rPr>
                <w:rFonts w:hint="eastAsia"/>
                <w:color w:val="auto"/>
                <w:sz w:val="24"/>
              </w:rPr>
              <w:t>建设单位拟每周清洗一次车间地面，冲洗用水量约4t/次，</w:t>
            </w:r>
            <w:r>
              <w:rPr>
                <w:color w:val="auto"/>
                <w:sz w:val="24"/>
              </w:rPr>
              <w:t>年用水量约</w:t>
            </w:r>
            <w:r>
              <w:rPr>
                <w:rFonts w:hint="eastAsia"/>
                <w:color w:val="auto"/>
                <w:sz w:val="24"/>
              </w:rPr>
              <w:t>1</w:t>
            </w:r>
            <w:r>
              <w:rPr>
                <w:rFonts w:hint="eastAsia"/>
                <w:color w:val="auto"/>
                <w:sz w:val="24"/>
                <w:lang w:val="en-US" w:eastAsia="zh-CN"/>
              </w:rPr>
              <w:t>88</w:t>
            </w:r>
            <w:r>
              <w:rPr>
                <w:color w:val="auto"/>
                <w:sz w:val="24"/>
              </w:rPr>
              <w:t>m</w:t>
            </w:r>
            <w:r>
              <w:rPr>
                <w:color w:val="auto"/>
                <w:sz w:val="24"/>
                <w:vertAlign w:val="superscript"/>
              </w:rPr>
              <w:t>3</w:t>
            </w:r>
            <w:r>
              <w:rPr>
                <w:rFonts w:hint="eastAsia"/>
                <w:color w:val="auto"/>
                <w:sz w:val="24"/>
              </w:rPr>
              <w:t>（0.57t/d），排污系数按0.9计算，则地面冲洗废水量为1</w:t>
            </w:r>
            <w:r>
              <w:rPr>
                <w:rFonts w:hint="eastAsia"/>
                <w:color w:val="auto"/>
                <w:sz w:val="24"/>
                <w:lang w:val="en-US" w:eastAsia="zh-CN"/>
              </w:rPr>
              <w:t>69.2</w:t>
            </w:r>
            <w:r>
              <w:rPr>
                <w:rFonts w:hint="eastAsia"/>
                <w:color w:val="auto"/>
                <w:sz w:val="24"/>
              </w:rPr>
              <w:t>t/a（0.51t/d），经导流沟进入项目自建污水预处理设施处理。</w:t>
            </w:r>
          </w:p>
          <w:p w14:paraId="6887A235">
            <w:pPr>
              <w:keepNext/>
              <w:keepLines/>
              <w:widowControl w:val="0"/>
              <w:bidi w:val="0"/>
              <w:spacing w:line="360" w:lineRule="auto"/>
              <w:ind w:firstLine="480" w:firstLineChars="200"/>
              <w:jc w:val="both"/>
              <w:outlineLvl w:val="9"/>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C.</w:t>
            </w:r>
            <w:r>
              <w:rPr>
                <w:rFonts w:hint="default" w:ascii="Times New Roman" w:hAnsi="Times New Roman" w:eastAsia="宋体" w:cs="Times New Roman"/>
                <w:color w:val="auto"/>
                <w:kern w:val="2"/>
                <w:sz w:val="24"/>
                <w:szCs w:val="24"/>
                <w:lang w:val="en-US" w:eastAsia="zh-CN" w:bidi="ar-SA"/>
              </w:rPr>
              <w:t>生活污水</w:t>
            </w:r>
          </w:p>
          <w:p w14:paraId="7950010E">
            <w:pPr>
              <w:keepNext/>
              <w:keepLines/>
              <w:widowControl w:val="0"/>
              <w:bidi w:val="0"/>
              <w:spacing w:line="360" w:lineRule="auto"/>
              <w:ind w:firstLine="480" w:firstLineChars="200"/>
              <w:jc w:val="both"/>
              <w:outlineLvl w:val="9"/>
              <w:rPr>
                <w:rFonts w:hint="default" w:ascii="Times New Roman" w:hAnsi="Times New Roman" w:cs="Times New Roman"/>
                <w:color w:val="auto"/>
                <w:sz w:val="24"/>
                <w:szCs w:val="24"/>
              </w:rPr>
            </w:pPr>
            <w:r>
              <w:rPr>
                <w:rFonts w:hint="default" w:ascii="Times New Roman" w:hAnsi="Times New Roman" w:eastAsia="宋体" w:cs="Times New Roman"/>
                <w:color w:val="auto"/>
                <w:kern w:val="2"/>
                <w:sz w:val="24"/>
                <w:szCs w:val="24"/>
                <w:lang w:val="en-US" w:eastAsia="zh-CN" w:bidi="ar-SA"/>
              </w:rPr>
              <w:t>根据建设单位提供资料，本项目职工人数</w:t>
            </w:r>
            <w:r>
              <w:rPr>
                <w:rFonts w:hint="default" w:ascii="Times New Roman" w:hAnsi="Times New Roman" w:cs="Times New Roman"/>
                <w:color w:val="auto"/>
                <w:kern w:val="2"/>
                <w:sz w:val="24"/>
                <w:szCs w:val="24"/>
                <w:lang w:val="en-US" w:eastAsia="zh-CN" w:bidi="ar-SA"/>
              </w:rPr>
              <w:t>12</w:t>
            </w:r>
            <w:r>
              <w:rPr>
                <w:rFonts w:hint="default" w:ascii="Times New Roman" w:hAnsi="Times New Roman" w:eastAsia="宋体" w:cs="Times New Roman"/>
                <w:color w:val="auto"/>
                <w:kern w:val="2"/>
                <w:sz w:val="24"/>
                <w:szCs w:val="24"/>
                <w:lang w:val="en-US" w:eastAsia="zh-CN" w:bidi="ar-SA"/>
              </w:rPr>
              <w:t>人，均不在厂区内食宿，根据《建筑给水排水设计</w:t>
            </w:r>
            <w:r>
              <w:rPr>
                <w:rFonts w:hint="eastAsia" w:cs="Times New Roman"/>
                <w:color w:val="auto"/>
                <w:kern w:val="2"/>
                <w:sz w:val="24"/>
                <w:szCs w:val="24"/>
                <w:lang w:val="en-US" w:eastAsia="zh-CN" w:bidi="ar-SA"/>
              </w:rPr>
              <w:t>标准</w:t>
            </w:r>
            <w:r>
              <w:rPr>
                <w:rFonts w:hint="default" w:ascii="Times New Roman" w:hAnsi="Times New Roman" w:eastAsia="宋体" w:cs="Times New Roman"/>
                <w:color w:val="auto"/>
                <w:kern w:val="2"/>
                <w:sz w:val="24"/>
                <w:szCs w:val="24"/>
                <w:lang w:val="en-US" w:eastAsia="zh-CN" w:bidi="ar-SA"/>
              </w:rPr>
              <w:t>》(GB50015-2019)车间工人的生活用水定额应根据车间性质确定，不住厂生活用水定额按50L/人·班计。项目全年</w:t>
            </w:r>
            <w:r>
              <w:rPr>
                <w:rFonts w:hint="default" w:ascii="Times New Roman" w:hAnsi="Times New Roman" w:cs="Times New Roman"/>
                <w:color w:val="auto"/>
                <w:kern w:val="2"/>
                <w:sz w:val="24"/>
                <w:szCs w:val="24"/>
                <w:lang w:val="en-US" w:eastAsia="zh-CN" w:bidi="ar-SA"/>
              </w:rPr>
              <w:t>工作</w:t>
            </w:r>
            <w:r>
              <w:rPr>
                <w:rFonts w:hint="default" w:ascii="Times New Roman" w:hAnsi="Times New Roman" w:eastAsia="宋体" w:cs="Times New Roman"/>
                <w:color w:val="auto"/>
                <w:kern w:val="2"/>
                <w:sz w:val="24"/>
                <w:szCs w:val="24"/>
                <w:lang w:val="en-US" w:eastAsia="zh-CN" w:bidi="ar-SA"/>
              </w:rPr>
              <w:t>3</w:t>
            </w:r>
            <w:r>
              <w:rPr>
                <w:rFonts w:hint="default" w:ascii="Times New Roman" w:hAnsi="Times New Roman"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0天（三班制，每班8小时），则本项目职工生活用水量约为</w:t>
            </w:r>
            <w:r>
              <w:rPr>
                <w:rFonts w:hint="default" w:ascii="Times New Roman" w:hAnsi="Times New Roman" w:cs="Times New Roman"/>
                <w:color w:val="auto"/>
                <w:kern w:val="2"/>
                <w:sz w:val="24"/>
                <w:szCs w:val="24"/>
                <w:lang w:val="en-US" w:eastAsia="zh-CN" w:bidi="ar-SA"/>
              </w:rPr>
              <w:t>0.6</w:t>
            </w:r>
            <w:r>
              <w:rPr>
                <w:rFonts w:hint="default" w:ascii="Times New Roman" w:hAnsi="Times New Roman" w:eastAsia="宋体" w:cs="Times New Roman"/>
                <w:color w:val="auto"/>
                <w:kern w:val="2"/>
                <w:sz w:val="24"/>
                <w:szCs w:val="24"/>
                <w:lang w:val="en-US" w:eastAsia="zh-CN" w:bidi="ar-SA"/>
              </w:rPr>
              <w:t>t/d(</w:t>
            </w:r>
            <w:r>
              <w:rPr>
                <w:rFonts w:hint="default" w:ascii="Times New Roman" w:hAnsi="Times New Roman" w:cs="Times New Roman"/>
                <w:color w:val="auto"/>
                <w:kern w:val="2"/>
                <w:sz w:val="24"/>
                <w:szCs w:val="24"/>
                <w:lang w:val="en-US" w:eastAsia="zh-CN" w:bidi="ar-SA"/>
              </w:rPr>
              <w:t>198</w:t>
            </w:r>
            <w:r>
              <w:rPr>
                <w:rFonts w:hint="default" w:ascii="Times New Roman" w:hAnsi="Times New Roman" w:eastAsia="宋体" w:cs="Times New Roman"/>
                <w:color w:val="auto"/>
                <w:kern w:val="2"/>
                <w:sz w:val="24"/>
                <w:szCs w:val="24"/>
                <w:lang w:val="en-US" w:eastAsia="zh-CN" w:bidi="ar-SA"/>
              </w:rPr>
              <w:t>/a)，</w:t>
            </w:r>
            <w:r>
              <w:rPr>
                <w:rFonts w:hint="default" w:ascii="Times New Roman" w:hAnsi="Times New Roman" w:eastAsia="宋体" w:cs="Times New Roman"/>
                <w:color w:val="auto"/>
                <w:sz w:val="24"/>
                <w:szCs w:val="24"/>
                <w:lang w:val="en-US" w:eastAsia="zh-CN"/>
              </w:rPr>
              <w:t>根据《排放源统计调查产排污核算方法和系数手册》(公告2021年第24号)中“生活污染源产排污系数手册”可知，人均生活用水折污系数为0.85，</w:t>
            </w:r>
            <w:r>
              <w:rPr>
                <w:rFonts w:hint="default" w:ascii="Times New Roman" w:hAnsi="Times New Roman" w:eastAsia="宋体" w:cs="Times New Roman"/>
                <w:color w:val="auto"/>
                <w:kern w:val="2"/>
                <w:sz w:val="24"/>
                <w:szCs w:val="24"/>
                <w:lang w:val="en-US" w:eastAsia="zh-CN" w:bidi="ar-SA"/>
              </w:rPr>
              <w:t>则生活污水量为</w:t>
            </w:r>
            <w:r>
              <w:rPr>
                <w:rFonts w:hint="default" w:ascii="Times New Roman" w:hAnsi="Times New Roman" w:cs="Times New Roman"/>
                <w:color w:val="auto"/>
                <w:kern w:val="2"/>
                <w:sz w:val="24"/>
                <w:szCs w:val="24"/>
                <w:lang w:val="en-US" w:eastAsia="zh-CN" w:bidi="ar-SA"/>
              </w:rPr>
              <w:t>0.51</w:t>
            </w:r>
            <w:r>
              <w:rPr>
                <w:rFonts w:hint="default" w:ascii="Times New Roman" w:hAnsi="Times New Roman" w:eastAsia="宋体" w:cs="Times New Roman"/>
                <w:color w:val="auto"/>
                <w:kern w:val="2"/>
                <w:sz w:val="24"/>
                <w:szCs w:val="24"/>
                <w:lang w:val="en-US" w:eastAsia="zh-CN" w:bidi="ar-SA"/>
              </w:rPr>
              <w:t>t/d(</w:t>
            </w:r>
            <w:r>
              <w:rPr>
                <w:rFonts w:hint="default" w:ascii="Times New Roman" w:hAnsi="Times New Roman" w:cs="Times New Roman"/>
                <w:color w:val="auto"/>
                <w:kern w:val="2"/>
                <w:sz w:val="24"/>
                <w:szCs w:val="24"/>
                <w:lang w:val="en-US" w:eastAsia="zh-CN" w:bidi="ar-SA"/>
              </w:rPr>
              <w:t>168.3</w:t>
            </w:r>
            <w:r>
              <w:rPr>
                <w:rFonts w:hint="default" w:ascii="Times New Roman" w:hAnsi="Times New Roman" w:eastAsia="宋体" w:cs="Times New Roman"/>
                <w:color w:val="auto"/>
                <w:kern w:val="2"/>
                <w:sz w:val="24"/>
                <w:szCs w:val="24"/>
                <w:lang w:val="en-US" w:eastAsia="zh-CN" w:bidi="ar-SA"/>
              </w:rPr>
              <w:t>t/a)。</w:t>
            </w:r>
            <w:r>
              <w:rPr>
                <w:rFonts w:hint="default" w:ascii="Times New Roman" w:hAnsi="Times New Roman" w:cs="Times New Roman"/>
                <w:color w:val="auto"/>
                <w:sz w:val="24"/>
                <w:szCs w:val="24"/>
              </w:rPr>
              <w:t>项目给排水量见表2.2-</w:t>
            </w:r>
            <w:r>
              <w:rPr>
                <w:rFonts w:hint="eastAsia" w:cs="Times New Roman"/>
                <w:color w:val="auto"/>
                <w:sz w:val="24"/>
                <w:szCs w:val="24"/>
                <w:lang w:val="en-US" w:eastAsia="zh-CN"/>
              </w:rPr>
              <w:t>8</w:t>
            </w:r>
            <w:r>
              <w:rPr>
                <w:rFonts w:hint="default" w:ascii="Times New Roman" w:hAnsi="Times New Roman" w:cs="Times New Roman"/>
                <w:color w:val="auto"/>
                <w:sz w:val="24"/>
                <w:szCs w:val="24"/>
              </w:rPr>
              <w:t>。项目水平衡图详</w:t>
            </w:r>
            <w:r>
              <w:rPr>
                <w:rFonts w:hint="default" w:ascii="Times New Roman" w:hAnsi="Times New Roman" w:cs="Times New Roman"/>
                <w:color w:val="auto"/>
                <w:sz w:val="24"/>
                <w:szCs w:val="24"/>
                <w:highlight w:val="none"/>
              </w:rPr>
              <w:t>见图2.2-</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14:paraId="1917234A">
            <w:pPr>
              <w:pStyle w:val="123"/>
              <w:bidi w:val="0"/>
              <w:rPr>
                <w:rFonts w:hint="default" w:ascii="Times New Roman" w:hAnsi="Times New Roman" w:cs="Times New Roman"/>
                <w:color w:val="auto"/>
              </w:rPr>
            </w:pPr>
            <w:r>
              <w:rPr>
                <w:rFonts w:hint="default" w:ascii="Times New Roman" w:hAnsi="Times New Roman" w:cs="Times New Roman"/>
                <w:color w:val="auto"/>
              </w:rPr>
              <w:t>表2.2-</w:t>
            </w:r>
            <w:r>
              <w:rPr>
                <w:rFonts w:hint="eastAsia" w:cs="Times New Roman"/>
                <w:color w:val="auto"/>
                <w:lang w:val="en-US" w:eastAsia="zh-CN"/>
              </w:rPr>
              <w:t>8</w:t>
            </w:r>
            <w:r>
              <w:rPr>
                <w:rFonts w:hint="default" w:ascii="Times New Roman" w:hAnsi="Times New Roman" w:cs="Times New Roman"/>
                <w:color w:val="auto"/>
              </w:rPr>
              <w:t xml:space="preserve">  项目给排水量情况表</w:t>
            </w:r>
          </w:p>
          <w:tbl>
            <w:tblPr>
              <w:tblStyle w:val="27"/>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2135"/>
              <w:gridCol w:w="969"/>
              <w:gridCol w:w="916"/>
              <w:gridCol w:w="894"/>
              <w:gridCol w:w="1092"/>
              <w:gridCol w:w="841"/>
              <w:gridCol w:w="954"/>
            </w:tblGrid>
            <w:tr w14:paraId="3238F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14:paraId="4615965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75" w:type="pct"/>
                  <w:noWrap w:val="0"/>
                  <w:vAlign w:val="center"/>
                </w:tcPr>
                <w:p w14:paraId="3F71504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用水类型</w:t>
                  </w:r>
                </w:p>
              </w:tc>
              <w:tc>
                <w:tcPr>
                  <w:tcW w:w="579" w:type="pct"/>
                  <w:noWrap w:val="0"/>
                  <w:vAlign w:val="center"/>
                </w:tcPr>
                <w:p w14:paraId="6D77412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用水量系数</w:t>
                  </w:r>
                </w:p>
              </w:tc>
              <w:tc>
                <w:tcPr>
                  <w:tcW w:w="547" w:type="pct"/>
                  <w:noWrap w:val="0"/>
                  <w:vAlign w:val="center"/>
                </w:tcPr>
                <w:p w14:paraId="49616D2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日用水(t/d)</w:t>
                  </w:r>
                </w:p>
              </w:tc>
              <w:tc>
                <w:tcPr>
                  <w:tcW w:w="534" w:type="pct"/>
                  <w:noWrap w:val="0"/>
                  <w:vAlign w:val="center"/>
                </w:tcPr>
                <w:p w14:paraId="7339346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年用水量(t/a)</w:t>
                  </w:r>
                </w:p>
              </w:tc>
              <w:tc>
                <w:tcPr>
                  <w:tcW w:w="652" w:type="pct"/>
                  <w:noWrap w:val="0"/>
                  <w:vAlign w:val="center"/>
                </w:tcPr>
                <w:p w14:paraId="12C4FE8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w:t>
                  </w:r>
                </w:p>
                <w:p w14:paraId="0EFBC55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系数</w:t>
                  </w:r>
                </w:p>
              </w:tc>
              <w:tc>
                <w:tcPr>
                  <w:tcW w:w="502" w:type="pct"/>
                  <w:noWrap w:val="0"/>
                  <w:vAlign w:val="center"/>
                </w:tcPr>
                <w:p w14:paraId="4820884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日排</w:t>
                  </w:r>
                  <w:r>
                    <w:rPr>
                      <w:rFonts w:hint="eastAsia" w:cs="Times New Roman"/>
                      <w:color w:val="auto"/>
                      <w:sz w:val="21"/>
                      <w:szCs w:val="21"/>
                      <w:lang w:val="en-US" w:eastAsia="zh-CN"/>
                    </w:rPr>
                    <w:t>水</w:t>
                  </w:r>
                  <w:r>
                    <w:rPr>
                      <w:rFonts w:hint="default" w:ascii="Times New Roman" w:hAnsi="Times New Roman" w:eastAsia="宋体" w:cs="Times New Roman"/>
                      <w:color w:val="auto"/>
                      <w:sz w:val="21"/>
                      <w:szCs w:val="21"/>
                    </w:rPr>
                    <w:t>量(t/d)</w:t>
                  </w:r>
                </w:p>
              </w:tc>
              <w:tc>
                <w:tcPr>
                  <w:tcW w:w="570" w:type="pct"/>
                  <w:noWrap w:val="0"/>
                  <w:vAlign w:val="center"/>
                </w:tcPr>
                <w:p w14:paraId="5A876FF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年排水量(t/a)</w:t>
                  </w:r>
                </w:p>
              </w:tc>
            </w:tr>
            <w:tr w14:paraId="10AD3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14:paraId="0B2749D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75" w:type="pct"/>
                  <w:noWrap w:val="0"/>
                  <w:vAlign w:val="center"/>
                </w:tcPr>
                <w:p w14:paraId="75B8C25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湿法粉碎、清洗用水</w:t>
                  </w:r>
                </w:p>
              </w:tc>
              <w:tc>
                <w:tcPr>
                  <w:tcW w:w="579" w:type="pct"/>
                  <w:noWrap w:val="0"/>
                  <w:vAlign w:val="center"/>
                </w:tcPr>
                <w:p w14:paraId="4618447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47" w:type="pct"/>
                  <w:noWrap w:val="0"/>
                  <w:vAlign w:val="center"/>
                </w:tcPr>
                <w:p w14:paraId="5688887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35.28</w:t>
                  </w:r>
                </w:p>
              </w:tc>
              <w:tc>
                <w:tcPr>
                  <w:tcW w:w="534" w:type="pct"/>
                  <w:noWrap w:val="0"/>
                  <w:vAlign w:val="center"/>
                </w:tcPr>
                <w:p w14:paraId="376244E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11644</w:t>
                  </w:r>
                </w:p>
              </w:tc>
              <w:tc>
                <w:tcPr>
                  <w:tcW w:w="652" w:type="pct"/>
                  <w:noWrap w:val="0"/>
                  <w:vAlign w:val="center"/>
                </w:tcPr>
                <w:p w14:paraId="0EE80A2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1</w:t>
                  </w:r>
                  <w:r>
                    <w:rPr>
                      <w:rFonts w:hint="eastAsia" w:ascii="Times New Roman" w:hAnsi="Times New Roman" w:cs="Times New Roman"/>
                      <w:color w:val="auto"/>
                      <w:kern w:val="2"/>
                      <w:sz w:val="21"/>
                      <w:szCs w:val="21"/>
                      <w:lang w:val="en-US" w:eastAsia="zh-CN" w:bidi="ar-SA"/>
                    </w:rPr>
                    <w:t>0</w:t>
                  </w:r>
                  <w:r>
                    <w:rPr>
                      <w:rFonts w:hint="default" w:ascii="Times New Roman" w:hAnsi="Times New Roman" w:cs="Times New Roman"/>
                      <w:color w:val="auto"/>
                      <w:kern w:val="2"/>
                      <w:sz w:val="21"/>
                      <w:szCs w:val="21"/>
                      <w:lang w:val="en-US" w:eastAsia="zh-CN" w:bidi="ar-SA"/>
                    </w:rPr>
                    <w:t>%</w:t>
                  </w:r>
                </w:p>
              </w:tc>
              <w:tc>
                <w:tcPr>
                  <w:tcW w:w="502" w:type="pct"/>
                  <w:noWrap w:val="0"/>
                  <w:vAlign w:val="center"/>
                </w:tcPr>
                <w:p w14:paraId="4D4D689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3.18</w:t>
                  </w:r>
                </w:p>
              </w:tc>
              <w:tc>
                <w:tcPr>
                  <w:tcW w:w="570" w:type="pct"/>
                  <w:noWrap w:val="0"/>
                  <w:vAlign w:val="center"/>
                </w:tcPr>
                <w:p w14:paraId="4E8D2D8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1048</w:t>
                  </w:r>
                </w:p>
              </w:tc>
            </w:tr>
            <w:tr w14:paraId="723C4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14:paraId="07D5633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275" w:type="pct"/>
                  <w:noWrap w:val="0"/>
                  <w:vAlign w:val="center"/>
                </w:tcPr>
                <w:p w14:paraId="7734255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地面冲洗水</w:t>
                  </w:r>
                </w:p>
              </w:tc>
              <w:tc>
                <w:tcPr>
                  <w:tcW w:w="579" w:type="pct"/>
                  <w:noWrap w:val="0"/>
                  <w:vAlign w:val="center"/>
                </w:tcPr>
                <w:p w14:paraId="7592310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47" w:type="pct"/>
                  <w:noWrap w:val="0"/>
                  <w:vAlign w:val="center"/>
                </w:tcPr>
                <w:p w14:paraId="210A27B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0.57</w:t>
                  </w:r>
                </w:p>
              </w:tc>
              <w:tc>
                <w:tcPr>
                  <w:tcW w:w="534" w:type="pct"/>
                  <w:noWrap w:val="0"/>
                  <w:vAlign w:val="center"/>
                </w:tcPr>
                <w:p w14:paraId="147AB9D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188</w:t>
                  </w:r>
                </w:p>
              </w:tc>
              <w:tc>
                <w:tcPr>
                  <w:tcW w:w="652" w:type="pct"/>
                  <w:noWrap w:val="0"/>
                  <w:vAlign w:val="center"/>
                </w:tcPr>
                <w:p w14:paraId="55828E8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w:t>
                  </w:r>
                </w:p>
              </w:tc>
              <w:tc>
                <w:tcPr>
                  <w:tcW w:w="502" w:type="pct"/>
                  <w:noWrap w:val="0"/>
                  <w:vAlign w:val="center"/>
                </w:tcPr>
                <w:p w14:paraId="2846F8A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0.51</w:t>
                  </w:r>
                </w:p>
              </w:tc>
              <w:tc>
                <w:tcPr>
                  <w:tcW w:w="570" w:type="pct"/>
                  <w:noWrap w:val="0"/>
                  <w:vAlign w:val="center"/>
                </w:tcPr>
                <w:p w14:paraId="09171C0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169.2</w:t>
                  </w:r>
                </w:p>
              </w:tc>
            </w:tr>
            <w:tr w14:paraId="6B9F0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14:paraId="780585F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275" w:type="pct"/>
                  <w:noWrap w:val="0"/>
                  <w:vAlign w:val="center"/>
                </w:tcPr>
                <w:p w14:paraId="04B462D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职工生活用水</w:t>
                  </w:r>
                </w:p>
              </w:tc>
              <w:tc>
                <w:tcPr>
                  <w:tcW w:w="579" w:type="pct"/>
                  <w:noWrap w:val="0"/>
                  <w:vAlign w:val="center"/>
                </w:tcPr>
                <w:p w14:paraId="6FB2477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L/人▪</w:t>
                  </w:r>
                  <w:r>
                    <w:rPr>
                      <w:rFonts w:hint="default" w:ascii="Times New Roman" w:hAnsi="Times New Roman" w:eastAsia="宋体" w:cs="Times New Roman"/>
                      <w:color w:val="auto"/>
                      <w:sz w:val="21"/>
                      <w:szCs w:val="21"/>
                      <w:lang w:val="en-US" w:eastAsia="zh-CN"/>
                    </w:rPr>
                    <w:t>班</w:t>
                  </w:r>
                </w:p>
              </w:tc>
              <w:tc>
                <w:tcPr>
                  <w:tcW w:w="547" w:type="pct"/>
                  <w:noWrap w:val="0"/>
                  <w:vAlign w:val="center"/>
                </w:tcPr>
                <w:p w14:paraId="1A43EE7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0.6</w:t>
                  </w:r>
                </w:p>
              </w:tc>
              <w:tc>
                <w:tcPr>
                  <w:tcW w:w="534" w:type="pct"/>
                  <w:noWrap w:val="0"/>
                  <w:vAlign w:val="center"/>
                </w:tcPr>
                <w:p w14:paraId="073A137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198</w:t>
                  </w:r>
                </w:p>
              </w:tc>
              <w:tc>
                <w:tcPr>
                  <w:tcW w:w="652" w:type="pct"/>
                  <w:noWrap w:val="0"/>
                  <w:vAlign w:val="center"/>
                </w:tcPr>
                <w:p w14:paraId="4957ACE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w:t>
                  </w:r>
                </w:p>
              </w:tc>
              <w:tc>
                <w:tcPr>
                  <w:tcW w:w="502" w:type="pct"/>
                  <w:noWrap w:val="0"/>
                  <w:vAlign w:val="center"/>
                </w:tcPr>
                <w:p w14:paraId="7556345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0.51</w:t>
                  </w:r>
                </w:p>
              </w:tc>
              <w:tc>
                <w:tcPr>
                  <w:tcW w:w="570" w:type="pct"/>
                  <w:noWrap w:val="0"/>
                  <w:vAlign w:val="center"/>
                </w:tcPr>
                <w:p w14:paraId="5D536AA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168.3</w:t>
                  </w:r>
                </w:p>
              </w:tc>
            </w:tr>
          </w:tbl>
          <w:p w14:paraId="294A9C4A">
            <w:pPr>
              <w:pStyle w:val="12"/>
              <w:rPr>
                <w:rFonts w:hint="default" w:ascii="Times New Roman" w:hAnsi="Times New Roman" w:eastAsia="宋体" w:cs="Times New Roman"/>
                <w:color w:val="auto"/>
                <w:kern w:val="2"/>
                <w:sz w:val="24"/>
                <w:szCs w:val="24"/>
                <w:lang w:val="en-US" w:eastAsia="zh-CN" w:bidi="ar-SA"/>
              </w:rPr>
            </w:pPr>
            <w:r>
              <w:rPr>
                <w:color w:val="auto"/>
                <w:sz w:val="21"/>
              </w:rPr>
              <mc:AlternateContent>
                <mc:Choice Requires="wpg">
                  <w:drawing>
                    <wp:anchor distT="0" distB="0" distL="114300" distR="114300" simplePos="0" relativeHeight="251673600" behindDoc="0" locked="0" layoutInCell="1" allowOverlap="1">
                      <wp:simplePos x="0" y="0"/>
                      <wp:positionH relativeFrom="column">
                        <wp:posOffset>300355</wp:posOffset>
                      </wp:positionH>
                      <wp:positionV relativeFrom="paragraph">
                        <wp:posOffset>145415</wp:posOffset>
                      </wp:positionV>
                      <wp:extent cx="4654550" cy="2912110"/>
                      <wp:effectExtent l="0" t="0" r="0" b="0"/>
                      <wp:wrapNone/>
                      <wp:docPr id="188" name="组合 188"/>
                      <wp:cNvGraphicFramePr/>
                      <a:graphic xmlns:a="http://schemas.openxmlformats.org/drawingml/2006/main">
                        <a:graphicData uri="http://schemas.microsoft.com/office/word/2010/wordprocessingGroup">
                          <wpg:wgp>
                            <wpg:cNvGrpSpPr/>
                            <wpg:grpSpPr>
                              <a:xfrm>
                                <a:off x="0" y="0"/>
                                <a:ext cx="4654550" cy="2912110"/>
                                <a:chOff x="3337" y="652831"/>
                                <a:chExt cx="7330" cy="4586"/>
                              </a:xfrm>
                            </wpg:grpSpPr>
                            <wps:wsp>
                              <wps:cNvPr id="129" name="Text Box 3389"/>
                              <wps:cNvSpPr txBox="1"/>
                              <wps:spPr>
                                <a:xfrm>
                                  <a:off x="3337" y="654356"/>
                                  <a:ext cx="1449" cy="486"/>
                                </a:xfrm>
                                <a:prstGeom prst="rect">
                                  <a:avLst/>
                                </a:prstGeom>
                                <a:noFill/>
                                <a:ln>
                                  <a:noFill/>
                                </a:ln>
                              </wps:spPr>
                              <wps:txbx>
                                <w:txbxContent>
                                  <w:p w14:paraId="4110D349">
                                    <w:pPr>
                                      <w:jc w:val="left"/>
                                      <w:rPr>
                                        <w:rFonts w:hint="default" w:eastAsia="宋体"/>
                                        <w:color w:val="FF0000"/>
                                        <w:lang w:val="en-US" w:eastAsia="zh-CN"/>
                                      </w:rPr>
                                    </w:pPr>
                                    <w:r>
                                      <w:t>新鲜</w:t>
                                    </w:r>
                                    <w:r>
                                      <w:rPr>
                                        <w:rFonts w:hint="eastAsia"/>
                                      </w:rPr>
                                      <w:t>水</w:t>
                                    </w:r>
                                    <w:r>
                                      <w:rPr>
                                        <w:rFonts w:hint="eastAsia"/>
                                        <w:lang w:val="en-US" w:eastAsia="zh-CN"/>
                                      </w:rPr>
                                      <w:t>2598</w:t>
                                    </w:r>
                                  </w:p>
                                </w:txbxContent>
                              </wps:txbx>
                              <wps:bodyPr vert="horz" wrap="square" anchor="t" anchorCtr="0" upright="1"/>
                            </wps:wsp>
                            <wps:wsp>
                              <wps:cNvPr id="130" name="Line 3399"/>
                              <wps:cNvCnPr/>
                              <wps:spPr>
                                <a:xfrm>
                                  <a:off x="4678" y="653550"/>
                                  <a:ext cx="736" cy="1"/>
                                </a:xfrm>
                                <a:prstGeom prst="line">
                                  <a:avLst/>
                                </a:prstGeom>
                                <a:ln w="9525" cap="flat" cmpd="sng">
                                  <a:solidFill>
                                    <a:srgbClr val="000000"/>
                                  </a:solidFill>
                                  <a:prstDash val="solid"/>
                                  <a:round/>
                                  <a:headEnd type="none" w="med" len="med"/>
                                  <a:tailEnd type="triangle" w="med" len="med"/>
                                </a:ln>
                              </wps:spPr>
                              <wps:bodyPr upright="1"/>
                            </wps:wsp>
                            <wps:wsp>
                              <wps:cNvPr id="131" name="Rectangle 3373"/>
                              <wps:cNvSpPr/>
                              <wps:spPr>
                                <a:xfrm>
                                  <a:off x="9057" y="653314"/>
                                  <a:ext cx="1611" cy="490"/>
                                </a:xfrm>
                                <a:prstGeom prst="rect">
                                  <a:avLst/>
                                </a:prstGeom>
                                <a:noFill/>
                                <a:ln>
                                  <a:noFill/>
                                </a:ln>
                              </wps:spPr>
                              <wps:txbx>
                                <w:txbxContent>
                                  <w:p w14:paraId="74B77A11">
                                    <w:pPr>
                                      <w:spacing w:line="300" w:lineRule="exact"/>
                                      <w:jc w:val="center"/>
                                      <w:rPr>
                                        <w:rFonts w:hint="eastAsia" w:ascii="宋体" w:hAnsi="宋体" w:eastAsia="宋体" w:cs="宋体"/>
                                        <w:lang w:eastAsia="zh-CN"/>
                                      </w:rPr>
                                    </w:pPr>
                                    <w:r>
                                      <w:rPr>
                                        <w:rFonts w:hint="eastAsia" w:ascii="宋体" w:hAnsi="宋体" w:eastAsia="宋体" w:cs="宋体"/>
                                        <w:lang w:eastAsia="zh-CN"/>
                                      </w:rPr>
                                      <w:t>市政污水管网</w:t>
                                    </w:r>
                                  </w:p>
                                </w:txbxContent>
                              </wps:txbx>
                              <wps:bodyPr vert="horz" wrap="square" anchor="t" anchorCtr="0" upright="1"/>
                            </wps:wsp>
                            <wps:wsp>
                              <wps:cNvPr id="132" name="Text Box 3391"/>
                              <wps:cNvSpPr txBox="1"/>
                              <wps:spPr>
                                <a:xfrm>
                                  <a:off x="5414" y="653307"/>
                                  <a:ext cx="1185" cy="448"/>
                                </a:xfrm>
                                <a:prstGeom prst="rect">
                                  <a:avLst/>
                                </a:prstGeom>
                                <a:noFill/>
                                <a:ln w="9525" cap="flat" cmpd="sng">
                                  <a:solidFill>
                                    <a:srgbClr val="000000"/>
                                  </a:solidFill>
                                  <a:prstDash val="solid"/>
                                  <a:miter/>
                                  <a:headEnd type="none" w="med" len="med"/>
                                  <a:tailEnd type="none" w="med" len="med"/>
                                </a:ln>
                              </wps:spPr>
                              <wps:txbx>
                                <w:txbxContent>
                                  <w:p w14:paraId="2735B009">
                                    <w:pPr>
                                      <w:spacing w:line="300" w:lineRule="exact"/>
                                      <w:rPr>
                                        <w:rFonts w:hint="eastAsia" w:ascii="宋体" w:hAnsi="宋体" w:cs="宋体"/>
                                      </w:rPr>
                                    </w:pPr>
                                    <w:r>
                                      <w:rPr>
                                        <w:rFonts w:hint="eastAsia" w:ascii="宋体" w:hAnsi="宋体" w:cs="宋体"/>
                                      </w:rPr>
                                      <w:t>生活用水</w:t>
                                    </w:r>
                                  </w:p>
                                </w:txbxContent>
                              </wps:txbx>
                              <wps:bodyPr vert="horz" wrap="square" anchor="t" anchorCtr="0" upright="1"/>
                            </wps:wsp>
                            <wps:wsp>
                              <wps:cNvPr id="133" name="Line 3405"/>
                              <wps:cNvCnPr/>
                              <wps:spPr>
                                <a:xfrm>
                                  <a:off x="6614" y="653562"/>
                                  <a:ext cx="675" cy="1"/>
                                </a:xfrm>
                                <a:prstGeom prst="line">
                                  <a:avLst/>
                                </a:prstGeom>
                                <a:ln w="9525" cap="flat" cmpd="sng">
                                  <a:solidFill>
                                    <a:srgbClr val="000000"/>
                                  </a:solidFill>
                                  <a:prstDash val="solid"/>
                                  <a:round/>
                                  <a:headEnd type="none" w="med" len="med"/>
                                  <a:tailEnd type="triangle" w="med" len="med"/>
                                </a:ln>
                              </wps:spPr>
                              <wps:bodyPr upright="1"/>
                            </wps:wsp>
                            <wps:wsp>
                              <wps:cNvPr id="134" name="文本框 259"/>
                              <wps:cNvSpPr txBox="1"/>
                              <wps:spPr>
                                <a:xfrm>
                                  <a:off x="6009" y="652831"/>
                                  <a:ext cx="1481" cy="393"/>
                                </a:xfrm>
                                <a:prstGeom prst="rect">
                                  <a:avLst/>
                                </a:prstGeom>
                                <a:noFill/>
                                <a:ln>
                                  <a:noFill/>
                                </a:ln>
                              </wps:spPr>
                              <wps:txbx>
                                <w:txbxContent>
                                  <w:p w14:paraId="61A73059">
                                    <w:pPr>
                                      <w:jc w:val="center"/>
                                      <w:rPr>
                                        <w:rFonts w:hint="default" w:eastAsia="宋体"/>
                                        <w:lang w:val="en-US" w:eastAsia="zh-CN"/>
                                      </w:rPr>
                                    </w:pPr>
                                    <w:r>
                                      <w:t>损耗</w:t>
                                    </w:r>
                                    <w:r>
                                      <w:rPr>
                                        <w:rFonts w:hint="eastAsia"/>
                                        <w:lang w:val="en-US" w:eastAsia="zh-CN"/>
                                      </w:rPr>
                                      <w:t>29.7</w:t>
                                    </w:r>
                                  </w:p>
                                </w:txbxContent>
                              </wps:txbx>
                              <wps:bodyPr vert="horz" wrap="square" anchor="t" anchorCtr="0" upright="1"/>
                            </wps:wsp>
                            <wps:wsp>
                              <wps:cNvPr id="135" name="FreeForm 3414"/>
                              <wps:cNvSpPr/>
                              <wps:spPr>
                                <a:xfrm rot="21360000">
                                  <a:off x="5916" y="653073"/>
                                  <a:ext cx="450" cy="275"/>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round/>
                                  <a:headEnd type="none" w="med" len="med"/>
                                  <a:tailEnd type="triangle" w="med" len="med"/>
                                </a:ln>
                              </wps:spPr>
                              <wps:bodyPr vert="horz" wrap="square" anchor="t" anchorCtr="0" upright="1"/>
                            </wps:wsp>
                            <wps:wsp>
                              <wps:cNvPr id="136" name="Line 3816"/>
                              <wps:cNvCnPr/>
                              <wps:spPr>
                                <a:xfrm>
                                  <a:off x="8291" y="653557"/>
                                  <a:ext cx="929" cy="1"/>
                                </a:xfrm>
                                <a:prstGeom prst="line">
                                  <a:avLst/>
                                </a:prstGeom>
                                <a:ln w="9525" cap="flat" cmpd="sng">
                                  <a:solidFill>
                                    <a:srgbClr val="000000"/>
                                  </a:solidFill>
                                  <a:prstDash val="solid"/>
                                  <a:round/>
                                  <a:headEnd type="none" w="med" len="med"/>
                                  <a:tailEnd type="triangle" w="med" len="med"/>
                                </a:ln>
                              </wps:spPr>
                              <wps:bodyPr upright="1"/>
                            </wps:wsp>
                            <wps:wsp>
                              <wps:cNvPr id="137" name="文本框 268"/>
                              <wps:cNvSpPr txBox="1"/>
                              <wps:spPr>
                                <a:xfrm>
                                  <a:off x="6448" y="653241"/>
                                  <a:ext cx="990" cy="393"/>
                                </a:xfrm>
                                <a:prstGeom prst="rect">
                                  <a:avLst/>
                                </a:prstGeom>
                                <a:noFill/>
                                <a:ln>
                                  <a:noFill/>
                                </a:ln>
                              </wps:spPr>
                              <wps:txbx>
                                <w:txbxContent>
                                  <w:p w14:paraId="2DEFD93F">
                                    <w:pPr>
                                      <w:jc w:val="center"/>
                                      <w:rPr>
                                        <w:rFonts w:hint="default" w:eastAsia="宋体"/>
                                        <w:lang w:val="en-US" w:eastAsia="zh-CN"/>
                                      </w:rPr>
                                    </w:pPr>
                                    <w:r>
                                      <w:rPr>
                                        <w:rFonts w:hint="eastAsia"/>
                                        <w:lang w:val="en-US" w:eastAsia="zh-CN"/>
                                      </w:rPr>
                                      <w:t>168.3</w:t>
                                    </w:r>
                                  </w:p>
                                </w:txbxContent>
                              </wps:txbx>
                              <wps:bodyPr vert="horz" wrap="square" anchor="t" anchorCtr="0" upright="1"/>
                            </wps:wsp>
                            <wps:wsp>
                              <wps:cNvPr id="138" name="文本框 267"/>
                              <wps:cNvSpPr txBox="1"/>
                              <wps:spPr>
                                <a:xfrm>
                                  <a:off x="8245" y="653257"/>
                                  <a:ext cx="990" cy="393"/>
                                </a:xfrm>
                                <a:prstGeom prst="rect">
                                  <a:avLst/>
                                </a:prstGeom>
                                <a:noFill/>
                                <a:ln>
                                  <a:noFill/>
                                </a:ln>
                              </wps:spPr>
                              <wps:txbx>
                                <w:txbxContent>
                                  <w:p w14:paraId="5AAD744A">
                                    <w:pPr>
                                      <w:jc w:val="center"/>
                                      <w:rPr>
                                        <w:rFonts w:hint="default" w:eastAsia="宋体"/>
                                        <w:lang w:val="en-US" w:eastAsia="zh-CN"/>
                                      </w:rPr>
                                    </w:pPr>
                                    <w:r>
                                      <w:rPr>
                                        <w:rFonts w:hint="eastAsia"/>
                                        <w:lang w:val="en-US" w:eastAsia="zh-CN"/>
                                      </w:rPr>
                                      <w:t>168.3</w:t>
                                    </w:r>
                                  </w:p>
                                </w:txbxContent>
                              </wps:txbx>
                              <wps:bodyPr vert="horz" wrap="square" anchor="t" anchorCtr="0" upright="1"/>
                            </wps:wsp>
                            <wps:wsp>
                              <wps:cNvPr id="139" name="直线 265"/>
                              <wps:cNvCnPr/>
                              <wps:spPr>
                                <a:xfrm>
                                  <a:off x="4674" y="653543"/>
                                  <a:ext cx="6" cy="2868"/>
                                </a:xfrm>
                                <a:prstGeom prst="line">
                                  <a:avLst/>
                                </a:prstGeom>
                                <a:ln w="9525" cap="flat" cmpd="sng">
                                  <a:solidFill>
                                    <a:srgbClr val="000001"/>
                                  </a:solidFill>
                                  <a:prstDash val="solid"/>
                                  <a:round/>
                                  <a:headEnd type="none" w="med" len="med"/>
                                  <a:tailEnd type="none" w="med" len="med"/>
                                </a:ln>
                              </wps:spPr>
                              <wps:bodyPr upright="1"/>
                            </wps:wsp>
                            <wps:wsp>
                              <wps:cNvPr id="140" name="直线 281"/>
                              <wps:cNvCnPr/>
                              <wps:spPr>
                                <a:xfrm>
                                  <a:off x="4702" y="654741"/>
                                  <a:ext cx="736" cy="1"/>
                                </a:xfrm>
                                <a:prstGeom prst="line">
                                  <a:avLst/>
                                </a:prstGeom>
                                <a:ln w="9525" cap="flat" cmpd="sng">
                                  <a:solidFill>
                                    <a:srgbClr val="000000"/>
                                  </a:solidFill>
                                  <a:prstDash val="solid"/>
                                  <a:round/>
                                  <a:headEnd type="none" w="med" len="med"/>
                                  <a:tailEnd type="triangle" w="med" len="med"/>
                                </a:ln>
                              </wps:spPr>
                              <wps:bodyPr upright="1"/>
                            </wps:wsp>
                            <wps:wsp>
                              <wps:cNvPr id="141" name="文本框 276"/>
                              <wps:cNvSpPr txBox="1"/>
                              <wps:spPr>
                                <a:xfrm>
                                  <a:off x="5454" y="654515"/>
                                  <a:ext cx="1693" cy="448"/>
                                </a:xfrm>
                                <a:prstGeom prst="rect">
                                  <a:avLst/>
                                </a:prstGeom>
                                <a:noFill/>
                                <a:ln w="9525" cap="flat" cmpd="sng">
                                  <a:solidFill>
                                    <a:srgbClr val="000000"/>
                                  </a:solidFill>
                                  <a:prstDash val="solid"/>
                                  <a:miter/>
                                  <a:headEnd type="none" w="med" len="med"/>
                                  <a:tailEnd type="none" w="med" len="med"/>
                                </a:ln>
                              </wps:spPr>
                              <wps:txbx>
                                <w:txbxContent>
                                  <w:p w14:paraId="07B06941">
                                    <w:pPr>
                                      <w:spacing w:line="300" w:lineRule="exact"/>
                                      <w:jc w:val="center"/>
                                      <w:rPr>
                                        <w:rFonts w:hint="default" w:ascii="宋体" w:hAnsi="宋体" w:eastAsia="宋体" w:cs="宋体"/>
                                        <w:lang w:val="en-US" w:eastAsia="zh-CN"/>
                                      </w:rPr>
                                    </w:pPr>
                                    <w:r>
                                      <w:rPr>
                                        <w:rFonts w:hint="eastAsia" w:ascii="宋体" w:hAnsi="宋体" w:cs="宋体"/>
                                        <w:lang w:val="en-US" w:eastAsia="zh-CN"/>
                                      </w:rPr>
                                      <w:t>破碎、清洗用水</w:t>
                                    </w:r>
                                  </w:p>
                                </w:txbxContent>
                              </wps:txbx>
                              <wps:bodyPr vert="horz" wrap="square" anchor="t" anchorCtr="0" upright="1"/>
                            </wps:wsp>
                            <wps:wsp>
                              <wps:cNvPr id="142" name="直线 275"/>
                              <wps:cNvCnPr/>
                              <wps:spPr>
                                <a:xfrm>
                                  <a:off x="3470" y="654723"/>
                                  <a:ext cx="1207" cy="9"/>
                                </a:xfrm>
                                <a:prstGeom prst="line">
                                  <a:avLst/>
                                </a:prstGeom>
                                <a:ln w="9525" cap="flat" cmpd="sng">
                                  <a:solidFill>
                                    <a:srgbClr val="000000"/>
                                  </a:solidFill>
                                  <a:prstDash val="solid"/>
                                  <a:round/>
                                  <a:headEnd type="none" w="med" len="med"/>
                                  <a:tailEnd type="triangle" w="med" len="med"/>
                                </a:ln>
                              </wps:spPr>
                              <wps:bodyPr upright="1"/>
                            </wps:wsp>
                            <wps:wsp>
                              <wps:cNvPr id="143" name="直线 279"/>
                              <wps:cNvCnPr/>
                              <wps:spPr>
                                <a:xfrm>
                                  <a:off x="7142" y="654731"/>
                                  <a:ext cx="736" cy="1"/>
                                </a:xfrm>
                                <a:prstGeom prst="line">
                                  <a:avLst/>
                                </a:prstGeom>
                                <a:ln w="9525" cap="flat" cmpd="sng">
                                  <a:solidFill>
                                    <a:srgbClr val="000000"/>
                                  </a:solidFill>
                                  <a:prstDash val="solid"/>
                                  <a:round/>
                                  <a:headEnd type="none" w="med" len="med"/>
                                  <a:tailEnd type="triangle" w="med" len="med"/>
                                </a:ln>
                              </wps:spPr>
                              <wps:bodyPr upright="1"/>
                            </wps:wsp>
                            <wps:wsp>
                              <wps:cNvPr id="144" name="任意多边形 273"/>
                              <wps:cNvSpPr/>
                              <wps:spPr>
                                <a:xfrm rot="21360000">
                                  <a:off x="6022" y="654219"/>
                                  <a:ext cx="450" cy="275"/>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round/>
                                  <a:headEnd type="none" w="med" len="med"/>
                                  <a:tailEnd type="triangle" w="med" len="med"/>
                                </a:ln>
                              </wps:spPr>
                              <wps:bodyPr vert="horz" wrap="square" anchor="t" anchorCtr="0" upright="1"/>
                            </wps:wsp>
                            <wps:wsp>
                              <wps:cNvPr id="145" name="文本框 261"/>
                              <wps:cNvSpPr txBox="1"/>
                              <wps:spPr>
                                <a:xfrm>
                                  <a:off x="6104" y="653912"/>
                                  <a:ext cx="1481" cy="393"/>
                                </a:xfrm>
                                <a:prstGeom prst="rect">
                                  <a:avLst/>
                                </a:prstGeom>
                                <a:noFill/>
                                <a:ln>
                                  <a:noFill/>
                                </a:ln>
                              </wps:spPr>
                              <wps:txbx>
                                <w:txbxContent>
                                  <w:p w14:paraId="53BF7C65">
                                    <w:pPr>
                                      <w:jc w:val="center"/>
                                      <w:rPr>
                                        <w:rFonts w:hint="default" w:eastAsia="宋体"/>
                                        <w:lang w:val="en-US" w:eastAsia="zh-CN"/>
                                      </w:rPr>
                                    </w:pPr>
                                    <w:r>
                                      <w:t>损耗</w:t>
                                    </w:r>
                                    <w:r>
                                      <w:rPr>
                                        <w:rFonts w:hint="eastAsia"/>
                                        <w:lang w:val="en-US" w:eastAsia="zh-CN"/>
                                      </w:rPr>
                                      <w:t>1164</w:t>
                                    </w:r>
                                  </w:p>
                                </w:txbxContent>
                              </wps:txbx>
                              <wps:bodyPr vert="horz" wrap="square" anchor="t" anchorCtr="0" upright="1"/>
                            </wps:wsp>
                            <wps:wsp>
                              <wps:cNvPr id="146" name="文本框 258"/>
                              <wps:cNvSpPr txBox="1"/>
                              <wps:spPr>
                                <a:xfrm>
                                  <a:off x="4653" y="653235"/>
                                  <a:ext cx="656" cy="393"/>
                                </a:xfrm>
                                <a:prstGeom prst="rect">
                                  <a:avLst/>
                                </a:prstGeom>
                                <a:noFill/>
                                <a:ln>
                                  <a:noFill/>
                                </a:ln>
                              </wps:spPr>
                              <wps:txbx>
                                <w:txbxContent>
                                  <w:p w14:paraId="0C301EF8">
                                    <w:pPr>
                                      <w:jc w:val="both"/>
                                      <w:rPr>
                                        <w:rFonts w:hint="default" w:eastAsia="宋体"/>
                                        <w:lang w:val="en-US" w:eastAsia="zh-CN"/>
                                      </w:rPr>
                                    </w:pPr>
                                    <w:r>
                                      <w:rPr>
                                        <w:rFonts w:hint="eastAsia"/>
                                        <w:lang w:val="en-US" w:eastAsia="zh-CN"/>
                                      </w:rPr>
                                      <w:t>198</w:t>
                                    </w:r>
                                  </w:p>
                                </w:txbxContent>
                              </wps:txbx>
                              <wps:bodyPr vert="horz" wrap="square" anchor="t" anchorCtr="0" upright="1"/>
                            </wps:wsp>
                            <wps:wsp>
                              <wps:cNvPr id="147" name="文本框 274"/>
                              <wps:cNvSpPr txBox="1"/>
                              <wps:spPr>
                                <a:xfrm>
                                  <a:off x="4318" y="654392"/>
                                  <a:ext cx="1481" cy="393"/>
                                </a:xfrm>
                                <a:prstGeom prst="rect">
                                  <a:avLst/>
                                </a:prstGeom>
                                <a:noFill/>
                                <a:ln>
                                  <a:noFill/>
                                </a:ln>
                              </wps:spPr>
                              <wps:txbx>
                                <w:txbxContent>
                                  <w:p w14:paraId="1EB0C5E9">
                                    <w:pPr>
                                      <w:jc w:val="center"/>
                                      <w:rPr>
                                        <w:rFonts w:hint="default" w:eastAsia="宋体"/>
                                        <w:lang w:val="en-US" w:eastAsia="zh-CN"/>
                                      </w:rPr>
                                    </w:pPr>
                                    <w:r>
                                      <w:rPr>
                                        <w:rFonts w:hint="eastAsia"/>
                                        <w:lang w:val="en-US" w:eastAsia="zh-CN"/>
                                      </w:rPr>
                                      <w:t>2212</w:t>
                                    </w:r>
                                  </w:p>
                                </w:txbxContent>
                              </wps:txbx>
                              <wps:bodyPr vert="horz" wrap="square" anchor="t" anchorCtr="0" upright="1"/>
                            </wps:wsp>
                            <wps:wsp>
                              <wps:cNvPr id="148" name="文本框 277"/>
                              <wps:cNvSpPr txBox="1"/>
                              <wps:spPr>
                                <a:xfrm>
                                  <a:off x="6361" y="654987"/>
                                  <a:ext cx="1845" cy="393"/>
                                </a:xfrm>
                                <a:prstGeom prst="rect">
                                  <a:avLst/>
                                </a:prstGeom>
                                <a:noFill/>
                                <a:ln>
                                  <a:noFill/>
                                </a:ln>
                              </wps:spPr>
                              <wps:txbx>
                                <w:txbxContent>
                                  <w:p w14:paraId="43973ABF">
                                    <w:pPr>
                                      <w:jc w:val="center"/>
                                      <w:rPr>
                                        <w:rFonts w:hint="default" w:eastAsia="宋体"/>
                                        <w:lang w:val="en-US" w:eastAsia="zh-CN"/>
                                      </w:rPr>
                                    </w:pPr>
                                    <w:r>
                                      <w:rPr>
                                        <w:rFonts w:hint="eastAsia" w:eastAsia="宋体"/>
                                        <w:lang w:val="en-US" w:eastAsia="zh-CN"/>
                                      </w:rPr>
                                      <w:t>循环回用</w:t>
                                    </w:r>
                                    <w:r>
                                      <w:rPr>
                                        <w:rFonts w:hint="eastAsia"/>
                                        <w:lang w:val="en-US" w:eastAsia="zh-CN"/>
                                      </w:rPr>
                                      <w:t>9432</w:t>
                                    </w:r>
                                  </w:p>
                                </w:txbxContent>
                              </wps:txbx>
                              <wps:bodyPr vert="horz" wrap="square" anchor="t" anchorCtr="0" upright="1"/>
                            </wps:wsp>
                            <wps:wsp>
                              <wps:cNvPr id="149" name="文本框 272"/>
                              <wps:cNvSpPr txBox="1"/>
                              <wps:spPr>
                                <a:xfrm>
                                  <a:off x="7877" y="654531"/>
                                  <a:ext cx="1752" cy="448"/>
                                </a:xfrm>
                                <a:prstGeom prst="rect">
                                  <a:avLst/>
                                </a:prstGeom>
                                <a:noFill/>
                                <a:ln w="9525" cap="flat" cmpd="sng">
                                  <a:solidFill>
                                    <a:srgbClr val="000000"/>
                                  </a:solidFill>
                                  <a:prstDash val="solid"/>
                                  <a:miter/>
                                  <a:headEnd type="none" w="med" len="med"/>
                                  <a:tailEnd type="none" w="med" len="med"/>
                                </a:ln>
                              </wps:spPr>
                              <wps:txbx>
                                <w:txbxContent>
                                  <w:p w14:paraId="1C56A44C">
                                    <w:pPr>
                                      <w:spacing w:line="300" w:lineRule="exact"/>
                                      <w:rPr>
                                        <w:rFonts w:hint="default" w:ascii="宋体" w:hAnsi="宋体" w:eastAsia="宋体" w:cs="宋体"/>
                                        <w:lang w:val="en-US" w:eastAsia="zh-CN"/>
                                      </w:rPr>
                                    </w:pPr>
                                    <w:r>
                                      <w:rPr>
                                        <w:rFonts w:hint="eastAsia" w:ascii="宋体" w:hAnsi="宋体" w:cs="宋体"/>
                                        <w:lang w:val="en-US" w:eastAsia="zh-CN"/>
                                      </w:rPr>
                                      <w:t>污水处理设施</w:t>
                                    </w:r>
                                  </w:p>
                                </w:txbxContent>
                              </wps:txbx>
                              <wps:bodyPr vert="horz" wrap="square" anchor="t" anchorCtr="0" upright="1"/>
                            </wps:wsp>
                            <wps:wsp>
                              <wps:cNvPr id="150" name="Text Box 3391"/>
                              <wps:cNvSpPr txBox="1"/>
                              <wps:spPr>
                                <a:xfrm>
                                  <a:off x="7283" y="653344"/>
                                  <a:ext cx="1001" cy="448"/>
                                </a:xfrm>
                                <a:prstGeom prst="rect">
                                  <a:avLst/>
                                </a:prstGeom>
                                <a:noFill/>
                                <a:ln w="9525" cap="flat" cmpd="sng">
                                  <a:solidFill>
                                    <a:srgbClr val="000000"/>
                                  </a:solidFill>
                                  <a:prstDash val="solid"/>
                                  <a:miter/>
                                  <a:headEnd type="none" w="med" len="med"/>
                                  <a:tailEnd type="none" w="med" len="med"/>
                                </a:ln>
                              </wps:spPr>
                              <wps:txbx>
                                <w:txbxContent>
                                  <w:p w14:paraId="6ACF683B">
                                    <w:pPr>
                                      <w:spacing w:line="300" w:lineRule="exact"/>
                                      <w:jc w:val="center"/>
                                      <w:rPr>
                                        <w:rFonts w:hint="eastAsia" w:ascii="宋体" w:hAnsi="宋体" w:eastAsia="宋体" w:cs="宋体"/>
                                        <w:lang w:eastAsia="zh-CN"/>
                                      </w:rPr>
                                    </w:pPr>
                                    <w:r>
                                      <w:rPr>
                                        <w:rFonts w:hint="eastAsia" w:ascii="宋体" w:hAnsi="宋体" w:cs="宋体"/>
                                        <w:lang w:eastAsia="zh-CN"/>
                                      </w:rPr>
                                      <w:t>化粪池</w:t>
                                    </w:r>
                                  </w:p>
                                </w:txbxContent>
                              </wps:txbx>
                              <wps:bodyPr vert="horz" wrap="square" anchor="t" anchorCtr="0" upright="1"/>
                            </wps:wsp>
                            <wps:wsp>
                              <wps:cNvPr id="151" name="自选图形 285"/>
                              <wps:cNvCnPr>
                                <a:stCxn id="149" idx="2"/>
                                <a:endCxn id="141" idx="2"/>
                              </wps:cNvCnPr>
                              <wps:spPr>
                                <a:xfrm rot="5400000" flipH="1">
                                  <a:off x="7519" y="653745"/>
                                  <a:ext cx="16" cy="2452"/>
                                </a:xfrm>
                                <a:prstGeom prst="bentConnector3">
                                  <a:avLst>
                                    <a:gd name="adj1" fmla="val -2343750"/>
                                  </a:avLst>
                                </a:prstGeom>
                                <a:ln w="9525" cap="flat" cmpd="sng">
                                  <a:solidFill>
                                    <a:srgbClr val="000000"/>
                                  </a:solidFill>
                                  <a:prstDash val="solid"/>
                                  <a:miter/>
                                  <a:headEnd type="none" w="med" len="med"/>
                                  <a:tailEnd type="triangle" w="med" len="med"/>
                                </a:ln>
                              </wps:spPr>
                              <wps:bodyPr/>
                            </wps:wsp>
                            <wps:wsp>
                              <wps:cNvPr id="152" name="Text Box 3413"/>
                              <wps:cNvSpPr txBox="1"/>
                              <wps:spPr>
                                <a:xfrm>
                                  <a:off x="4582" y="656901"/>
                                  <a:ext cx="5083" cy="516"/>
                                </a:xfrm>
                                <a:prstGeom prst="rect">
                                  <a:avLst/>
                                </a:prstGeom>
                                <a:noFill/>
                                <a:ln>
                                  <a:noFill/>
                                </a:ln>
                              </wps:spPr>
                              <wps:txbx>
                                <w:txbxContent>
                                  <w:p w14:paraId="5454AD15">
                                    <w:pPr>
                                      <w:jc w:val="center"/>
                                      <w:rPr>
                                        <w:color w:val="FF0000"/>
                                        <w:sz w:val="24"/>
                                      </w:rPr>
                                    </w:pPr>
                                    <w:r>
                                      <w:rPr>
                                        <w:rFonts w:eastAsia="黑体"/>
                                        <w:color w:val="FF0000"/>
                                        <w:sz w:val="24"/>
                                      </w:rPr>
                                      <w:t>图</w:t>
                                    </w:r>
                                    <w:r>
                                      <w:rPr>
                                        <w:rFonts w:hint="eastAsia" w:eastAsia="黑体"/>
                                        <w:color w:val="FF0000"/>
                                        <w:sz w:val="24"/>
                                      </w:rPr>
                                      <w:t>2.2-</w:t>
                                    </w:r>
                                    <w:r>
                                      <w:rPr>
                                        <w:rFonts w:hint="eastAsia" w:eastAsia="黑体"/>
                                        <w:color w:val="FF0000"/>
                                        <w:sz w:val="24"/>
                                        <w:lang w:val="en-US" w:eastAsia="zh-CN"/>
                                      </w:rPr>
                                      <w:t>1</w:t>
                                    </w:r>
                                    <w:r>
                                      <w:rPr>
                                        <w:rFonts w:eastAsia="黑体"/>
                                        <w:color w:val="FF0000"/>
                                        <w:sz w:val="24"/>
                                      </w:rPr>
                                      <w:t xml:space="preserve">  项目水平衡图(单位：t/</w:t>
                                    </w:r>
                                    <w:r>
                                      <w:rPr>
                                        <w:rFonts w:hint="eastAsia" w:eastAsia="黑体"/>
                                        <w:color w:val="FF0000"/>
                                        <w:sz w:val="24"/>
                                        <w:lang w:val="en-US" w:eastAsia="zh-CN"/>
                                      </w:rPr>
                                      <w:t>a</w:t>
                                    </w:r>
                                    <w:r>
                                      <w:rPr>
                                        <w:rFonts w:eastAsia="黑体"/>
                                        <w:color w:val="FF0000"/>
                                        <w:sz w:val="24"/>
                                      </w:rPr>
                                      <w:t>)</w:t>
                                    </w:r>
                                  </w:p>
                                </w:txbxContent>
                              </wps:txbx>
                              <wps:bodyPr vert="horz" wrap="square" anchor="t" anchorCtr="0" upright="1"/>
                            </wps:wsp>
                            <wps:wsp>
                              <wps:cNvPr id="88" name="直线 279"/>
                              <wps:cNvCnPr>
                                <a:stCxn id="149" idx="0"/>
                                <a:endCxn id="138" idx="2"/>
                              </wps:cNvCnPr>
                              <wps:spPr>
                                <a:xfrm flipH="1" flipV="1">
                                  <a:off x="8740" y="653651"/>
                                  <a:ext cx="13" cy="880"/>
                                </a:xfrm>
                                <a:prstGeom prst="line">
                                  <a:avLst/>
                                </a:prstGeom>
                                <a:ln w="9525" cap="flat" cmpd="sng">
                                  <a:solidFill>
                                    <a:srgbClr val="000000"/>
                                  </a:solidFill>
                                  <a:prstDash val="solid"/>
                                  <a:round/>
                                  <a:headEnd type="none" w="med" len="med"/>
                                  <a:tailEnd type="triangle" w="med" len="med"/>
                                </a:ln>
                              </wps:spPr>
                              <wps:bodyPr upright="1"/>
                            </wps:wsp>
                            <wps:wsp>
                              <wps:cNvPr id="89" name="文本框 267"/>
                              <wps:cNvSpPr txBox="1"/>
                              <wps:spPr>
                                <a:xfrm>
                                  <a:off x="8560" y="653948"/>
                                  <a:ext cx="990" cy="393"/>
                                </a:xfrm>
                                <a:prstGeom prst="rect">
                                  <a:avLst/>
                                </a:prstGeom>
                                <a:noFill/>
                                <a:ln>
                                  <a:noFill/>
                                </a:ln>
                              </wps:spPr>
                              <wps:txbx>
                                <w:txbxContent>
                                  <w:p w14:paraId="5DC2903E">
                                    <w:pPr>
                                      <w:jc w:val="center"/>
                                      <w:rPr>
                                        <w:rFonts w:hint="default" w:eastAsia="宋体"/>
                                        <w:lang w:val="en-US" w:eastAsia="zh-CN"/>
                                      </w:rPr>
                                    </w:pPr>
                                    <w:r>
                                      <w:rPr>
                                        <w:rFonts w:hint="eastAsia"/>
                                        <w:lang w:val="en-US" w:eastAsia="zh-CN"/>
                                      </w:rPr>
                                      <w:t>1217.2</w:t>
                                    </w:r>
                                  </w:p>
                                </w:txbxContent>
                              </wps:txbx>
                              <wps:bodyPr vert="horz" wrap="square" anchor="t" anchorCtr="0" upright="1"/>
                            </wps:wsp>
                            <wps:wsp>
                              <wps:cNvPr id="178" name="文本框 276"/>
                              <wps:cNvSpPr txBox="1"/>
                              <wps:spPr>
                                <a:xfrm>
                                  <a:off x="5424" y="656180"/>
                                  <a:ext cx="1693" cy="448"/>
                                </a:xfrm>
                                <a:prstGeom prst="rect">
                                  <a:avLst/>
                                </a:prstGeom>
                                <a:noFill/>
                                <a:ln w="9525" cap="flat" cmpd="sng">
                                  <a:solidFill>
                                    <a:srgbClr val="000000"/>
                                  </a:solidFill>
                                  <a:prstDash val="solid"/>
                                  <a:miter/>
                                  <a:headEnd type="none" w="med" len="med"/>
                                  <a:tailEnd type="none" w="med" len="med"/>
                                </a:ln>
                              </wps:spPr>
                              <wps:txbx>
                                <w:txbxContent>
                                  <w:p w14:paraId="1C1C11B5">
                                    <w:pPr>
                                      <w:spacing w:line="300" w:lineRule="exact"/>
                                      <w:jc w:val="center"/>
                                      <w:rPr>
                                        <w:rFonts w:hint="default" w:ascii="宋体" w:hAnsi="宋体" w:eastAsia="宋体" w:cs="宋体"/>
                                        <w:lang w:val="en-US" w:eastAsia="zh-CN"/>
                                      </w:rPr>
                                    </w:pPr>
                                    <w:r>
                                      <w:rPr>
                                        <w:rFonts w:hint="eastAsia" w:ascii="宋体" w:hAnsi="宋体" w:cs="宋体"/>
                                        <w:lang w:val="en-US" w:eastAsia="zh-CN"/>
                                      </w:rPr>
                                      <w:t>地面冲洗水</w:t>
                                    </w:r>
                                  </w:p>
                                </w:txbxContent>
                              </wps:txbx>
                              <wps:bodyPr vert="horz" wrap="square" anchor="t" anchorCtr="0" upright="1"/>
                            </wps:wsp>
                            <wps:wsp>
                              <wps:cNvPr id="179" name="任意多边形 273"/>
                              <wps:cNvSpPr/>
                              <wps:spPr>
                                <a:xfrm rot="21360000">
                                  <a:off x="6007" y="655869"/>
                                  <a:ext cx="450" cy="275"/>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round/>
                                  <a:headEnd type="none" w="med" len="med"/>
                                  <a:tailEnd type="triangle" w="med" len="med"/>
                                </a:ln>
                              </wps:spPr>
                              <wps:bodyPr vert="horz" wrap="square" anchor="t" anchorCtr="0" upright="1"/>
                            </wps:wsp>
                            <wps:wsp>
                              <wps:cNvPr id="182" name="文本框 261"/>
                              <wps:cNvSpPr txBox="1"/>
                              <wps:spPr>
                                <a:xfrm>
                                  <a:off x="6239" y="655622"/>
                                  <a:ext cx="1481" cy="393"/>
                                </a:xfrm>
                                <a:prstGeom prst="rect">
                                  <a:avLst/>
                                </a:prstGeom>
                                <a:noFill/>
                                <a:ln>
                                  <a:noFill/>
                                </a:ln>
                              </wps:spPr>
                              <wps:txbx>
                                <w:txbxContent>
                                  <w:p w14:paraId="7AC02F2C">
                                    <w:pPr>
                                      <w:jc w:val="center"/>
                                      <w:rPr>
                                        <w:rFonts w:hint="default" w:eastAsia="宋体"/>
                                        <w:lang w:val="en-US" w:eastAsia="zh-CN"/>
                                      </w:rPr>
                                    </w:pPr>
                                    <w:r>
                                      <w:t>损耗</w:t>
                                    </w:r>
                                    <w:r>
                                      <w:rPr>
                                        <w:rFonts w:hint="eastAsia"/>
                                        <w:lang w:val="en-US" w:eastAsia="zh-CN"/>
                                      </w:rPr>
                                      <w:t>18.8</w:t>
                                    </w:r>
                                  </w:p>
                                </w:txbxContent>
                              </wps:txbx>
                              <wps:bodyPr vert="horz" wrap="square" anchor="t" anchorCtr="0" upright="1"/>
                            </wps:wsp>
                            <wps:wsp>
                              <wps:cNvPr id="183" name="肘形连接符 183"/>
                              <wps:cNvCnPr>
                                <a:stCxn id="178" idx="3"/>
                              </wps:cNvCnPr>
                              <wps:spPr>
                                <a:xfrm flipV="1">
                                  <a:off x="7117" y="655376"/>
                                  <a:ext cx="1628" cy="1028"/>
                                </a:xfrm>
                                <a:prstGeom prst="bentConnector3">
                                  <a:avLst>
                                    <a:gd name="adj1" fmla="val 99754"/>
                                  </a:avLst>
                                </a:prstGeom>
                                <a:ln w="9525" cap="flat" cmpd="sng">
                                  <a:solidFill>
                                    <a:srgbClr val="000000"/>
                                  </a:solidFill>
                                  <a:prstDash val="solid"/>
                                  <a:round/>
                                  <a:headEnd type="none" w="med" len="med"/>
                                  <a:tailEnd type="triangle" w="med" len="med"/>
                                </a:ln>
                              </wps:spPr>
                              <wps:bodyPr/>
                            </wps:wsp>
                            <wps:wsp>
                              <wps:cNvPr id="184" name="文本框 261"/>
                              <wps:cNvSpPr txBox="1"/>
                              <wps:spPr>
                                <a:xfrm>
                                  <a:off x="7184" y="655997"/>
                                  <a:ext cx="1481" cy="393"/>
                                </a:xfrm>
                                <a:prstGeom prst="rect">
                                  <a:avLst/>
                                </a:prstGeom>
                                <a:noFill/>
                                <a:ln>
                                  <a:noFill/>
                                </a:ln>
                              </wps:spPr>
                              <wps:txbx>
                                <w:txbxContent>
                                  <w:p w14:paraId="6C2F971D">
                                    <w:pPr>
                                      <w:jc w:val="center"/>
                                      <w:rPr>
                                        <w:rFonts w:hint="default" w:eastAsia="宋体"/>
                                        <w:lang w:val="en-US" w:eastAsia="zh-CN"/>
                                      </w:rPr>
                                    </w:pPr>
                                    <w:r>
                                      <w:rPr>
                                        <w:rFonts w:hint="eastAsia"/>
                                        <w:lang w:val="en-US" w:eastAsia="zh-CN"/>
                                      </w:rPr>
                                      <w:t>169.2</w:t>
                                    </w:r>
                                  </w:p>
                                </w:txbxContent>
                              </wps:txbx>
                              <wps:bodyPr vert="horz" wrap="square" anchor="t" anchorCtr="0" upright="1"/>
                            </wps:wsp>
                            <wps:wsp>
                              <wps:cNvPr id="185" name="直线 281"/>
                              <wps:cNvCnPr/>
                              <wps:spPr>
                                <a:xfrm>
                                  <a:off x="4702" y="656406"/>
                                  <a:ext cx="736" cy="1"/>
                                </a:xfrm>
                                <a:prstGeom prst="line">
                                  <a:avLst/>
                                </a:prstGeom>
                                <a:ln w="9525" cap="flat" cmpd="sng">
                                  <a:solidFill>
                                    <a:srgbClr val="000000"/>
                                  </a:solidFill>
                                  <a:prstDash val="solid"/>
                                  <a:round/>
                                  <a:headEnd type="none" w="med" len="med"/>
                                  <a:tailEnd type="triangle" w="med" len="med"/>
                                </a:ln>
                              </wps:spPr>
                              <wps:bodyPr upright="1"/>
                            </wps:wsp>
                            <wps:wsp>
                              <wps:cNvPr id="186" name="文本框 267"/>
                              <wps:cNvSpPr txBox="1"/>
                              <wps:spPr>
                                <a:xfrm>
                                  <a:off x="7000" y="654398"/>
                                  <a:ext cx="990" cy="393"/>
                                </a:xfrm>
                                <a:prstGeom prst="rect">
                                  <a:avLst/>
                                </a:prstGeom>
                                <a:noFill/>
                                <a:ln>
                                  <a:noFill/>
                                </a:ln>
                              </wps:spPr>
                              <wps:txbx>
                                <w:txbxContent>
                                  <w:p w14:paraId="64F22F49">
                                    <w:pPr>
                                      <w:jc w:val="center"/>
                                      <w:rPr>
                                        <w:rFonts w:hint="default" w:eastAsia="宋体"/>
                                        <w:lang w:val="en-US" w:eastAsia="zh-CN"/>
                                      </w:rPr>
                                    </w:pPr>
                                    <w:r>
                                      <w:rPr>
                                        <w:rFonts w:hint="eastAsia"/>
                                        <w:lang w:val="en-US" w:eastAsia="zh-CN"/>
                                      </w:rPr>
                                      <w:t>10480</w:t>
                                    </w:r>
                                  </w:p>
                                </w:txbxContent>
                              </wps:txbx>
                              <wps:bodyPr vert="horz" wrap="square" anchor="t" anchorCtr="0" upright="1"/>
                            </wps:wsp>
                            <wps:wsp>
                              <wps:cNvPr id="187" name="文本框 274"/>
                              <wps:cNvSpPr txBox="1"/>
                              <wps:spPr>
                                <a:xfrm>
                                  <a:off x="4228" y="656072"/>
                                  <a:ext cx="1481" cy="393"/>
                                </a:xfrm>
                                <a:prstGeom prst="rect">
                                  <a:avLst/>
                                </a:prstGeom>
                                <a:noFill/>
                                <a:ln>
                                  <a:noFill/>
                                </a:ln>
                              </wps:spPr>
                              <wps:txbx>
                                <w:txbxContent>
                                  <w:p w14:paraId="19B9E14D">
                                    <w:pPr>
                                      <w:jc w:val="center"/>
                                      <w:rPr>
                                        <w:rFonts w:hint="default" w:eastAsia="宋体"/>
                                        <w:lang w:val="en-US" w:eastAsia="zh-CN"/>
                                      </w:rPr>
                                    </w:pPr>
                                    <w:r>
                                      <w:rPr>
                                        <w:rFonts w:hint="eastAsia"/>
                                        <w:lang w:val="en-US" w:eastAsia="zh-CN"/>
                                      </w:rPr>
                                      <w:t>188</w:t>
                                    </w:r>
                                  </w:p>
                                </w:txbxContent>
                              </wps:txbx>
                              <wps:bodyPr vert="horz" wrap="square" anchor="t" anchorCtr="0" upright="1"/>
                            </wps:wsp>
                          </wpg:wgp>
                        </a:graphicData>
                      </a:graphic>
                    </wp:anchor>
                  </w:drawing>
                </mc:Choice>
                <mc:Fallback>
                  <w:pict>
                    <v:group id="_x0000_s1026" o:spid="_x0000_s1026" o:spt="203" style="position:absolute;left:0pt;margin-left:23.65pt;margin-top:11.45pt;height:229.3pt;width:366.5pt;z-index:251673600;mso-width-relative:page;mso-height-relative:page;" coordorigin="3337,652831" coordsize="7330,4586" o:gfxdata="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">
                      <o:lock v:ext="edit" aspectratio="f"/>
                      <v:shape id="Text Box 3389" o:spid="_x0000_s1026" o:spt="202" type="#_x0000_t202" style="position:absolute;left:3337;top:654356;height:486;width:1449;" filled="f" stroked="f" coordsize="21600,21600" o:gfxdata="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B7Z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110D349">
                              <w:pPr>
                                <w:jc w:val="left"/>
                                <w:rPr>
                                  <w:rFonts w:hint="default" w:eastAsia="宋体"/>
                                  <w:color w:val="FF0000"/>
                                  <w:lang w:val="en-US" w:eastAsia="zh-CN"/>
                                </w:rPr>
                              </w:pPr>
                              <w:r>
                                <w:t>新鲜</w:t>
                              </w:r>
                              <w:r>
                                <w:rPr>
                                  <w:rFonts w:hint="eastAsia"/>
                                </w:rPr>
                                <w:t>水</w:t>
                              </w:r>
                              <w:r>
                                <w:rPr>
                                  <w:rFonts w:hint="eastAsia"/>
                                  <w:lang w:val="en-US" w:eastAsia="zh-CN"/>
                                </w:rPr>
                                <w:t>2598</w:t>
                              </w:r>
                            </w:p>
                          </w:txbxContent>
                        </v:textbox>
                      </v:shape>
                      <v:line id="Line 3399" o:spid="_x0000_s1026" o:spt="20" style="position:absolute;left:4678;top:653550;height:1;width:736;"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3373" o:spid="_x0000_s1026" o:spt="1" style="position:absolute;left:9057;top:653314;height:490;width:1611;" filled="f" stroked="f" coordsize="21600,21600" o:gfxdata="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zzu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4B77A11">
                              <w:pPr>
                                <w:spacing w:line="300" w:lineRule="exact"/>
                                <w:jc w:val="center"/>
                                <w:rPr>
                                  <w:rFonts w:hint="eastAsia" w:ascii="宋体" w:hAnsi="宋体" w:eastAsia="宋体" w:cs="宋体"/>
                                  <w:lang w:eastAsia="zh-CN"/>
                                </w:rPr>
                              </w:pPr>
                              <w:r>
                                <w:rPr>
                                  <w:rFonts w:hint="eastAsia" w:ascii="宋体" w:hAnsi="宋体" w:eastAsia="宋体" w:cs="宋体"/>
                                  <w:lang w:eastAsia="zh-CN"/>
                                </w:rPr>
                                <w:t>市政污水管网</w:t>
                              </w:r>
                            </w:p>
                          </w:txbxContent>
                        </v:textbox>
                      </v:rect>
                      <v:shape id="Text Box 3391" o:spid="_x0000_s1026" o:spt="202" type="#_x0000_t202" style="position:absolute;left:5414;top:653307;height:448;width:1185;" filled="f" stroked="t" coordsize="21600,21600" o:gfxdata="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skP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2735B009">
                              <w:pPr>
                                <w:spacing w:line="300" w:lineRule="exact"/>
                                <w:rPr>
                                  <w:rFonts w:hint="eastAsia" w:ascii="宋体" w:hAnsi="宋体" w:cs="宋体"/>
                                </w:rPr>
                              </w:pPr>
                              <w:r>
                                <w:rPr>
                                  <w:rFonts w:hint="eastAsia" w:ascii="宋体" w:hAnsi="宋体" w:cs="宋体"/>
                                </w:rPr>
                                <w:t>生活用水</w:t>
                              </w:r>
                            </w:p>
                          </w:txbxContent>
                        </v:textbox>
                      </v:shape>
                      <v:line id="Line 3405" o:spid="_x0000_s1026" o:spt="20" style="position:absolute;left:6614;top:653562;height:1;width:675;" filled="f" stroked="t" coordsize="21600,21600" o:gfxdata="UEsDBAoAAAAAAIdO4kAAAAAAAAAAAAAAAAAEAAAAZHJzL1BLAwQUAAAACACHTuJA2AOqfL0AAADc&#10;AAAADwAAAGRycy9kb3ducmV2LnhtbEVPTYvCMBC9C/6HMII3Tauw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6p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59" o:spid="_x0000_s1026" o:spt="202" type="#_x0000_t202" style="position:absolute;left:6009;top:652831;height:393;width:1481;" filled="f" stroked="f" coordsize="21600,21600" o:gfxdata="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Z1N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1A73059">
                              <w:pPr>
                                <w:jc w:val="center"/>
                                <w:rPr>
                                  <w:rFonts w:hint="default" w:eastAsia="宋体"/>
                                  <w:lang w:val="en-US" w:eastAsia="zh-CN"/>
                                </w:rPr>
                              </w:pPr>
                              <w:r>
                                <w:t>损耗</w:t>
                              </w:r>
                              <w:r>
                                <w:rPr>
                                  <w:rFonts w:hint="eastAsia"/>
                                  <w:lang w:val="en-US" w:eastAsia="zh-CN"/>
                                </w:rPr>
                                <w:t>29.7</w:t>
                              </w:r>
                            </w:p>
                          </w:txbxContent>
                        </v:textbox>
                      </v:shape>
                      <v:shape id="FreeForm 3414" o:spid="_x0000_s1026" o:spt="100" style="position:absolute;left:5916;top:653073;height:275;width:450;rotation:-262144f;" filled="f" stroked="t" coordsize="690,230" o:gfxdata="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dHSi5AAAA3AAA&#10;AA8AAAAAAAAAAQAgAAAAIgAAAGRycy9kb3ducmV2LnhtbFBLAQIUABQAAAAIAIdO4kAzLwWeOwAA&#10;ADkAAAAQAAAAAAAAAAEAIAAAAAgBAABkcnMvc2hhcGV4bWwueG1sUEsFBgAAAAAGAAYAWwEAALID&#10;AAAAAA==&#10;" path="m0,230c180,202,360,175,390,140c420,105,130,40,180,20c230,0,460,10,690,20e">
                        <v:fill on="f" focussize="0,0"/>
                        <v:stroke color="#000000" joinstyle="round" dashstyle="dash" endarrow="block"/>
                        <v:imagedata o:title=""/>
                        <o:lock v:ext="edit" aspectratio="f"/>
                      </v:shape>
                      <v:line id="Line 3816" o:spid="_x0000_s1026" o:spt="20" style="position:absolute;left:8291;top:653557;height:1;width:929;" filled="f" stroked="t" coordsize="21600,21600" o:gfxdata="UEsDBAoAAAAAAIdO4kAAAAAAAAAAAAAAAAAEAAAAZHJzL1BLAwQUAAAACACHTuJAyHQJ5L0AAADc&#10;AAAADwAAAGRycy9kb3ducmV2LnhtbEVPS2vCQBC+C/6HZQRvukkL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An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68" o:spid="_x0000_s1026" o:spt="202" type="#_x0000_t202" style="position:absolute;left:6448;top:653241;height:393;width:990;" filled="f" stroked="f" coordsize="21600,21600" o:gfxdata="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tKp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DEFD93F">
                              <w:pPr>
                                <w:jc w:val="center"/>
                                <w:rPr>
                                  <w:rFonts w:hint="default" w:eastAsia="宋体"/>
                                  <w:lang w:val="en-US" w:eastAsia="zh-CN"/>
                                </w:rPr>
                              </w:pPr>
                              <w:r>
                                <w:rPr>
                                  <w:rFonts w:hint="eastAsia"/>
                                  <w:lang w:val="en-US" w:eastAsia="zh-CN"/>
                                </w:rPr>
                                <w:t>168.3</w:t>
                              </w:r>
                            </w:p>
                          </w:txbxContent>
                        </v:textbox>
                      </v:shape>
                      <v:shape id="文本框 267" o:spid="_x0000_s1026" o:spt="202" type="#_x0000_t202" style="position:absolute;left:8245;top:653257;height:393;width:990;" filled="f" stroked="f" coordsize="21600,21600" o:gfxdata="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Te1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AAD744A">
                              <w:pPr>
                                <w:jc w:val="center"/>
                                <w:rPr>
                                  <w:rFonts w:hint="default" w:eastAsia="宋体"/>
                                  <w:lang w:val="en-US" w:eastAsia="zh-CN"/>
                                </w:rPr>
                              </w:pPr>
                              <w:r>
                                <w:rPr>
                                  <w:rFonts w:hint="eastAsia"/>
                                  <w:lang w:val="en-US" w:eastAsia="zh-CN"/>
                                </w:rPr>
                                <w:t>168.3</w:t>
                              </w:r>
                            </w:p>
                          </w:txbxContent>
                        </v:textbox>
                      </v:shape>
                      <v:line id="直线 265" o:spid="_x0000_s1026" o:spt="20" style="position:absolute;left:4674;top:653543;height:2868;width:6;" filled="f" stroked="t" coordsize="21600,21600" o:gfxdata="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wjZs7gAAADcAAAA&#10;DwAAAAAAAAABACAAAAAiAAAAZHJzL2Rvd25yZXYueG1sUEsBAhQAFAAAAAgAh07iQDMvBZ47AAAA&#10;OQAAABAAAAAAAAAAAQAgAAAABwEAAGRycy9zaGFwZXhtbC54bWxQSwUGAAAAAAYABgBbAQAAsQMA&#10;AAAA&#10;">
                        <v:fill on="f" focussize="0,0"/>
                        <v:stroke color="#000001" joinstyle="round"/>
                        <v:imagedata o:title=""/>
                        <o:lock v:ext="edit" aspectratio="f"/>
                      </v:line>
                      <v:line id="直线 281" o:spid="_x0000_s1026" o:spt="20" style="position:absolute;left:4702;top:654741;height:1;width:736;"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76" o:spid="_x0000_s1026" o:spt="202" type="#_x0000_t202" style="position:absolute;left:5454;top:654515;height:448;width:1693;" filled="f" stroked="t" coordsize="21600,21600" o:gfxdata="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4ffO/&#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07B06941">
                              <w:pPr>
                                <w:spacing w:line="300" w:lineRule="exact"/>
                                <w:jc w:val="center"/>
                                <w:rPr>
                                  <w:rFonts w:hint="default" w:ascii="宋体" w:hAnsi="宋体" w:eastAsia="宋体" w:cs="宋体"/>
                                  <w:lang w:val="en-US" w:eastAsia="zh-CN"/>
                                </w:rPr>
                              </w:pPr>
                              <w:r>
                                <w:rPr>
                                  <w:rFonts w:hint="eastAsia" w:ascii="宋体" w:hAnsi="宋体" w:cs="宋体"/>
                                  <w:lang w:val="en-US" w:eastAsia="zh-CN"/>
                                </w:rPr>
                                <w:t>破碎、清洗用水</w:t>
                              </w:r>
                            </w:p>
                          </w:txbxContent>
                        </v:textbox>
                      </v:shape>
                      <v:line id="直线 275" o:spid="_x0000_s1026" o:spt="20" style="position:absolute;left:3470;top:654723;height:9;width:1207;"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79" o:spid="_x0000_s1026" o:spt="20" style="position:absolute;left:7142;top:654731;height:1;width:736;"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任意多边形 273" o:spid="_x0000_s1026" o:spt="100" style="position:absolute;left:6022;top:654219;height:275;width:450;rotation:-262144f;" filled="f" stroked="t" coordsize="690,230" o:gfxdata="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F8vOugAAANwA&#10;AAAPAAAAAAAAAAEAIAAAACIAAABkcnMvZG93bnJldi54bWxQSwECFAAUAAAACACHTuJAMy8FnjsA&#10;AAA5AAAAEAAAAAAAAAABACAAAAAJAQAAZHJzL3NoYXBleG1sLnhtbFBLBQYAAAAABgAGAFsBAACz&#10;AwAAAAA=&#10;" path="m0,230c180,202,360,175,390,140c420,105,130,40,180,20c230,0,460,10,690,20e">
                        <v:fill on="f" focussize="0,0"/>
                        <v:stroke color="#000000" joinstyle="round" dashstyle="dash" endarrow="block"/>
                        <v:imagedata o:title=""/>
                        <o:lock v:ext="edit" aspectratio="f"/>
                      </v:shape>
                      <v:shape id="文本框 261" o:spid="_x0000_s1026" o:spt="202" type="#_x0000_t202" style="position:absolute;left:6104;top:653912;height:393;width:1481;" filled="f" stroked="f" coordsize="21600,21600" o:gfxdata="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TAj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3BF7C65">
                              <w:pPr>
                                <w:jc w:val="center"/>
                                <w:rPr>
                                  <w:rFonts w:hint="default" w:eastAsia="宋体"/>
                                  <w:lang w:val="en-US" w:eastAsia="zh-CN"/>
                                </w:rPr>
                              </w:pPr>
                              <w:r>
                                <w:t>损耗</w:t>
                              </w:r>
                              <w:r>
                                <w:rPr>
                                  <w:rFonts w:hint="eastAsia"/>
                                  <w:lang w:val="en-US" w:eastAsia="zh-CN"/>
                                </w:rPr>
                                <w:t>1164</w:t>
                              </w:r>
                            </w:p>
                          </w:txbxContent>
                        </v:textbox>
                      </v:shape>
                      <v:shape id="文本框 258" o:spid="_x0000_s1026" o:spt="202" type="#_x0000_t202" style="position:absolute;left:4653;top:653235;height:393;width:656;" filled="f" stroked="f" coordsize="21600,21600" o:gfxdata="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Bn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C301EF8">
                              <w:pPr>
                                <w:jc w:val="both"/>
                                <w:rPr>
                                  <w:rFonts w:hint="default" w:eastAsia="宋体"/>
                                  <w:lang w:val="en-US" w:eastAsia="zh-CN"/>
                                </w:rPr>
                              </w:pPr>
                              <w:r>
                                <w:rPr>
                                  <w:rFonts w:hint="eastAsia"/>
                                  <w:lang w:val="en-US" w:eastAsia="zh-CN"/>
                                </w:rPr>
                                <w:t>198</w:t>
                              </w:r>
                            </w:p>
                          </w:txbxContent>
                        </v:textbox>
                      </v:shape>
                      <v:shape id="文本框 274" o:spid="_x0000_s1026" o:spt="202" type="#_x0000_t202" style="position:absolute;left:4318;top:654392;height:393;width:1481;" filled="f" stroked="f" coordsize="21600,21600"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EB0C5E9">
                              <w:pPr>
                                <w:jc w:val="center"/>
                                <w:rPr>
                                  <w:rFonts w:hint="default" w:eastAsia="宋体"/>
                                  <w:lang w:val="en-US" w:eastAsia="zh-CN"/>
                                </w:rPr>
                              </w:pPr>
                              <w:r>
                                <w:rPr>
                                  <w:rFonts w:hint="eastAsia"/>
                                  <w:lang w:val="en-US" w:eastAsia="zh-CN"/>
                                </w:rPr>
                                <w:t>2212</w:t>
                              </w:r>
                            </w:p>
                          </w:txbxContent>
                        </v:textbox>
                      </v:shape>
                      <v:shape id="文本框 277" o:spid="_x0000_s1026" o:spt="202" type="#_x0000_t202" style="position:absolute;left:6361;top:654987;height:393;width:1845;" filled="f" stroked="f" coordsize="21600,21600" o:gfxdata="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q2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3973ABF">
                              <w:pPr>
                                <w:jc w:val="center"/>
                                <w:rPr>
                                  <w:rFonts w:hint="default" w:eastAsia="宋体"/>
                                  <w:lang w:val="en-US" w:eastAsia="zh-CN"/>
                                </w:rPr>
                              </w:pPr>
                              <w:r>
                                <w:rPr>
                                  <w:rFonts w:hint="eastAsia" w:eastAsia="宋体"/>
                                  <w:lang w:val="en-US" w:eastAsia="zh-CN"/>
                                </w:rPr>
                                <w:t>循环回用</w:t>
                              </w:r>
                              <w:r>
                                <w:rPr>
                                  <w:rFonts w:hint="eastAsia"/>
                                  <w:lang w:val="en-US" w:eastAsia="zh-CN"/>
                                </w:rPr>
                                <w:t>9432</w:t>
                              </w:r>
                            </w:p>
                          </w:txbxContent>
                        </v:textbox>
                      </v:shape>
                      <v:shape id="文本框 272" o:spid="_x0000_s1026" o:spt="202" type="#_x0000_t202" style="position:absolute;left:7877;top:654531;height:448;width:1752;" filled="f" stroked="t" coordsize="21600,21600" o:gfxdata="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5x9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1C56A44C">
                              <w:pPr>
                                <w:spacing w:line="300" w:lineRule="exact"/>
                                <w:rPr>
                                  <w:rFonts w:hint="default" w:ascii="宋体" w:hAnsi="宋体" w:eastAsia="宋体" w:cs="宋体"/>
                                  <w:lang w:val="en-US" w:eastAsia="zh-CN"/>
                                </w:rPr>
                              </w:pPr>
                              <w:r>
                                <w:rPr>
                                  <w:rFonts w:hint="eastAsia" w:ascii="宋体" w:hAnsi="宋体" w:cs="宋体"/>
                                  <w:lang w:val="en-US" w:eastAsia="zh-CN"/>
                                </w:rPr>
                                <w:t>污水处理设施</w:t>
                              </w:r>
                            </w:p>
                          </w:txbxContent>
                        </v:textbox>
                      </v:shape>
                      <v:shape id="Text Box 3391" o:spid="_x0000_s1026" o:spt="202" type="#_x0000_t202" style="position:absolute;left:7283;top:653344;height:448;width:1001;" filled="f" stroked="t" coordsize="21600,21600" o:gfxdata="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1Ot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6ACF683B">
                              <w:pPr>
                                <w:spacing w:line="300" w:lineRule="exact"/>
                                <w:jc w:val="center"/>
                                <w:rPr>
                                  <w:rFonts w:hint="eastAsia" w:ascii="宋体" w:hAnsi="宋体" w:eastAsia="宋体" w:cs="宋体"/>
                                  <w:lang w:eastAsia="zh-CN"/>
                                </w:rPr>
                              </w:pPr>
                              <w:r>
                                <w:rPr>
                                  <w:rFonts w:hint="eastAsia" w:ascii="宋体" w:hAnsi="宋体" w:cs="宋体"/>
                                  <w:lang w:eastAsia="zh-CN"/>
                                </w:rPr>
                                <w:t>化粪池</w:t>
                              </w:r>
                            </w:p>
                          </w:txbxContent>
                        </v:textbox>
                      </v:shape>
                      <v:shape id="自选图形 285" o:spid="_x0000_s1026" o:spt="34" type="#_x0000_t34" style="position:absolute;left:7519;top:653745;flip:x;height:2452;width:16;rotation:-5898240f;" filled="f" stroked="t" coordsize="21600,21600" o:gfxdata="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dAumugAAANwA&#10;AAAPAAAAAAAAAAEAIAAAACIAAABkcnMvZG93bnJldi54bWxQSwECFAAUAAAACACHTuJAMy8FnjsA&#10;AAA5AAAAEAAAAAAAAAABACAAAAAJAQAAZHJzL3NoYXBleG1sLnhtbFBLBQYAAAAABgAGAFsBAACz&#10;AwAAAAA=&#10;" adj="-506250">
                        <v:fill on="f" focussize="0,0"/>
                        <v:stroke color="#000000" joinstyle="miter" endarrow="block"/>
                        <v:imagedata o:title=""/>
                        <o:lock v:ext="edit" aspectratio="f"/>
                      </v:shape>
                      <v:shape id="Text Box 3413" o:spid="_x0000_s1026" o:spt="202" type="#_x0000_t202" style="position:absolute;left:4582;top:656901;height:516;width:5083;"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454AD15">
                              <w:pPr>
                                <w:jc w:val="center"/>
                                <w:rPr>
                                  <w:color w:val="FF0000"/>
                                  <w:sz w:val="24"/>
                                </w:rPr>
                              </w:pPr>
                              <w:r>
                                <w:rPr>
                                  <w:rFonts w:eastAsia="黑体"/>
                                  <w:color w:val="FF0000"/>
                                  <w:sz w:val="24"/>
                                </w:rPr>
                                <w:t>图</w:t>
                              </w:r>
                              <w:r>
                                <w:rPr>
                                  <w:rFonts w:hint="eastAsia" w:eastAsia="黑体"/>
                                  <w:color w:val="FF0000"/>
                                  <w:sz w:val="24"/>
                                </w:rPr>
                                <w:t>2.2-</w:t>
                              </w:r>
                              <w:r>
                                <w:rPr>
                                  <w:rFonts w:hint="eastAsia" w:eastAsia="黑体"/>
                                  <w:color w:val="FF0000"/>
                                  <w:sz w:val="24"/>
                                  <w:lang w:val="en-US" w:eastAsia="zh-CN"/>
                                </w:rPr>
                                <w:t>1</w:t>
                              </w:r>
                              <w:r>
                                <w:rPr>
                                  <w:rFonts w:eastAsia="黑体"/>
                                  <w:color w:val="FF0000"/>
                                  <w:sz w:val="24"/>
                                </w:rPr>
                                <w:t xml:space="preserve">  项目水平衡图(单位：t/</w:t>
                              </w:r>
                              <w:r>
                                <w:rPr>
                                  <w:rFonts w:hint="eastAsia" w:eastAsia="黑体"/>
                                  <w:color w:val="FF0000"/>
                                  <w:sz w:val="24"/>
                                  <w:lang w:val="en-US" w:eastAsia="zh-CN"/>
                                </w:rPr>
                                <w:t>a</w:t>
                              </w:r>
                              <w:r>
                                <w:rPr>
                                  <w:rFonts w:eastAsia="黑体"/>
                                  <w:color w:val="FF0000"/>
                                  <w:sz w:val="24"/>
                                </w:rPr>
                                <w:t>)</w:t>
                              </w:r>
                            </w:p>
                          </w:txbxContent>
                        </v:textbox>
                      </v:shape>
                      <v:line id="直线 279" o:spid="_x0000_s1026" o:spt="20" style="position:absolute;left:8740;top:653651;flip:x y;height:880;width:13;" filled="f" stroked="t" coordsize="21600,21600" o:gfxdata="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uORm5AAAA2w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line>
                      <v:shape id="文本框 267" o:spid="_x0000_s1026" o:spt="202" type="#_x0000_t202" style="position:absolute;left:8560;top:653948;height:393;width:990;"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DC2903E">
                              <w:pPr>
                                <w:jc w:val="center"/>
                                <w:rPr>
                                  <w:rFonts w:hint="default" w:eastAsia="宋体"/>
                                  <w:lang w:val="en-US" w:eastAsia="zh-CN"/>
                                </w:rPr>
                              </w:pPr>
                              <w:r>
                                <w:rPr>
                                  <w:rFonts w:hint="eastAsia"/>
                                  <w:lang w:val="en-US" w:eastAsia="zh-CN"/>
                                </w:rPr>
                                <w:t>1217.2</w:t>
                              </w:r>
                            </w:p>
                          </w:txbxContent>
                        </v:textbox>
                      </v:shape>
                      <v:shape id="文本框 276" o:spid="_x0000_s1026" o:spt="202" type="#_x0000_t202" style="position:absolute;left:5424;top:656180;height:448;width:1693;" filled="f" stroked="t" coordsize="21600,21600" o:gfxdata="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h7T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1C1C11B5">
                              <w:pPr>
                                <w:spacing w:line="300" w:lineRule="exact"/>
                                <w:jc w:val="center"/>
                                <w:rPr>
                                  <w:rFonts w:hint="default" w:ascii="宋体" w:hAnsi="宋体" w:eastAsia="宋体" w:cs="宋体"/>
                                  <w:lang w:val="en-US" w:eastAsia="zh-CN"/>
                                </w:rPr>
                              </w:pPr>
                              <w:r>
                                <w:rPr>
                                  <w:rFonts w:hint="eastAsia" w:ascii="宋体" w:hAnsi="宋体" w:cs="宋体"/>
                                  <w:lang w:val="en-US" w:eastAsia="zh-CN"/>
                                </w:rPr>
                                <w:t>地面冲洗水</w:t>
                              </w:r>
                            </w:p>
                          </w:txbxContent>
                        </v:textbox>
                      </v:shape>
                      <v:shape id="任意多边形 273" o:spid="_x0000_s1026" o:spt="100" style="position:absolute;left:6007;top:655869;height:275;width:450;rotation:-262144f;" filled="f" stroked="t" coordsize="690,230" o:gfxdata="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eq7tugAAANwA&#10;AAAPAAAAAAAAAAEAIAAAACIAAABkcnMvZG93bnJldi54bWxQSwECFAAUAAAACACHTuJAMy8FnjsA&#10;AAA5AAAAEAAAAAAAAAABACAAAAAJAQAAZHJzL3NoYXBleG1sLnhtbFBLBQYAAAAABgAGAFsBAACz&#10;AwAAAAA=&#10;" path="m0,230c180,202,360,175,390,140c420,105,130,40,180,20c230,0,460,10,690,20e">
                        <v:fill on="f" focussize="0,0"/>
                        <v:stroke color="#000000" joinstyle="round" dashstyle="dash" endarrow="block"/>
                        <v:imagedata o:title=""/>
                        <o:lock v:ext="edit" aspectratio="f"/>
                      </v:shape>
                      <v:shape id="文本框 261" o:spid="_x0000_s1026" o:spt="202" type="#_x0000_t202" style="position:absolute;left:6239;top:655622;height:393;width:1481;" filled="f" stroked="f" coordsize="21600,21600" o:gfxdata="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DIN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AC02F2C">
                              <w:pPr>
                                <w:jc w:val="center"/>
                                <w:rPr>
                                  <w:rFonts w:hint="default" w:eastAsia="宋体"/>
                                  <w:lang w:val="en-US" w:eastAsia="zh-CN"/>
                                </w:rPr>
                              </w:pPr>
                              <w:r>
                                <w:t>损耗</w:t>
                              </w:r>
                              <w:r>
                                <w:rPr>
                                  <w:rFonts w:hint="eastAsia"/>
                                  <w:lang w:val="en-US" w:eastAsia="zh-CN"/>
                                </w:rPr>
                                <w:t>18.8</w:t>
                              </w:r>
                            </w:p>
                          </w:txbxContent>
                        </v:textbox>
                      </v:shape>
                      <v:shape id="_x0000_s1026" o:spid="_x0000_s1026" o:spt="34" type="#_x0000_t34" style="position:absolute;left:7117;top:655376;flip:y;height:1028;width:1628;" filled="f" stroked="t" coordsize="21600,21600" o:gfxdata="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8B5uO5AAAA3AAA&#10;AA8AAAAAAAAAAQAgAAAAIgAAAGRycy9kb3ducmV2LnhtbFBLAQIUABQAAAAIAIdO4kAzLwWeOwAA&#10;ADkAAAAQAAAAAAAAAAEAIAAAAAgBAABkcnMvc2hhcGV4bWwueG1sUEsFBgAAAAAGAAYAWwEAALID&#10;AAAAAA==&#10;" adj="21547">
                        <v:fill on="f" focussize="0,0"/>
                        <v:stroke color="#000000" joinstyle="round" endarrow="block"/>
                        <v:imagedata o:title=""/>
                        <o:lock v:ext="edit" aspectratio="f"/>
                      </v:shape>
                      <v:shape id="文本框 261" o:spid="_x0000_s1026" o:spt="202" type="#_x0000_t202" style="position:absolute;left:7184;top:655997;height:393;width:1481;" filled="f" stroked="f" coordsize="21600,21600" o:gfxdata="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mHTS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C2F971D">
                              <w:pPr>
                                <w:jc w:val="center"/>
                                <w:rPr>
                                  <w:rFonts w:hint="default" w:eastAsia="宋体"/>
                                  <w:lang w:val="en-US" w:eastAsia="zh-CN"/>
                                </w:rPr>
                              </w:pPr>
                              <w:r>
                                <w:rPr>
                                  <w:rFonts w:hint="eastAsia"/>
                                  <w:lang w:val="en-US" w:eastAsia="zh-CN"/>
                                </w:rPr>
                                <w:t>169.2</w:t>
                              </w:r>
                            </w:p>
                          </w:txbxContent>
                        </v:textbox>
                      </v:shape>
                      <v:line id="直线 281" o:spid="_x0000_s1026" o:spt="20" style="position:absolute;left:4702;top:656406;height:1;width:736;"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67" o:spid="_x0000_s1026" o:spt="202" type="#_x0000_t202" style="position:absolute;left:7000;top:654398;height:393;width:990;" filled="f" stroked="f" coordsize="21600,21600" o:gfxdata="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Cb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4F22F49">
                              <w:pPr>
                                <w:jc w:val="center"/>
                                <w:rPr>
                                  <w:rFonts w:hint="default" w:eastAsia="宋体"/>
                                  <w:lang w:val="en-US" w:eastAsia="zh-CN"/>
                                </w:rPr>
                              </w:pPr>
                              <w:r>
                                <w:rPr>
                                  <w:rFonts w:hint="eastAsia"/>
                                  <w:lang w:val="en-US" w:eastAsia="zh-CN"/>
                                </w:rPr>
                                <w:t>10480</w:t>
                              </w:r>
                            </w:p>
                          </w:txbxContent>
                        </v:textbox>
                      </v:shape>
                      <v:shape id="文本框 274" o:spid="_x0000_s1026" o:spt="202" type="#_x0000_t202" style="position:absolute;left:4228;top:656072;height:393;width:1481;" filled="f" stroked="f" coordsize="21600,21600" o:gfxdata="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0g0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9B9E14D">
                              <w:pPr>
                                <w:jc w:val="center"/>
                                <w:rPr>
                                  <w:rFonts w:hint="default" w:eastAsia="宋体"/>
                                  <w:lang w:val="en-US" w:eastAsia="zh-CN"/>
                                </w:rPr>
                              </w:pPr>
                              <w:r>
                                <w:rPr>
                                  <w:rFonts w:hint="eastAsia"/>
                                  <w:lang w:val="en-US" w:eastAsia="zh-CN"/>
                                </w:rPr>
                                <w:t>188</w:t>
                              </w:r>
                            </w:p>
                          </w:txbxContent>
                        </v:textbox>
                      </v:shape>
                    </v:group>
                  </w:pict>
                </mc:Fallback>
              </mc:AlternateContent>
            </w:r>
          </w:p>
          <w:p w14:paraId="027703D5">
            <w:pPr>
              <w:pStyle w:val="12"/>
              <w:rPr>
                <w:rFonts w:hint="default" w:ascii="Times New Roman" w:hAnsi="Times New Roman" w:eastAsia="宋体" w:cs="Times New Roman"/>
                <w:color w:val="auto"/>
                <w:kern w:val="2"/>
                <w:sz w:val="24"/>
                <w:szCs w:val="24"/>
                <w:lang w:val="en-US" w:eastAsia="zh-CN" w:bidi="ar-SA"/>
              </w:rPr>
            </w:pPr>
          </w:p>
          <w:p w14:paraId="25782B43">
            <w:pPr>
              <w:pStyle w:val="11"/>
              <w:rPr>
                <w:rFonts w:hint="default" w:ascii="Times New Roman" w:hAnsi="Times New Roman" w:eastAsia="宋体" w:cs="Times New Roman"/>
                <w:color w:val="auto"/>
                <w:kern w:val="2"/>
                <w:sz w:val="24"/>
                <w:szCs w:val="24"/>
                <w:lang w:val="en-US" w:eastAsia="zh-CN" w:bidi="ar-SA"/>
              </w:rPr>
            </w:pPr>
          </w:p>
          <w:p w14:paraId="3F057DA7">
            <w:pPr>
              <w:rPr>
                <w:rFonts w:hint="default" w:ascii="Times New Roman" w:hAnsi="Times New Roman" w:eastAsia="宋体" w:cs="Times New Roman"/>
                <w:color w:val="auto"/>
                <w:kern w:val="2"/>
                <w:sz w:val="24"/>
                <w:szCs w:val="24"/>
                <w:lang w:val="en-US" w:eastAsia="zh-CN" w:bidi="ar-SA"/>
              </w:rPr>
            </w:pPr>
          </w:p>
          <w:p w14:paraId="7678AF65">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auto"/>
                <w:kern w:val="2"/>
                <w:sz w:val="24"/>
                <w:szCs w:val="24"/>
                <w:lang w:val="en-US" w:eastAsia="zh-CN" w:bidi="ar-SA"/>
              </w:rPr>
            </w:pPr>
          </w:p>
          <w:p w14:paraId="38CA76A5">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auto"/>
                <w:kern w:val="2"/>
                <w:sz w:val="24"/>
                <w:szCs w:val="24"/>
                <w:lang w:val="en-US" w:eastAsia="zh-CN" w:bidi="ar-SA"/>
              </w:rPr>
            </w:pPr>
          </w:p>
          <w:p w14:paraId="07546141">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auto"/>
                <w:kern w:val="2"/>
                <w:sz w:val="24"/>
                <w:szCs w:val="24"/>
                <w:lang w:val="en-US" w:eastAsia="zh-CN" w:bidi="ar-SA"/>
              </w:rPr>
            </w:pPr>
          </w:p>
          <w:p w14:paraId="37AC9FDF">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auto"/>
                <w:kern w:val="2"/>
                <w:sz w:val="24"/>
                <w:szCs w:val="24"/>
                <w:lang w:val="en-US" w:eastAsia="zh-CN" w:bidi="ar-SA"/>
              </w:rPr>
            </w:pPr>
          </w:p>
          <w:p w14:paraId="29028826">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auto"/>
                <w:kern w:val="2"/>
                <w:sz w:val="24"/>
                <w:szCs w:val="24"/>
                <w:lang w:val="en-US" w:eastAsia="zh-CN" w:bidi="ar-SA"/>
              </w:rPr>
            </w:pPr>
          </w:p>
          <w:p w14:paraId="331D148D">
            <w:pPr>
              <w:keepNext/>
              <w:keepLines/>
              <w:widowControl w:val="0"/>
              <w:bidi w:val="0"/>
              <w:spacing w:beforeAutospacing="0" w:afterAutospacing="0" w:line="360" w:lineRule="auto"/>
              <w:jc w:val="both"/>
              <w:outlineLvl w:val="2"/>
              <w:rPr>
                <w:rFonts w:hint="default" w:ascii="Times New Roman" w:hAnsi="Times New Roman" w:eastAsia="宋体" w:cs="Times New Roman"/>
                <w:b/>
                <w:color w:val="auto"/>
                <w:kern w:val="2"/>
                <w:sz w:val="24"/>
                <w:szCs w:val="24"/>
                <w:lang w:val="en-US" w:eastAsia="zh-CN" w:bidi="ar-SA"/>
              </w:rPr>
            </w:pPr>
          </w:p>
          <w:p w14:paraId="31E673F6">
            <w:pPr>
              <w:keepNext/>
              <w:keepLines/>
              <w:widowControl w:val="0"/>
              <w:bidi w:val="0"/>
              <w:spacing w:beforeAutospacing="0" w:afterAutospacing="0" w:line="360" w:lineRule="auto"/>
              <w:jc w:val="both"/>
              <w:outlineLvl w:val="2"/>
              <w:rPr>
                <w:rFonts w:hint="default" w:ascii="Times New Roman" w:hAnsi="Times New Roman" w:eastAsia="宋体" w:cs="Times New Roman"/>
                <w:b/>
                <w:color w:val="auto"/>
                <w:kern w:val="2"/>
                <w:sz w:val="24"/>
                <w:szCs w:val="24"/>
                <w:lang w:val="en-US" w:eastAsia="zh-CN" w:bidi="ar-SA"/>
              </w:rPr>
            </w:pPr>
          </w:p>
          <w:p w14:paraId="7047476C">
            <w:pPr>
              <w:keepNext/>
              <w:keepLines/>
              <w:widowControl w:val="0"/>
              <w:bidi w:val="0"/>
              <w:spacing w:beforeAutospacing="0" w:afterAutospacing="0" w:line="360" w:lineRule="auto"/>
              <w:jc w:val="both"/>
              <w:outlineLvl w:val="2"/>
              <w:rPr>
                <w:rFonts w:hint="default" w:ascii="Times New Roman" w:hAnsi="Times New Roman" w:eastAsia="宋体" w:cs="Times New Roman"/>
                <w:b/>
                <w:color w:val="auto"/>
                <w:kern w:val="2"/>
                <w:sz w:val="24"/>
                <w:szCs w:val="24"/>
                <w:lang w:val="en-US" w:eastAsia="zh-CN" w:bidi="ar-SA"/>
              </w:rPr>
            </w:pPr>
          </w:p>
          <w:p w14:paraId="69A7D7CA">
            <w:pPr>
              <w:keepNext/>
              <w:keepLines/>
              <w:widowControl w:val="0"/>
              <w:bidi w:val="0"/>
              <w:spacing w:beforeAutospacing="0" w:afterAutospacing="0" w:line="360" w:lineRule="auto"/>
              <w:jc w:val="both"/>
              <w:outlineLvl w:val="2"/>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2.2.</w:t>
            </w:r>
            <w:r>
              <w:rPr>
                <w:rFonts w:hint="default" w:ascii="Times New Roman" w:hAnsi="Times New Roman" w:cs="Times New Roman"/>
                <w:b/>
                <w:color w:val="auto"/>
                <w:kern w:val="2"/>
                <w:sz w:val="24"/>
                <w:szCs w:val="24"/>
                <w:lang w:val="en-US" w:eastAsia="zh-CN" w:bidi="ar-SA"/>
              </w:rPr>
              <w:t>8</w:t>
            </w:r>
            <w:r>
              <w:rPr>
                <w:rFonts w:hint="default" w:ascii="Times New Roman" w:hAnsi="Times New Roman" w:eastAsia="宋体" w:cs="Times New Roman"/>
                <w:b/>
                <w:color w:val="auto"/>
                <w:kern w:val="2"/>
                <w:sz w:val="24"/>
                <w:szCs w:val="24"/>
                <w:lang w:val="en-US" w:eastAsia="zh-CN" w:bidi="ar-SA"/>
              </w:rPr>
              <w:t xml:space="preserve"> 项目平面布置合理性分析</w:t>
            </w:r>
          </w:p>
          <w:p w14:paraId="122BFCE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rPr>
              <w:t>平面布置方案功能划分相对清晰，在满足生产条件要求的前提下，充分利用厂区空间进行设备布置，布局紧凑，生产流程比较流畅，布局基本合理。</w:t>
            </w:r>
            <w:r>
              <w:rPr>
                <w:rFonts w:hint="default" w:ascii="Times New Roman" w:hAnsi="Times New Roman" w:cs="Times New Roman"/>
                <w:color w:val="auto"/>
                <w:sz w:val="24"/>
                <w:lang w:val="en-US" w:eastAsia="zh-CN"/>
              </w:rPr>
              <w:t>平面布置图</w:t>
            </w:r>
            <w:r>
              <w:rPr>
                <w:rFonts w:hint="default" w:ascii="Times New Roman" w:hAnsi="Times New Roman" w:cs="Times New Roman"/>
                <w:color w:val="auto"/>
                <w:sz w:val="24"/>
              </w:rPr>
              <w:t>详见</w:t>
            </w:r>
            <w:r>
              <w:rPr>
                <w:rFonts w:hint="default" w:ascii="Times New Roman" w:hAnsi="Times New Roman" w:cs="Times New Roman"/>
                <w:b w:val="0"/>
                <w:bCs w:val="0"/>
                <w:color w:val="auto"/>
                <w:sz w:val="24"/>
                <w:highlight w:val="none"/>
              </w:rPr>
              <w:t>附图</w:t>
            </w:r>
            <w:r>
              <w:rPr>
                <w:rFonts w:hint="eastAsia" w:cs="Times New Roman"/>
                <w:b w:val="0"/>
                <w:bCs w:val="0"/>
                <w:color w:val="auto"/>
                <w:sz w:val="24"/>
                <w:highlight w:val="none"/>
                <w:lang w:val="en-US" w:eastAsia="zh-CN"/>
              </w:rPr>
              <w:t>5</w:t>
            </w:r>
            <w:r>
              <w:rPr>
                <w:rFonts w:hint="default" w:ascii="Times New Roman" w:hAnsi="Times New Roman" w:cs="Times New Roman"/>
                <w:b w:val="0"/>
                <w:bCs w:val="0"/>
                <w:color w:val="auto"/>
                <w:sz w:val="24"/>
                <w:highlight w:val="none"/>
                <w:lang w:val="en-US" w:eastAsia="zh-CN"/>
              </w:rPr>
              <w:t>。</w:t>
            </w:r>
          </w:p>
          <w:p w14:paraId="5695534F">
            <w:pPr>
              <w:pStyle w:val="13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建设单位在厂房中间设置过道，过道将厂区一分为二，厂区总共设置1条</w:t>
            </w:r>
            <w:r>
              <w:rPr>
                <w:rFonts w:hint="eastAsia" w:ascii="Times New Roman" w:hAnsi="Times New Roman" w:eastAsia="宋体" w:cs="Times New Roman"/>
                <w:color w:val="auto"/>
                <w:kern w:val="2"/>
                <w:sz w:val="24"/>
                <w:szCs w:val="24"/>
                <w:lang w:val="en-US" w:eastAsia="zh-CN" w:bidi="ar-SA"/>
              </w:rPr>
              <w:t>塑料</w:t>
            </w:r>
            <w:r>
              <w:rPr>
                <w:rFonts w:hint="default" w:ascii="Times New Roman" w:hAnsi="Times New Roman" w:eastAsia="宋体" w:cs="Times New Roman"/>
                <w:color w:val="auto"/>
                <w:kern w:val="2"/>
                <w:sz w:val="24"/>
                <w:szCs w:val="24"/>
                <w:lang w:val="en-US" w:eastAsia="zh-CN" w:bidi="ar-SA"/>
              </w:rPr>
              <w:t>清洗</w:t>
            </w:r>
            <w:r>
              <w:rPr>
                <w:rFonts w:hint="eastAsia" w:ascii="Times New Roman" w:hAnsi="Times New Roman" w:eastAsia="宋体" w:cs="Times New Roman"/>
                <w:color w:val="auto"/>
                <w:kern w:val="2"/>
                <w:sz w:val="24"/>
                <w:szCs w:val="24"/>
                <w:lang w:val="en-US" w:eastAsia="zh-CN" w:bidi="ar-SA"/>
              </w:rPr>
              <w:t>破碎</w:t>
            </w:r>
            <w:r>
              <w:rPr>
                <w:rFonts w:hint="default" w:ascii="Times New Roman" w:hAnsi="Times New Roman" w:eastAsia="宋体" w:cs="Times New Roman"/>
                <w:color w:val="auto"/>
                <w:kern w:val="2"/>
                <w:sz w:val="24"/>
                <w:szCs w:val="24"/>
                <w:lang w:val="en-US" w:eastAsia="zh-CN" w:bidi="ar-SA"/>
              </w:rPr>
              <w:t>线，1条</w:t>
            </w:r>
            <w:r>
              <w:rPr>
                <w:rFonts w:hint="eastAsia" w:ascii="Times New Roman" w:hAnsi="Times New Roman" w:eastAsia="宋体" w:cs="Times New Roman"/>
                <w:color w:val="auto"/>
                <w:kern w:val="2"/>
                <w:sz w:val="24"/>
                <w:szCs w:val="24"/>
                <w:lang w:val="en-US" w:eastAsia="zh-CN" w:bidi="ar-SA"/>
              </w:rPr>
              <w:t>玻璃</w:t>
            </w:r>
            <w:r>
              <w:rPr>
                <w:rFonts w:hint="default" w:ascii="Times New Roman" w:hAnsi="Times New Roman" w:eastAsia="宋体" w:cs="Times New Roman"/>
                <w:color w:val="auto"/>
                <w:kern w:val="2"/>
                <w:sz w:val="24"/>
                <w:szCs w:val="24"/>
                <w:lang w:val="en-US" w:eastAsia="zh-CN" w:bidi="ar-SA"/>
              </w:rPr>
              <w:t>破碎清洗线。厂房北侧区域，由西往东依次为环保设施、成品区；厂房南侧区域，由西往东依次为原料区、破碎线、清洗线。</w:t>
            </w:r>
          </w:p>
          <w:p w14:paraId="4E8E9544">
            <w:pPr>
              <w:keepNext w:val="0"/>
              <w:keepLines w:val="0"/>
              <w:pageBreakBefore w:val="0"/>
              <w:widowControl w:val="0"/>
              <w:tabs>
                <w:tab w:val="left" w:pos="5184"/>
              </w:tabs>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1"/>
              </w:rPr>
            </w:pPr>
            <w:r>
              <w:rPr>
                <w:rFonts w:hint="eastAsia"/>
                <w:color w:val="auto"/>
                <w:sz w:val="24"/>
                <w:szCs w:val="21"/>
              </w:rPr>
              <w:t>根据</w:t>
            </w:r>
            <w:r>
              <w:rPr>
                <w:rFonts w:hint="eastAsia"/>
                <w:color w:val="auto"/>
                <w:sz w:val="24"/>
                <w:szCs w:val="21"/>
                <w:lang w:val="en-US" w:eastAsia="zh-CN"/>
              </w:rPr>
              <w:t>业主提供的资料</w:t>
            </w:r>
            <w:r>
              <w:rPr>
                <w:rFonts w:hint="eastAsia"/>
                <w:color w:val="auto"/>
                <w:sz w:val="24"/>
                <w:szCs w:val="21"/>
              </w:rPr>
              <w:t>，</w:t>
            </w:r>
            <w:r>
              <w:rPr>
                <w:rFonts w:hint="eastAsia"/>
                <w:color w:val="auto"/>
                <w:sz w:val="24"/>
                <w:szCs w:val="21"/>
                <w:lang w:val="en-US" w:eastAsia="zh-CN"/>
              </w:rPr>
              <w:t>项目原料暂存区面积为66</w:t>
            </w:r>
            <w:r>
              <w:rPr>
                <w:rFonts w:hint="eastAsia"/>
                <w:color w:val="auto"/>
                <w:sz w:val="24"/>
              </w:rPr>
              <w:t>m</w:t>
            </w:r>
            <w:r>
              <w:rPr>
                <w:rFonts w:hint="eastAsia"/>
                <w:color w:val="auto"/>
                <w:sz w:val="24"/>
                <w:vertAlign w:val="superscript"/>
              </w:rPr>
              <w:t>2</w:t>
            </w:r>
            <w:r>
              <w:rPr>
                <w:rFonts w:hint="eastAsia"/>
                <w:color w:val="auto"/>
                <w:sz w:val="24"/>
                <w:vertAlign w:val="baseline"/>
                <w:lang w:eastAsia="zh-CN"/>
              </w:rPr>
              <w:t>，</w:t>
            </w:r>
            <w:r>
              <w:rPr>
                <w:rFonts w:hint="eastAsia"/>
                <w:color w:val="auto"/>
                <w:sz w:val="24"/>
                <w:vertAlign w:val="baseline"/>
                <w:lang w:val="en-US" w:eastAsia="zh-CN"/>
              </w:rPr>
              <w:t>日平均回收塑料输液瓶</w:t>
            </w:r>
            <w:r>
              <w:rPr>
                <w:rFonts w:hint="eastAsia"/>
                <w:color w:val="auto"/>
                <w:sz w:val="24"/>
                <w:szCs w:val="21"/>
              </w:rPr>
              <w:t>（袋）20</w:t>
            </w:r>
            <w:r>
              <w:rPr>
                <w:rFonts w:hint="eastAsia"/>
                <w:color w:val="auto"/>
                <w:sz w:val="24"/>
                <w:szCs w:val="21"/>
                <w:lang w:val="en-US" w:eastAsia="zh-CN"/>
              </w:rPr>
              <w:t>t</w:t>
            </w:r>
            <w:r>
              <w:rPr>
                <w:rFonts w:hint="eastAsia"/>
                <w:color w:val="auto"/>
                <w:sz w:val="24"/>
                <w:szCs w:val="21"/>
              </w:rPr>
              <w:t>，玻璃输液瓶</w:t>
            </w:r>
            <w:r>
              <w:rPr>
                <w:rFonts w:hint="eastAsia"/>
                <w:color w:val="auto"/>
                <w:sz w:val="24"/>
                <w:szCs w:val="21"/>
                <w:lang w:val="en-US" w:eastAsia="zh-CN"/>
              </w:rPr>
              <w:t>12.1t</w:t>
            </w:r>
            <w:r>
              <w:rPr>
                <w:rFonts w:hint="eastAsia"/>
                <w:color w:val="auto"/>
                <w:sz w:val="24"/>
                <w:szCs w:val="21"/>
                <w:lang w:eastAsia="zh-CN"/>
              </w:rPr>
              <w:t>，</w:t>
            </w:r>
            <w:r>
              <w:rPr>
                <w:rFonts w:hint="eastAsia"/>
                <w:color w:val="auto"/>
                <w:sz w:val="24"/>
                <w:szCs w:val="21"/>
                <w:lang w:val="en-US" w:eastAsia="zh-CN"/>
              </w:rPr>
              <w:t>矿泉水瓶12.1t，一次最大回收量为：</w:t>
            </w:r>
            <w:r>
              <w:rPr>
                <w:rFonts w:hint="eastAsia"/>
                <w:color w:val="auto"/>
                <w:sz w:val="24"/>
                <w:vertAlign w:val="baseline"/>
                <w:lang w:val="en-US" w:eastAsia="zh-CN"/>
              </w:rPr>
              <w:t>塑料输液瓶</w:t>
            </w:r>
            <w:r>
              <w:rPr>
                <w:rFonts w:hint="eastAsia"/>
                <w:color w:val="auto"/>
                <w:sz w:val="24"/>
                <w:szCs w:val="21"/>
              </w:rPr>
              <w:t>（袋）</w:t>
            </w:r>
            <w:r>
              <w:rPr>
                <w:rFonts w:hint="eastAsia"/>
                <w:color w:val="auto"/>
                <w:sz w:val="24"/>
                <w:szCs w:val="21"/>
                <w:lang w:val="en-US" w:eastAsia="zh-CN"/>
              </w:rPr>
              <w:t>4</w:t>
            </w:r>
            <w:r>
              <w:rPr>
                <w:rFonts w:hint="eastAsia"/>
                <w:color w:val="auto"/>
                <w:sz w:val="24"/>
                <w:szCs w:val="21"/>
              </w:rPr>
              <w:t>0</w:t>
            </w:r>
            <w:r>
              <w:rPr>
                <w:rFonts w:hint="eastAsia"/>
                <w:color w:val="auto"/>
                <w:sz w:val="24"/>
                <w:szCs w:val="21"/>
                <w:lang w:val="en-US" w:eastAsia="zh-CN"/>
              </w:rPr>
              <w:t>t</w:t>
            </w:r>
            <w:r>
              <w:rPr>
                <w:rFonts w:hint="eastAsia"/>
                <w:color w:val="auto"/>
                <w:sz w:val="24"/>
                <w:szCs w:val="21"/>
              </w:rPr>
              <w:t>，玻璃输液瓶</w:t>
            </w:r>
            <w:r>
              <w:rPr>
                <w:rFonts w:hint="eastAsia"/>
                <w:color w:val="auto"/>
                <w:sz w:val="24"/>
                <w:szCs w:val="21"/>
                <w:lang w:val="en-US" w:eastAsia="zh-CN"/>
              </w:rPr>
              <w:t>24.2t</w:t>
            </w:r>
            <w:r>
              <w:rPr>
                <w:rFonts w:hint="eastAsia"/>
                <w:color w:val="auto"/>
                <w:sz w:val="24"/>
                <w:szCs w:val="21"/>
                <w:lang w:eastAsia="zh-CN"/>
              </w:rPr>
              <w:t>，</w:t>
            </w:r>
            <w:r>
              <w:rPr>
                <w:rFonts w:hint="eastAsia"/>
                <w:color w:val="auto"/>
                <w:sz w:val="24"/>
                <w:szCs w:val="21"/>
                <w:lang w:val="en-US" w:eastAsia="zh-CN"/>
              </w:rPr>
              <w:t>矿泉水瓶24.2t。</w:t>
            </w:r>
            <w:r>
              <w:rPr>
                <w:rFonts w:hint="eastAsia"/>
                <w:color w:val="auto"/>
                <w:sz w:val="24"/>
                <w:szCs w:val="21"/>
              </w:rPr>
              <w:t>经核算，</w:t>
            </w:r>
            <w:r>
              <w:rPr>
                <w:rFonts w:hint="eastAsia"/>
                <w:color w:val="auto"/>
                <w:sz w:val="24"/>
                <w:szCs w:val="21"/>
                <w:lang w:val="en-US" w:eastAsia="zh-CN"/>
              </w:rPr>
              <w:t>一次最大回收量时：</w:t>
            </w:r>
            <w:r>
              <w:rPr>
                <w:rFonts w:hint="eastAsia"/>
                <w:color w:val="auto"/>
                <w:sz w:val="24"/>
                <w:szCs w:val="21"/>
              </w:rPr>
              <w:t>回收的塑料输液瓶（袋）最少需要</w:t>
            </w:r>
            <w:r>
              <w:rPr>
                <w:rFonts w:hint="eastAsia"/>
                <w:color w:val="auto"/>
                <w:sz w:val="24"/>
                <w:szCs w:val="21"/>
                <w:lang w:val="en-US" w:eastAsia="zh-CN"/>
              </w:rPr>
              <w:t>2.95</w:t>
            </w:r>
            <w:r>
              <w:rPr>
                <w:rFonts w:hint="eastAsia"/>
                <w:color w:val="auto"/>
                <w:sz w:val="24"/>
                <w:szCs w:val="21"/>
              </w:rPr>
              <w:t>m</w:t>
            </w:r>
            <w:r>
              <w:rPr>
                <w:rFonts w:hint="eastAsia"/>
                <w:color w:val="auto"/>
                <w:sz w:val="24"/>
                <w:szCs w:val="21"/>
                <w:vertAlign w:val="superscript"/>
              </w:rPr>
              <w:t>3</w:t>
            </w:r>
            <w:r>
              <w:rPr>
                <w:rFonts w:hint="eastAsia"/>
                <w:color w:val="auto"/>
                <w:sz w:val="24"/>
                <w:szCs w:val="21"/>
              </w:rPr>
              <w:t>的贮存空间（单个塑料输液袋规格：体积约5cm</w:t>
            </w:r>
            <w:r>
              <w:rPr>
                <w:rFonts w:hint="eastAsia"/>
                <w:color w:val="auto"/>
                <w:sz w:val="24"/>
                <w:szCs w:val="21"/>
                <w:vertAlign w:val="superscript"/>
              </w:rPr>
              <w:t>3</w:t>
            </w:r>
            <w:r>
              <w:rPr>
                <w:rFonts w:hint="eastAsia"/>
                <w:color w:val="auto"/>
                <w:sz w:val="24"/>
                <w:szCs w:val="21"/>
              </w:rPr>
              <w:t>、重量约80g，单个塑料输液瓶规格：体积约8.5cm</w:t>
            </w:r>
            <w:r>
              <w:rPr>
                <w:rFonts w:hint="eastAsia"/>
                <w:color w:val="auto"/>
                <w:sz w:val="24"/>
                <w:szCs w:val="21"/>
                <w:vertAlign w:val="superscript"/>
              </w:rPr>
              <w:t>3</w:t>
            </w:r>
            <w:r>
              <w:rPr>
                <w:rFonts w:hint="eastAsia"/>
                <w:color w:val="auto"/>
                <w:sz w:val="24"/>
                <w:szCs w:val="21"/>
              </w:rPr>
              <w:t>、重量约100g），玻璃输液瓶最少需要</w:t>
            </w:r>
            <w:r>
              <w:rPr>
                <w:rFonts w:hint="eastAsia"/>
                <w:color w:val="auto"/>
                <w:sz w:val="24"/>
                <w:szCs w:val="21"/>
                <w:lang w:val="en-US" w:eastAsia="zh-CN"/>
              </w:rPr>
              <w:t>0.58</w:t>
            </w:r>
            <w:r>
              <w:rPr>
                <w:rFonts w:hint="eastAsia"/>
                <w:color w:val="auto"/>
                <w:sz w:val="24"/>
                <w:szCs w:val="21"/>
              </w:rPr>
              <w:t>m</w:t>
            </w:r>
            <w:r>
              <w:rPr>
                <w:rFonts w:hint="eastAsia"/>
                <w:color w:val="auto"/>
                <w:sz w:val="24"/>
                <w:szCs w:val="21"/>
                <w:vertAlign w:val="superscript"/>
              </w:rPr>
              <w:t>3</w:t>
            </w:r>
            <w:r>
              <w:rPr>
                <w:rFonts w:hint="eastAsia"/>
                <w:color w:val="auto"/>
                <w:sz w:val="24"/>
                <w:szCs w:val="21"/>
              </w:rPr>
              <w:t>的贮存空间（单个玻璃输液瓶规格：体积约8.5cm</w:t>
            </w:r>
            <w:r>
              <w:rPr>
                <w:rFonts w:hint="eastAsia"/>
                <w:color w:val="auto"/>
                <w:sz w:val="24"/>
                <w:szCs w:val="21"/>
                <w:vertAlign w:val="superscript"/>
              </w:rPr>
              <w:t>3</w:t>
            </w:r>
            <w:r>
              <w:rPr>
                <w:rFonts w:hint="eastAsia"/>
                <w:color w:val="auto"/>
                <w:sz w:val="24"/>
                <w:szCs w:val="21"/>
              </w:rPr>
              <w:t>、重量约350g），</w:t>
            </w:r>
            <w:r>
              <w:rPr>
                <w:rFonts w:hint="eastAsia"/>
                <w:color w:val="auto"/>
                <w:sz w:val="24"/>
                <w:szCs w:val="21"/>
                <w:lang w:val="en-US" w:eastAsia="zh-CN"/>
              </w:rPr>
              <w:t>矿泉水瓶至少需要3.63</w:t>
            </w:r>
            <w:r>
              <w:rPr>
                <w:rFonts w:hint="eastAsia"/>
                <w:color w:val="auto"/>
                <w:sz w:val="24"/>
                <w:szCs w:val="21"/>
              </w:rPr>
              <w:t>m</w:t>
            </w:r>
            <w:r>
              <w:rPr>
                <w:rFonts w:hint="eastAsia"/>
                <w:color w:val="auto"/>
                <w:sz w:val="24"/>
                <w:szCs w:val="21"/>
                <w:vertAlign w:val="superscript"/>
              </w:rPr>
              <w:t>3</w:t>
            </w:r>
            <w:r>
              <w:rPr>
                <w:rFonts w:hint="eastAsia"/>
                <w:color w:val="auto"/>
                <w:sz w:val="24"/>
                <w:szCs w:val="21"/>
              </w:rPr>
              <w:t>的贮存空间（单个</w:t>
            </w:r>
            <w:r>
              <w:rPr>
                <w:rFonts w:hint="eastAsia"/>
                <w:color w:val="auto"/>
                <w:sz w:val="24"/>
                <w:szCs w:val="21"/>
                <w:lang w:val="en-US" w:eastAsia="zh-CN"/>
              </w:rPr>
              <w:t>矿泉水瓶</w:t>
            </w:r>
            <w:r>
              <w:rPr>
                <w:rFonts w:hint="eastAsia"/>
                <w:color w:val="auto"/>
                <w:sz w:val="24"/>
                <w:szCs w:val="21"/>
              </w:rPr>
              <w:t>规格：体积约</w:t>
            </w:r>
            <w:r>
              <w:rPr>
                <w:rFonts w:hint="eastAsia"/>
                <w:color w:val="auto"/>
                <w:sz w:val="24"/>
                <w:szCs w:val="21"/>
                <w:lang w:val="en-US" w:eastAsia="zh-CN"/>
              </w:rPr>
              <w:t>15</w:t>
            </w:r>
            <w:r>
              <w:rPr>
                <w:rFonts w:hint="eastAsia"/>
                <w:color w:val="auto"/>
                <w:sz w:val="24"/>
                <w:szCs w:val="21"/>
              </w:rPr>
              <w:t>cm</w:t>
            </w:r>
            <w:r>
              <w:rPr>
                <w:rFonts w:hint="eastAsia"/>
                <w:color w:val="auto"/>
                <w:sz w:val="24"/>
                <w:szCs w:val="21"/>
                <w:vertAlign w:val="superscript"/>
              </w:rPr>
              <w:t>3</w:t>
            </w:r>
            <w:r>
              <w:rPr>
                <w:rFonts w:hint="eastAsia"/>
                <w:color w:val="auto"/>
                <w:sz w:val="24"/>
                <w:szCs w:val="21"/>
              </w:rPr>
              <w:t>、重量约</w:t>
            </w:r>
            <w:r>
              <w:rPr>
                <w:rFonts w:hint="eastAsia"/>
                <w:color w:val="auto"/>
                <w:sz w:val="24"/>
                <w:szCs w:val="21"/>
                <w:lang w:val="en-US" w:eastAsia="zh-CN"/>
              </w:rPr>
              <w:t>100</w:t>
            </w:r>
            <w:r>
              <w:rPr>
                <w:rFonts w:hint="eastAsia"/>
                <w:color w:val="auto"/>
                <w:sz w:val="24"/>
                <w:szCs w:val="21"/>
              </w:rPr>
              <w:t>g）</w:t>
            </w:r>
            <w:r>
              <w:rPr>
                <w:rFonts w:hint="eastAsia"/>
                <w:color w:val="auto"/>
                <w:sz w:val="24"/>
                <w:szCs w:val="21"/>
                <w:lang w:eastAsia="zh-CN"/>
              </w:rPr>
              <w:t>，</w:t>
            </w:r>
            <w:r>
              <w:rPr>
                <w:rFonts w:hint="eastAsia"/>
                <w:color w:val="auto"/>
                <w:sz w:val="24"/>
                <w:szCs w:val="21"/>
              </w:rPr>
              <w:t>堆存高度按1.2m计算，则原料堆放最少需要</w:t>
            </w:r>
            <w:r>
              <w:rPr>
                <w:rFonts w:hint="eastAsia"/>
                <w:color w:val="auto"/>
                <w:sz w:val="24"/>
                <w:szCs w:val="21"/>
                <w:lang w:val="en-US" w:eastAsia="zh-CN"/>
              </w:rPr>
              <w:t>7.16</w:t>
            </w:r>
            <w:r>
              <w:rPr>
                <w:rFonts w:hint="eastAsia"/>
                <w:color w:val="auto"/>
                <w:sz w:val="24"/>
                <w:szCs w:val="21"/>
              </w:rPr>
              <w:t>m</w:t>
            </w:r>
            <w:r>
              <w:rPr>
                <w:rFonts w:hint="eastAsia"/>
                <w:color w:val="auto"/>
                <w:sz w:val="24"/>
                <w:szCs w:val="21"/>
                <w:vertAlign w:val="superscript"/>
              </w:rPr>
              <w:t>2</w:t>
            </w:r>
            <w:r>
              <w:rPr>
                <w:rFonts w:hint="eastAsia"/>
                <w:color w:val="auto"/>
                <w:sz w:val="24"/>
                <w:szCs w:val="21"/>
              </w:rPr>
              <w:t>的区域，项目</w:t>
            </w:r>
            <w:r>
              <w:rPr>
                <w:rFonts w:hint="eastAsia"/>
                <w:color w:val="auto"/>
                <w:sz w:val="24"/>
                <w:szCs w:val="21"/>
                <w:lang w:val="en-US" w:eastAsia="zh-CN"/>
              </w:rPr>
              <w:t>厂房1层</w:t>
            </w:r>
            <w:r>
              <w:rPr>
                <w:rFonts w:hint="eastAsia"/>
                <w:color w:val="auto"/>
                <w:sz w:val="24"/>
                <w:szCs w:val="21"/>
              </w:rPr>
              <w:t>设置</w:t>
            </w:r>
            <w:r>
              <w:rPr>
                <w:rFonts w:hint="eastAsia"/>
                <w:color w:val="auto"/>
                <w:sz w:val="24"/>
                <w:szCs w:val="21"/>
                <w:lang w:val="en-US" w:eastAsia="zh-CN"/>
              </w:rPr>
              <w:t>66</w:t>
            </w:r>
            <w:r>
              <w:rPr>
                <w:rFonts w:hint="eastAsia"/>
                <w:color w:val="auto"/>
                <w:sz w:val="24"/>
                <w:szCs w:val="21"/>
              </w:rPr>
              <w:t>m</w:t>
            </w:r>
            <w:r>
              <w:rPr>
                <w:rFonts w:hint="eastAsia"/>
                <w:color w:val="auto"/>
                <w:sz w:val="24"/>
                <w:szCs w:val="21"/>
                <w:vertAlign w:val="superscript"/>
              </w:rPr>
              <w:t>2</w:t>
            </w:r>
            <w:r>
              <w:rPr>
                <w:rFonts w:hint="eastAsia"/>
                <w:color w:val="auto"/>
                <w:sz w:val="24"/>
                <w:szCs w:val="21"/>
              </w:rPr>
              <w:t>的原料堆放区，</w:t>
            </w:r>
            <w:r>
              <w:rPr>
                <w:rFonts w:hint="eastAsia"/>
                <w:color w:val="auto"/>
                <w:sz w:val="24"/>
                <w:szCs w:val="21"/>
                <w:vertAlign w:val="baseline"/>
                <w:lang w:val="en-US" w:eastAsia="zh-CN"/>
              </w:rPr>
              <w:t>综上，原料堆放区尺寸</w:t>
            </w:r>
            <w:r>
              <w:rPr>
                <w:rFonts w:hint="eastAsia"/>
                <w:color w:val="auto"/>
                <w:sz w:val="24"/>
                <w:szCs w:val="21"/>
              </w:rPr>
              <w:t>可满足</w:t>
            </w:r>
            <w:r>
              <w:rPr>
                <w:rFonts w:hint="eastAsia"/>
                <w:color w:val="auto"/>
                <w:sz w:val="24"/>
                <w:szCs w:val="21"/>
                <w:lang w:val="en-US" w:eastAsia="zh-CN"/>
              </w:rPr>
              <w:t>最大回收量及日均回收量的原料</w:t>
            </w:r>
            <w:r>
              <w:rPr>
                <w:rFonts w:hint="eastAsia"/>
                <w:color w:val="auto"/>
                <w:sz w:val="24"/>
                <w:szCs w:val="21"/>
              </w:rPr>
              <w:t>堆放需求。</w:t>
            </w:r>
          </w:p>
          <w:p w14:paraId="36B24211">
            <w:pPr>
              <w:keepNext w:val="0"/>
              <w:keepLines w:val="0"/>
              <w:pageBreakBefore w:val="0"/>
              <w:widowControl w:val="0"/>
              <w:tabs>
                <w:tab w:val="left" w:pos="5184"/>
              </w:tabs>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color w:val="auto"/>
                <w:sz w:val="24"/>
                <w:szCs w:val="21"/>
                <w:lang w:val="en-US" w:eastAsia="zh-CN"/>
              </w:rPr>
              <w:t>项目成品暂存区面积为72</w:t>
            </w:r>
            <w:r>
              <w:rPr>
                <w:rFonts w:hint="eastAsia"/>
                <w:color w:val="auto"/>
                <w:sz w:val="24"/>
                <w:szCs w:val="21"/>
              </w:rPr>
              <w:t>m</w:t>
            </w:r>
            <w:r>
              <w:rPr>
                <w:rFonts w:hint="eastAsia"/>
                <w:color w:val="auto"/>
                <w:sz w:val="24"/>
                <w:szCs w:val="21"/>
                <w:vertAlign w:val="superscript"/>
              </w:rPr>
              <w:t>2</w:t>
            </w:r>
            <w:r>
              <w:rPr>
                <w:rFonts w:hint="eastAsia"/>
                <w:color w:val="auto"/>
                <w:sz w:val="24"/>
                <w:szCs w:val="21"/>
                <w:lang w:eastAsia="zh-CN"/>
              </w:rPr>
              <w:t>，</w:t>
            </w:r>
            <w:r>
              <w:rPr>
                <w:rFonts w:hint="eastAsia"/>
                <w:color w:val="auto"/>
                <w:sz w:val="24"/>
                <w:szCs w:val="21"/>
                <w:lang w:val="en-US" w:eastAsia="zh-CN"/>
              </w:rPr>
              <w:t>最大堆存量为：塑料破碎料90t、橡胶破碎料4t、玻璃碎片40t，则塑料破碎料至少需要90m</w:t>
            </w:r>
            <w:r>
              <w:rPr>
                <w:rFonts w:hint="eastAsia"/>
                <w:color w:val="auto"/>
                <w:sz w:val="24"/>
                <w:szCs w:val="21"/>
                <w:vertAlign w:val="superscript"/>
                <w:lang w:val="en-US" w:eastAsia="zh-CN"/>
              </w:rPr>
              <w:t>3</w:t>
            </w:r>
            <w:r>
              <w:rPr>
                <w:rFonts w:hint="eastAsia"/>
                <w:color w:val="auto"/>
                <w:sz w:val="24"/>
                <w:szCs w:val="21"/>
                <w:lang w:val="en-US" w:eastAsia="zh-CN"/>
              </w:rPr>
              <w:t>的贮存空间，橡胶破碎料至少需要4m</w:t>
            </w:r>
            <w:r>
              <w:rPr>
                <w:rFonts w:hint="eastAsia"/>
                <w:color w:val="auto"/>
                <w:sz w:val="24"/>
                <w:szCs w:val="21"/>
                <w:vertAlign w:val="superscript"/>
                <w:lang w:val="en-US" w:eastAsia="zh-CN"/>
              </w:rPr>
              <w:t>3</w:t>
            </w:r>
            <w:r>
              <w:rPr>
                <w:rFonts w:hint="eastAsia"/>
                <w:color w:val="auto"/>
                <w:sz w:val="24"/>
                <w:szCs w:val="21"/>
                <w:lang w:val="en-US" w:eastAsia="zh-CN"/>
              </w:rPr>
              <w:t>的贮存空间，玻璃碎片需要40m</w:t>
            </w:r>
            <w:r>
              <w:rPr>
                <w:rFonts w:hint="eastAsia"/>
                <w:color w:val="auto"/>
                <w:sz w:val="24"/>
                <w:szCs w:val="21"/>
                <w:vertAlign w:val="superscript"/>
                <w:lang w:val="en-US" w:eastAsia="zh-CN"/>
              </w:rPr>
              <w:t>3</w:t>
            </w:r>
            <w:r>
              <w:rPr>
                <w:rFonts w:hint="eastAsia"/>
                <w:color w:val="auto"/>
                <w:sz w:val="24"/>
                <w:szCs w:val="21"/>
                <w:lang w:val="en-US" w:eastAsia="zh-CN"/>
              </w:rPr>
              <w:t>的贮存空间，堆存高度按2.0m计，则成品堆放最少需要67m</w:t>
            </w:r>
            <w:r>
              <w:rPr>
                <w:rFonts w:hint="eastAsia"/>
                <w:color w:val="auto"/>
                <w:sz w:val="24"/>
                <w:szCs w:val="21"/>
                <w:vertAlign w:val="superscript"/>
                <w:lang w:val="en-US" w:eastAsia="zh-CN"/>
              </w:rPr>
              <w:t>2</w:t>
            </w:r>
            <w:r>
              <w:rPr>
                <w:rFonts w:hint="eastAsia"/>
                <w:color w:val="auto"/>
                <w:sz w:val="24"/>
                <w:szCs w:val="21"/>
                <w:vertAlign w:val="baseline"/>
                <w:lang w:val="en-US" w:eastAsia="zh-CN"/>
              </w:rPr>
              <w:t>。</w:t>
            </w:r>
            <w:r>
              <w:rPr>
                <w:rFonts w:hint="eastAsia"/>
                <w:color w:val="auto"/>
                <w:sz w:val="24"/>
                <w:szCs w:val="21"/>
                <w:lang w:val="en-US" w:eastAsia="zh-CN"/>
              </w:rPr>
              <w:t>因此，成品堆放区尺寸</w:t>
            </w:r>
            <w:r>
              <w:rPr>
                <w:rFonts w:hint="eastAsia"/>
                <w:color w:val="auto"/>
                <w:sz w:val="24"/>
                <w:szCs w:val="21"/>
              </w:rPr>
              <w:t>可满足</w:t>
            </w:r>
            <w:r>
              <w:rPr>
                <w:rFonts w:hint="eastAsia"/>
                <w:color w:val="auto"/>
                <w:sz w:val="24"/>
                <w:szCs w:val="21"/>
                <w:lang w:val="en-US" w:eastAsia="zh-CN"/>
              </w:rPr>
              <w:t>最大堆存量的</w:t>
            </w:r>
            <w:r>
              <w:rPr>
                <w:rFonts w:hint="eastAsia"/>
                <w:color w:val="auto"/>
                <w:sz w:val="24"/>
                <w:szCs w:val="21"/>
              </w:rPr>
              <w:t>堆放需求。</w:t>
            </w:r>
          </w:p>
        </w:tc>
      </w:tr>
      <w:tr w14:paraId="4CF98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dxa"/>
            <w:noWrap w:val="0"/>
            <w:vAlign w:val="center"/>
          </w:tcPr>
          <w:p w14:paraId="59E12489">
            <w:pPr>
              <w:pStyle w:val="22"/>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594" w:type="dxa"/>
            <w:noWrap w:val="0"/>
            <w:vAlign w:val="top"/>
          </w:tcPr>
          <w:p w14:paraId="7E6B28D8">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生产工艺流程及产污环节</w:t>
            </w:r>
          </w:p>
          <w:p w14:paraId="673F0386">
            <w:pPr>
              <w:adjustRightInd w:val="0"/>
              <w:snapToGrid w:val="0"/>
              <w:spacing w:before="120" w:beforeLines="50" w:line="360" w:lineRule="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2.3.1工艺流程及工艺介绍</w:t>
            </w:r>
          </w:p>
          <w:p w14:paraId="06317183">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color w:val="auto"/>
                <w:sz w:val="21"/>
              </w:rPr>
              <mc:AlternateContent>
                <mc:Choice Requires="wpc">
                  <w:drawing>
                    <wp:anchor distT="0" distB="0" distL="114300" distR="114300" simplePos="0" relativeHeight="251660288" behindDoc="0" locked="0" layoutInCell="1" allowOverlap="1">
                      <wp:simplePos x="0" y="0"/>
                      <wp:positionH relativeFrom="column">
                        <wp:posOffset>727710</wp:posOffset>
                      </wp:positionH>
                      <wp:positionV relativeFrom="paragraph">
                        <wp:posOffset>96520</wp:posOffset>
                      </wp:positionV>
                      <wp:extent cx="3864610" cy="4862195"/>
                      <wp:effectExtent l="0" t="0" r="0" b="0"/>
                      <wp:wrapNone/>
                      <wp:docPr id="47" name="画布 47"/>
                      <wp:cNvGraphicFramePr/>
                      <a:graphic xmlns:a="http://schemas.openxmlformats.org/drawingml/2006/main">
                        <a:graphicData uri="http://schemas.microsoft.com/office/word/2010/wordprocessingCanvas">
                          <wpc:wpc>
                            <wpc:bg>
                              <a:noFill/>
                            </wpc:bg>
                            <wpc:whole>
                              <a:ln>
                                <a:noFill/>
                              </a:ln>
                            </wpc:whole>
                            <wps:wsp>
                              <wps:cNvPr id="40" name="文本框 40"/>
                              <wps:cNvSpPr txBox="1"/>
                              <wps:spPr>
                                <a:xfrm>
                                  <a:off x="770890" y="95885"/>
                                  <a:ext cx="1771015" cy="493395"/>
                                </a:xfrm>
                                <a:prstGeom prst="rect">
                                  <a:avLst/>
                                </a:prstGeom>
                                <a:noFill/>
                                <a:ln w="6350">
                                  <a:noFill/>
                                </a:ln>
                                <a:effectLst/>
                              </wps:spPr>
                              <wps:txbx>
                                <w:txbxContent>
                                  <w:p w14:paraId="76D844C8">
                                    <w:pPr>
                                      <w:jc w:val="center"/>
                                      <w:rPr>
                                        <w:rFonts w:hint="default"/>
                                        <w:sz w:val="24"/>
                                        <w:szCs w:val="24"/>
                                        <w:lang w:val="en-US"/>
                                      </w:rPr>
                                    </w:pPr>
                                    <w:r>
                                      <w:rPr>
                                        <w:rFonts w:hint="eastAsia" w:ascii="Times New Roman" w:hAnsi="Times New Roman" w:eastAsia="宋体" w:cs="Times New Roman"/>
                                        <w:color w:val="auto"/>
                                        <w:sz w:val="24"/>
                                        <w:szCs w:val="24"/>
                                        <w:lang w:val="en-US" w:eastAsia="zh-CN"/>
                                      </w:rPr>
                                      <w:t>未被污染的医用塑料输液瓶（袋）/废塑料品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1209040" y="1319530"/>
                                  <a:ext cx="821055" cy="334645"/>
                                </a:xfrm>
                                <a:prstGeom prst="rect">
                                  <a:avLst/>
                                </a:prstGeom>
                                <a:noFill/>
                                <a:ln w="6350">
                                  <a:solidFill>
                                    <a:srgbClr val="000000"/>
                                  </a:solidFill>
                                </a:ln>
                                <a:effectLst/>
                              </wps:spPr>
                              <wps:txbx>
                                <w:txbxContent>
                                  <w:p w14:paraId="77C78E94">
                                    <w:pPr>
                                      <w:jc w:val="center"/>
                                      <w:rPr>
                                        <w:sz w:val="24"/>
                                        <w:szCs w:val="24"/>
                                      </w:rPr>
                                    </w:pPr>
                                    <w:r>
                                      <w:rPr>
                                        <w:rFonts w:hint="eastAsia" w:ascii="Times New Roman" w:hAnsi="Times New Roman" w:eastAsia="宋体" w:cs="Times New Roman"/>
                                        <w:color w:val="auto"/>
                                        <w:sz w:val="24"/>
                                        <w:szCs w:val="24"/>
                                        <w:lang w:val="en-US" w:eastAsia="zh-CN"/>
                                      </w:rPr>
                                      <w:t>破碎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1209040" y="1856740"/>
                                  <a:ext cx="819150" cy="334645"/>
                                </a:xfrm>
                                <a:prstGeom prst="rect">
                                  <a:avLst/>
                                </a:prstGeom>
                                <a:noFill/>
                                <a:ln w="6350">
                                  <a:solidFill>
                                    <a:srgbClr val="000000"/>
                                  </a:solidFill>
                                </a:ln>
                                <a:effectLst/>
                              </wps:spPr>
                              <wps:txbx>
                                <w:txbxContent>
                                  <w:p w14:paraId="33EB68EE">
                                    <w:pPr>
                                      <w:jc w:val="center"/>
                                      <w:rPr>
                                        <w:sz w:val="24"/>
                                        <w:szCs w:val="24"/>
                                      </w:rPr>
                                    </w:pPr>
                                    <w:r>
                                      <w:rPr>
                                        <w:rFonts w:hint="eastAsia" w:ascii="Times New Roman" w:hAnsi="Times New Roman" w:eastAsia="宋体" w:cs="Times New Roman"/>
                                        <w:color w:val="auto"/>
                                        <w:sz w:val="24"/>
                                        <w:szCs w:val="24"/>
                                        <w:lang w:val="en-US" w:eastAsia="zh-CN"/>
                                      </w:rPr>
                                      <w:t>强力摩擦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1209040" y="2393950"/>
                                  <a:ext cx="821055" cy="334645"/>
                                </a:xfrm>
                                <a:prstGeom prst="rect">
                                  <a:avLst/>
                                </a:prstGeom>
                                <a:noFill/>
                                <a:ln w="6350">
                                  <a:solidFill>
                                    <a:srgbClr val="000000"/>
                                  </a:solidFill>
                                </a:ln>
                                <a:effectLst/>
                              </wps:spPr>
                              <wps:txbx>
                                <w:txbxContent>
                                  <w:p w14:paraId="57EEB274">
                                    <w:pPr>
                                      <w:jc w:val="center"/>
                                      <w:rPr>
                                        <w:sz w:val="24"/>
                                        <w:szCs w:val="24"/>
                                      </w:rPr>
                                    </w:pPr>
                                    <w:r>
                                      <w:rPr>
                                        <w:rFonts w:hint="eastAsia" w:ascii="Times New Roman" w:hAnsi="Times New Roman" w:eastAsia="宋体" w:cs="Times New Roman"/>
                                        <w:color w:val="auto"/>
                                        <w:sz w:val="24"/>
                                        <w:szCs w:val="24"/>
                                        <w:lang w:val="en-US" w:eastAsia="zh-CN"/>
                                      </w:rPr>
                                      <w:t>洗脱机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1209040" y="2931160"/>
                                  <a:ext cx="819150" cy="334645"/>
                                </a:xfrm>
                                <a:prstGeom prst="rect">
                                  <a:avLst/>
                                </a:prstGeom>
                                <a:noFill/>
                                <a:ln w="6350">
                                  <a:solidFill>
                                    <a:srgbClr val="000000"/>
                                  </a:solidFill>
                                </a:ln>
                                <a:effectLst/>
                              </wps:spPr>
                              <wps:txbx>
                                <w:txbxContent>
                                  <w:p w14:paraId="5CE205D5">
                                    <w:pPr>
                                      <w:jc w:val="center"/>
                                      <w:rPr>
                                        <w:sz w:val="24"/>
                                        <w:szCs w:val="24"/>
                                      </w:rPr>
                                    </w:pPr>
                                    <w:r>
                                      <w:rPr>
                                        <w:rFonts w:hint="eastAsia" w:ascii="Times New Roman" w:hAnsi="Times New Roman" w:eastAsia="宋体" w:cs="Times New Roman"/>
                                        <w:color w:val="auto"/>
                                        <w:sz w:val="24"/>
                                        <w:szCs w:val="24"/>
                                        <w:lang w:val="en-US" w:eastAsia="zh-CN"/>
                                      </w:rPr>
                                      <w:t>沉浮分流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1209040" y="3468370"/>
                                  <a:ext cx="819150" cy="334645"/>
                                </a:xfrm>
                                <a:prstGeom prst="rect">
                                  <a:avLst/>
                                </a:prstGeom>
                                <a:noFill/>
                                <a:ln w="6350">
                                  <a:solidFill>
                                    <a:srgbClr val="000000"/>
                                  </a:solidFill>
                                </a:ln>
                                <a:effectLst/>
                              </wps:spPr>
                              <wps:txbx>
                                <w:txbxContent>
                                  <w:p w14:paraId="1A296866">
                                    <w:pPr>
                                      <w:jc w:val="center"/>
                                      <w:rPr>
                                        <w:sz w:val="24"/>
                                        <w:szCs w:val="24"/>
                                      </w:rPr>
                                    </w:pPr>
                                    <w:r>
                                      <w:rPr>
                                        <w:rFonts w:hint="eastAsia" w:ascii="Times New Roman" w:hAnsi="Times New Roman" w:eastAsia="宋体" w:cs="Times New Roman"/>
                                        <w:color w:val="auto"/>
                                        <w:sz w:val="24"/>
                                        <w:szCs w:val="24"/>
                                        <w:lang w:val="en-US" w:eastAsia="zh-CN"/>
                                      </w:rPr>
                                      <w:t>脱水干燥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1209040" y="4005580"/>
                                  <a:ext cx="819150" cy="334645"/>
                                </a:xfrm>
                                <a:prstGeom prst="rect">
                                  <a:avLst/>
                                </a:prstGeom>
                                <a:noFill/>
                                <a:ln w="6350">
                                  <a:solidFill>
                                    <a:srgbClr val="000000"/>
                                  </a:solidFill>
                                </a:ln>
                                <a:effectLst/>
                              </wps:spPr>
                              <wps:txbx>
                                <w:txbxContent>
                                  <w:p w14:paraId="372F3744">
                                    <w:pPr>
                                      <w:jc w:val="center"/>
                                      <w:rPr>
                                        <w:sz w:val="24"/>
                                        <w:szCs w:val="24"/>
                                      </w:rPr>
                                    </w:pPr>
                                    <w:r>
                                      <w:rPr>
                                        <w:rFonts w:hint="eastAsia" w:ascii="Times New Roman" w:hAnsi="Times New Roman" w:eastAsia="宋体" w:cs="Times New Roman"/>
                                        <w:color w:val="auto"/>
                                        <w:sz w:val="24"/>
                                        <w:szCs w:val="24"/>
                                        <w:lang w:val="en-US" w:eastAsia="zh-CN"/>
                                      </w:rPr>
                                      <w:t>分选分离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1189990" y="4542790"/>
                                  <a:ext cx="857250" cy="297180"/>
                                </a:xfrm>
                                <a:prstGeom prst="rect">
                                  <a:avLst/>
                                </a:prstGeom>
                                <a:noFill/>
                                <a:ln w="6350">
                                  <a:noFill/>
                                </a:ln>
                                <a:effectLst/>
                              </wps:spPr>
                              <wps:txbx>
                                <w:txbxContent>
                                  <w:p w14:paraId="6542C666">
                                    <w:pPr>
                                      <w:jc w:val="center"/>
                                      <w:rPr>
                                        <w:sz w:val="24"/>
                                        <w:szCs w:val="24"/>
                                      </w:rPr>
                                    </w:pPr>
                                    <w:r>
                                      <w:rPr>
                                        <w:rFonts w:hint="eastAsia" w:ascii="Times New Roman" w:hAnsi="Times New Roman" w:eastAsia="宋体" w:cs="Times New Roman"/>
                                        <w:color w:val="auto"/>
                                        <w:sz w:val="24"/>
                                        <w:szCs w:val="24"/>
                                        <w:lang w:val="en-US" w:eastAsia="zh-CN"/>
                                      </w:rPr>
                                      <w:t>塑料回收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0" y="4033520"/>
                                  <a:ext cx="856615" cy="297180"/>
                                </a:xfrm>
                                <a:prstGeom prst="rect">
                                  <a:avLst/>
                                </a:prstGeom>
                                <a:noFill/>
                                <a:ln w="6350">
                                  <a:noFill/>
                                </a:ln>
                                <a:effectLst/>
                              </wps:spPr>
                              <wps:txbx>
                                <w:txbxContent>
                                  <w:p w14:paraId="0D0F6E69">
                                    <w:pPr>
                                      <w:jc w:val="center"/>
                                      <w:rPr>
                                        <w:sz w:val="21"/>
                                        <w:szCs w:val="21"/>
                                      </w:rPr>
                                    </w:pPr>
                                    <w:r>
                                      <w:rPr>
                                        <w:rFonts w:hint="eastAsia" w:ascii="Times New Roman" w:hAnsi="Times New Roman" w:eastAsia="宋体" w:cs="Times New Roman"/>
                                        <w:color w:val="auto"/>
                                        <w:sz w:val="24"/>
                                        <w:szCs w:val="24"/>
                                        <w:lang w:val="en-US" w:eastAsia="zh-CN"/>
                                      </w:rPr>
                                      <w:t>橡胶回收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209040" y="782320"/>
                                  <a:ext cx="819150" cy="334645"/>
                                </a:xfrm>
                                <a:prstGeom prst="rect">
                                  <a:avLst/>
                                </a:prstGeom>
                                <a:noFill/>
                                <a:ln w="6350">
                                  <a:solidFill>
                                    <a:srgbClr val="000000"/>
                                  </a:solidFill>
                                </a:ln>
                                <a:effectLst/>
                              </wps:spPr>
                              <wps:txbx>
                                <w:txbxContent>
                                  <w:p w14:paraId="71E34831">
                                    <w:pPr>
                                      <w:keepNext w:val="0"/>
                                      <w:keepLines w:val="0"/>
                                      <w:pageBreakBefore w:val="0"/>
                                      <w:widowControl w:val="0"/>
                                      <w:kinsoku/>
                                      <w:wordWrap/>
                                      <w:overflowPunct/>
                                      <w:topLinePunct w:val="0"/>
                                      <w:bidi w:val="0"/>
                                      <w:adjustRightInd/>
                                      <w:snapToGrid/>
                                      <w:spacing w:line="240" w:lineRule="auto"/>
                                      <w:jc w:val="center"/>
                                      <w:textAlignment w:val="auto"/>
                                      <w:rPr>
                                        <w:sz w:val="24"/>
                                        <w:szCs w:val="24"/>
                                      </w:rPr>
                                    </w:pPr>
                                    <w:r>
                                      <w:rPr>
                                        <w:rFonts w:hint="eastAsia" w:ascii="Times New Roman" w:hAnsi="Times New Roman" w:eastAsia="宋体" w:cs="Times New Roman"/>
                                        <w:color w:val="auto"/>
                                        <w:sz w:val="24"/>
                                        <w:szCs w:val="24"/>
                                        <w:lang w:val="en-US" w:eastAsia="zh-CN"/>
                                      </w:rPr>
                                      <w:t>进料分选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2941955" y="2094230"/>
                                  <a:ext cx="819150" cy="496570"/>
                                </a:xfrm>
                                <a:prstGeom prst="rect">
                                  <a:avLst/>
                                </a:prstGeom>
                                <a:noFill/>
                                <a:ln w="6350" cap="flat" cmpd="sng">
                                  <a:solidFill>
                                    <a:srgbClr val="000000"/>
                                  </a:solidFill>
                                  <a:prstDash val="solid"/>
                                  <a:round/>
                                  <a:headEnd type="none" w="med" len="med"/>
                                  <a:tailEnd type="none" w="med" len="med"/>
                                </a:ln>
                              </wps:spPr>
                              <wps:txbx>
                                <w:txbxContent>
                                  <w:p w14:paraId="14D73F7E">
                                    <w:pPr>
                                      <w:jc w:val="center"/>
                                      <w:rPr>
                                        <w:sz w:val="24"/>
                                        <w:szCs w:val="24"/>
                                      </w:rPr>
                                    </w:pPr>
                                    <w:r>
                                      <w:rPr>
                                        <w:rFonts w:hint="eastAsia" w:ascii="Times New Roman" w:hAnsi="Times New Roman" w:eastAsia="宋体" w:cs="Times New Roman"/>
                                        <w:color w:val="auto"/>
                                        <w:sz w:val="24"/>
                                        <w:szCs w:val="24"/>
                                        <w:lang w:val="en-US" w:eastAsia="zh-CN"/>
                                      </w:rPr>
                                      <w:t>污水预处理设施</w:t>
                                    </w:r>
                                  </w:p>
                                </w:txbxContent>
                              </wps:txbx>
                              <wps:bodyPr upright="1"/>
                            </wps:wsp>
                            <wps:wsp>
                              <wps:cNvPr id="24" name="直接箭头连接符 24"/>
                              <wps:cNvCnPr/>
                              <wps:spPr>
                                <a:xfrm>
                                  <a:off x="1618615" y="579755"/>
                                  <a:ext cx="0" cy="202565"/>
                                </a:xfrm>
                                <a:prstGeom prst="straightConnector1">
                                  <a:avLst/>
                                </a:prstGeom>
                                <a:noFill/>
                                <a:ln w="15875" cap="flat" cmpd="sng" algn="ctr">
                                  <a:solidFill>
                                    <a:srgbClr val="000000"/>
                                  </a:solidFill>
                                  <a:prstDash val="solid"/>
                                  <a:tailEnd type="triangle"/>
                                </a:ln>
                                <a:effectLst/>
                              </wps:spPr>
                              <wps:bodyPr/>
                            </wps:wsp>
                            <wps:wsp>
                              <wps:cNvPr id="25" name="直接箭头连接符 25"/>
                              <wps:cNvCnPr/>
                              <wps:spPr>
                                <a:xfrm>
                                  <a:off x="1618615" y="1116965"/>
                                  <a:ext cx="1270" cy="202565"/>
                                </a:xfrm>
                                <a:prstGeom prst="straightConnector1">
                                  <a:avLst/>
                                </a:prstGeom>
                                <a:noFill/>
                                <a:ln w="15875" cap="flat" cmpd="sng" algn="ctr">
                                  <a:solidFill>
                                    <a:srgbClr val="000000"/>
                                  </a:solidFill>
                                  <a:prstDash val="solid"/>
                                  <a:tailEnd type="triangle"/>
                                </a:ln>
                                <a:effectLst/>
                              </wps:spPr>
                              <wps:bodyPr/>
                            </wps:wsp>
                            <wps:wsp>
                              <wps:cNvPr id="26" name="直接箭头连接符 26"/>
                              <wps:cNvCnPr/>
                              <wps:spPr>
                                <a:xfrm flipH="1">
                                  <a:off x="1618615" y="1654175"/>
                                  <a:ext cx="1270" cy="202565"/>
                                </a:xfrm>
                                <a:prstGeom prst="straightConnector1">
                                  <a:avLst/>
                                </a:prstGeom>
                                <a:noFill/>
                                <a:ln w="15875" cap="flat" cmpd="sng" algn="ctr">
                                  <a:solidFill>
                                    <a:srgbClr val="000000"/>
                                  </a:solidFill>
                                  <a:prstDash val="solid"/>
                                  <a:tailEnd type="triangle"/>
                                </a:ln>
                                <a:effectLst/>
                              </wps:spPr>
                              <wps:bodyPr/>
                            </wps:wsp>
                            <wps:wsp>
                              <wps:cNvPr id="27" name="直接箭头连接符 27"/>
                              <wps:cNvCnPr/>
                              <wps:spPr>
                                <a:xfrm>
                                  <a:off x="1618615" y="2191385"/>
                                  <a:ext cx="1270" cy="202565"/>
                                </a:xfrm>
                                <a:prstGeom prst="straightConnector1">
                                  <a:avLst/>
                                </a:prstGeom>
                                <a:noFill/>
                                <a:ln w="15875" cap="flat" cmpd="sng" algn="ctr">
                                  <a:solidFill>
                                    <a:srgbClr val="000000"/>
                                  </a:solidFill>
                                  <a:prstDash val="solid"/>
                                  <a:tailEnd type="triangle"/>
                                </a:ln>
                                <a:effectLst/>
                              </wps:spPr>
                              <wps:bodyPr/>
                            </wps:wsp>
                            <wps:wsp>
                              <wps:cNvPr id="28" name="直接箭头连接符 28"/>
                              <wps:cNvCnPr/>
                              <wps:spPr>
                                <a:xfrm flipH="1">
                                  <a:off x="1618615" y="2728595"/>
                                  <a:ext cx="1270" cy="202565"/>
                                </a:xfrm>
                                <a:prstGeom prst="straightConnector1">
                                  <a:avLst/>
                                </a:prstGeom>
                                <a:noFill/>
                                <a:ln w="15875" cap="flat" cmpd="sng" algn="ctr">
                                  <a:solidFill>
                                    <a:srgbClr val="000000"/>
                                  </a:solidFill>
                                  <a:prstDash val="solid"/>
                                  <a:tailEnd type="triangle"/>
                                </a:ln>
                                <a:effectLst/>
                              </wps:spPr>
                              <wps:bodyPr/>
                            </wps:wsp>
                            <wps:wsp>
                              <wps:cNvPr id="30" name="直接箭头连接符 30"/>
                              <wps:cNvCnPr/>
                              <wps:spPr>
                                <a:xfrm>
                                  <a:off x="1618615" y="3265805"/>
                                  <a:ext cx="0" cy="202565"/>
                                </a:xfrm>
                                <a:prstGeom prst="straightConnector1">
                                  <a:avLst/>
                                </a:prstGeom>
                                <a:noFill/>
                                <a:ln w="15875" cap="flat" cmpd="sng" algn="ctr">
                                  <a:solidFill>
                                    <a:srgbClr val="000000"/>
                                  </a:solidFill>
                                  <a:prstDash val="solid"/>
                                  <a:tailEnd type="triangle"/>
                                </a:ln>
                                <a:effectLst/>
                              </wps:spPr>
                              <wps:bodyPr/>
                            </wps:wsp>
                            <wps:wsp>
                              <wps:cNvPr id="46" name="直接箭头连接符 46"/>
                              <wps:cNvCnPr/>
                              <wps:spPr>
                                <a:xfrm>
                                  <a:off x="1618615" y="3803015"/>
                                  <a:ext cx="0" cy="202565"/>
                                </a:xfrm>
                                <a:prstGeom prst="straightConnector1">
                                  <a:avLst/>
                                </a:prstGeom>
                                <a:noFill/>
                                <a:ln w="15875" cap="flat" cmpd="sng" algn="ctr">
                                  <a:solidFill>
                                    <a:srgbClr val="000000"/>
                                  </a:solidFill>
                                  <a:prstDash val="solid"/>
                                  <a:tailEnd type="triangle"/>
                                </a:ln>
                                <a:effectLst/>
                              </wps:spPr>
                              <wps:bodyPr/>
                            </wps:wsp>
                            <wps:wsp>
                              <wps:cNvPr id="55" name="直接箭头连接符 55"/>
                              <wps:cNvCnPr/>
                              <wps:spPr>
                                <a:xfrm>
                                  <a:off x="1618615" y="4340225"/>
                                  <a:ext cx="0" cy="202565"/>
                                </a:xfrm>
                                <a:prstGeom prst="straightConnector1">
                                  <a:avLst/>
                                </a:prstGeom>
                                <a:noFill/>
                                <a:ln w="15875" cap="flat" cmpd="sng" algn="ctr">
                                  <a:solidFill>
                                    <a:srgbClr val="000000"/>
                                  </a:solidFill>
                                  <a:prstDash val="solid"/>
                                  <a:tailEnd type="triangle"/>
                                </a:ln>
                                <a:effectLst/>
                              </wps:spPr>
                              <wps:bodyPr/>
                            </wps:wsp>
                            <wps:wsp>
                              <wps:cNvPr id="59" name="文本框 59"/>
                              <wps:cNvSpPr txBox="1"/>
                              <wps:spPr>
                                <a:xfrm>
                                  <a:off x="0" y="2941955"/>
                                  <a:ext cx="866140" cy="297180"/>
                                </a:xfrm>
                                <a:prstGeom prst="rect">
                                  <a:avLst/>
                                </a:prstGeom>
                                <a:noFill/>
                                <a:ln w="6350">
                                  <a:noFill/>
                                </a:ln>
                                <a:effectLst/>
                              </wps:spPr>
                              <wps:txbx>
                                <w:txbxContent>
                                  <w:p w14:paraId="460F58C3">
                                    <w:pPr>
                                      <w:jc w:val="center"/>
                                      <w:rPr>
                                        <w:sz w:val="24"/>
                                        <w:szCs w:val="24"/>
                                      </w:rPr>
                                    </w:pPr>
                                    <w:r>
                                      <w:rPr>
                                        <w:rFonts w:hint="eastAsia" w:ascii="Times New Roman" w:hAnsi="Times New Roman" w:eastAsia="宋体" w:cs="Times New Roman"/>
                                        <w:color w:val="auto"/>
                                        <w:sz w:val="24"/>
                                        <w:szCs w:val="24"/>
                                        <w:lang w:val="en-US" w:eastAsia="zh-CN"/>
                                      </w:rPr>
                                      <w:t>橡胶回收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直接箭头连接符 60"/>
                              <wps:cNvCnPr/>
                              <wps:spPr>
                                <a:xfrm flipH="1">
                                  <a:off x="855980" y="4173220"/>
                                  <a:ext cx="353060" cy="8890"/>
                                </a:xfrm>
                                <a:prstGeom prst="straightConnector1">
                                  <a:avLst/>
                                </a:prstGeom>
                                <a:noFill/>
                                <a:ln w="15875" cap="flat" cmpd="sng" algn="ctr">
                                  <a:solidFill>
                                    <a:srgbClr val="000000"/>
                                  </a:solidFill>
                                  <a:prstDash val="solid"/>
                                  <a:tailEnd type="triangle"/>
                                </a:ln>
                                <a:effectLst/>
                              </wps:spPr>
                              <wps:bodyPr/>
                            </wps:wsp>
                            <wps:wsp>
                              <wps:cNvPr id="61" name="直接箭头连接符 61"/>
                              <wps:cNvCnPr/>
                              <wps:spPr>
                                <a:xfrm flipH="1" flipV="1">
                                  <a:off x="855980" y="3090545"/>
                                  <a:ext cx="353060" cy="8255"/>
                                </a:xfrm>
                                <a:prstGeom prst="straightConnector1">
                                  <a:avLst/>
                                </a:prstGeom>
                                <a:noFill/>
                                <a:ln w="15875" cap="flat" cmpd="sng" algn="ctr">
                                  <a:solidFill>
                                    <a:srgbClr val="000000"/>
                                  </a:solidFill>
                                  <a:prstDash val="solid"/>
                                  <a:tailEnd type="triangle"/>
                                </a:ln>
                                <a:effectLst/>
                              </wps:spPr>
                              <wps:bodyPr/>
                            </wps:wsp>
                            <wps:wsp>
                              <wps:cNvPr id="48" name="肘形连接符 48"/>
                              <wps:cNvCnPr>
                                <a:stCxn id="41" idx="3"/>
                                <a:endCxn id="44" idx="3"/>
                              </wps:cNvCnPr>
                              <wps:spPr>
                                <a:xfrm flipH="1">
                                  <a:off x="2028190" y="1487170"/>
                                  <a:ext cx="3175" cy="1611630"/>
                                </a:xfrm>
                                <a:prstGeom prst="bentConnector3">
                                  <a:avLst>
                                    <a:gd name="adj1" fmla="val -12500000"/>
                                  </a:avLst>
                                </a:prstGeom>
                                <a:noFill/>
                                <a:ln w="12700" cap="flat" cmpd="sng" algn="ctr">
                                  <a:solidFill>
                                    <a:srgbClr val="000000"/>
                                  </a:solidFill>
                                  <a:prstDash val="dash"/>
                                  <a:tailEnd type="none"/>
                                </a:ln>
                                <a:effectLst/>
                              </wps:spPr>
                              <wps:bodyPr/>
                            </wps:wsp>
                            <wps:wsp>
                              <wps:cNvPr id="49" name="直接连接符 49"/>
                              <wps:cNvCnPr/>
                              <wps:spPr>
                                <a:xfrm>
                                  <a:off x="2028190" y="2024380"/>
                                  <a:ext cx="403860" cy="0"/>
                                </a:xfrm>
                                <a:prstGeom prst="line">
                                  <a:avLst/>
                                </a:prstGeom>
                                <a:noFill/>
                                <a:ln w="12700" cap="flat" cmpd="sng" algn="ctr">
                                  <a:solidFill>
                                    <a:srgbClr val="000000"/>
                                  </a:solidFill>
                                  <a:prstDash val="dash"/>
                                  <a:tailEnd type="triangle"/>
                                </a:ln>
                                <a:effectLst/>
                              </wps:spPr>
                              <wps:bodyPr/>
                            </wps:wsp>
                            <wps:wsp>
                              <wps:cNvPr id="50" name="直接连接符 50"/>
                              <wps:cNvCnPr/>
                              <wps:spPr>
                                <a:xfrm>
                                  <a:off x="2028190" y="2576830"/>
                                  <a:ext cx="403860" cy="0"/>
                                </a:xfrm>
                                <a:prstGeom prst="line">
                                  <a:avLst/>
                                </a:prstGeom>
                                <a:noFill/>
                                <a:ln w="12700" cap="flat" cmpd="sng" algn="ctr">
                                  <a:solidFill>
                                    <a:srgbClr val="000000"/>
                                  </a:solidFill>
                                  <a:prstDash val="dash"/>
                                  <a:tailEnd type="triangle"/>
                                </a:ln>
                                <a:effectLst/>
                              </wps:spPr>
                              <wps:bodyPr/>
                            </wps:wsp>
                            <wps:wsp>
                              <wps:cNvPr id="56" name="直接连接符 56"/>
                              <wps:cNvCnPr>
                                <a:endCxn id="45" idx="1"/>
                              </wps:cNvCnPr>
                              <wps:spPr>
                                <a:xfrm flipV="1">
                                  <a:off x="2447290" y="2342515"/>
                                  <a:ext cx="494665" cy="5715"/>
                                </a:xfrm>
                                <a:prstGeom prst="line">
                                  <a:avLst/>
                                </a:prstGeom>
                                <a:noFill/>
                                <a:ln w="12700" cap="flat" cmpd="sng" algn="ctr">
                                  <a:solidFill>
                                    <a:srgbClr val="000000"/>
                                  </a:solidFill>
                                  <a:prstDash val="dash"/>
                                  <a:tailEnd type="triangle"/>
                                </a:ln>
                                <a:effectLst/>
                              </wps:spPr>
                              <wps:bodyPr/>
                            </wps:wsp>
                          </wpc:wpc>
                        </a:graphicData>
                      </a:graphic>
                    </wp:anchor>
                  </w:drawing>
                </mc:Choice>
                <mc:Fallback>
                  <w:pict>
                    <v:group id="_x0000_s1026" o:spid="_x0000_s1026" o:spt="203" style="position:absolute;left:0pt;margin-left:57.3pt;margin-top:7.6pt;height:382.85pt;width:304.3pt;z-index:251660288;mso-width-relative:page;mso-height-relative:page;" coordsize="3864610,4862195" editas="canvas" o:gfxdata="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BoR4pS2QAAAAoBAAAPAAAAAAAA&#10;AAEAIAAAACIAAABkcnMvZG93bnJldi54bWxQSwECFAAUAAAACACHTuJAEywZcKIHAAB1QAAADgAA&#10;AAAAAAABACAAAAAoAQAAZHJzL2Uyb0RvYy54bWxQSwUGAAAAAAYABgBZAQAAPAsAAAAA&#10;">
                      <o:lock v:ext="edit" aspectratio="f"/>
                      <v:shape id="_x0000_s1026" o:spid="_x0000_s1026" style="position:absolute;left:0;top:0;height:4862195;width:3864610;" filled="f" stroked="f" coordsize="21600,21600" o:gfxdata="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aEeKUtkAAAAKAQAADwAAAAAAAAAB&#10;ACAAAAAiAAAAZHJzL2Rvd25yZXYueG1sUEsBAhQAFAAAAAgAh07iQARfVfBnBwAA8D8AAA4AAAAA&#10;AAAAAQAgAAAAKAEAAGRycy9lMm9Eb2MueG1sUEsFBgAAAAAGAAYAWQEAAAELAAAAAA==&#10;">
                        <v:fill on="f" focussize="0,0"/>
                        <v:stroke on="f"/>
                        <v:imagedata o:title=""/>
                        <o:lock v:ext="edit" aspectratio="f"/>
                      </v:shape>
                      <v:shape id="_x0000_s1026" o:spid="_x0000_s1026" o:spt="202" type="#_x0000_t202" style="position:absolute;left:770890;top:95885;height:493395;width:1771015;" filled="f" stroked="f" coordsize="21600,21600" o:gfxdata="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tY0jm2QAAAAoBAAAPAAAA&#10;AAAAAAEAIAAAACIAAABkcnMvZG93bnJldi54bWxQSwECFAAUAAAACACHTuJAIuKmh00CAAB/BAAA&#10;DgAAAAAAAAABACAAAAAoAQAAZHJzL2Uyb0RvYy54bWxQSwUGAAAAAAYABgBZAQAA5wUAAAAA&#10;">
                        <v:fill on="f" focussize="0,0"/>
                        <v:stroke on="f" weight="0.5pt"/>
                        <v:imagedata o:title=""/>
                        <o:lock v:ext="edit" aspectratio="f"/>
                        <v:textbox>
                          <w:txbxContent>
                            <w:p w14:paraId="76D844C8">
                              <w:pPr>
                                <w:jc w:val="center"/>
                                <w:rPr>
                                  <w:rFonts w:hint="default"/>
                                  <w:sz w:val="24"/>
                                  <w:szCs w:val="24"/>
                                  <w:lang w:val="en-US"/>
                                </w:rPr>
                              </w:pPr>
                              <w:r>
                                <w:rPr>
                                  <w:rFonts w:hint="eastAsia" w:ascii="Times New Roman" w:hAnsi="Times New Roman" w:eastAsia="宋体" w:cs="Times New Roman"/>
                                  <w:color w:val="auto"/>
                                  <w:sz w:val="24"/>
                                  <w:szCs w:val="24"/>
                                  <w:lang w:val="en-US" w:eastAsia="zh-CN"/>
                                </w:rPr>
                                <w:t>未被污染的医用塑料输液瓶（袋）/废塑料品</w:t>
                              </w:r>
                            </w:p>
                          </w:txbxContent>
                        </v:textbox>
                      </v:shape>
                      <v:shape id="_x0000_s1026" o:spid="_x0000_s1026" o:spt="202" type="#_x0000_t202" style="position:absolute;left:1209040;top:1319530;height:334645;width:821055;" filled="f" stroked="t" coordsize="21600,21600" o:gfxdata="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nf3T2AAAAAoBAAAPAAAAAAAAAAEAIAAAACIAAABkcnMvZG93bnJldi54bWxQSwECFAAUAAAA&#10;CACHTuJAazcb9GACAACqBAAADgAAAAAAAAABACAAAAAnAQAAZHJzL2Uyb0RvYy54bWxQSwUGAAAA&#10;AAYABgBZAQAA+QUAAAAA&#10;">
                        <v:fill on="f" focussize="0,0"/>
                        <v:stroke weight="0.5pt" color="#000000" joinstyle="round"/>
                        <v:imagedata o:title=""/>
                        <o:lock v:ext="edit" aspectratio="f"/>
                        <v:textbox>
                          <w:txbxContent>
                            <w:p w14:paraId="77C78E94">
                              <w:pPr>
                                <w:jc w:val="center"/>
                                <w:rPr>
                                  <w:sz w:val="24"/>
                                  <w:szCs w:val="24"/>
                                </w:rPr>
                              </w:pPr>
                              <w:r>
                                <w:rPr>
                                  <w:rFonts w:hint="eastAsia" w:ascii="Times New Roman" w:hAnsi="Times New Roman" w:eastAsia="宋体" w:cs="Times New Roman"/>
                                  <w:color w:val="auto"/>
                                  <w:sz w:val="24"/>
                                  <w:szCs w:val="24"/>
                                  <w:lang w:val="en-US" w:eastAsia="zh-CN"/>
                                </w:rPr>
                                <w:t>破碎</w:t>
                              </w:r>
                            </w:p>
                          </w:txbxContent>
                        </v:textbox>
                      </v:shape>
                      <v:shape id="_x0000_s1026" o:spid="_x0000_s1026" o:spt="202" type="#_x0000_t202" style="position:absolute;left:1209040;top:1856740;height:334645;width:819150;" filled="f" stroked="t" coordsize="21600,21600" o:gfxdata="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9&#10;nf3T2AAAAAoBAAAPAAAAAAAAAAEAIAAAACIAAABkcnMvZG93bnJldi54bWxQSwECFAAUAAAACACH&#10;TuJA2De7YF0CAACqBAAADgAAAAAAAAABACAAAAAnAQAAZHJzL2Uyb0RvYy54bWxQSwUGAAAAAAYA&#10;BgBZAQAA9gUAAAAA&#10;">
                        <v:fill on="f" focussize="0,0"/>
                        <v:stroke weight="0.5pt" color="#000000" joinstyle="round"/>
                        <v:imagedata o:title=""/>
                        <o:lock v:ext="edit" aspectratio="f"/>
                        <v:textbox>
                          <w:txbxContent>
                            <w:p w14:paraId="33EB68EE">
                              <w:pPr>
                                <w:jc w:val="center"/>
                                <w:rPr>
                                  <w:sz w:val="24"/>
                                  <w:szCs w:val="24"/>
                                </w:rPr>
                              </w:pPr>
                              <w:r>
                                <w:rPr>
                                  <w:rFonts w:hint="eastAsia" w:ascii="Times New Roman" w:hAnsi="Times New Roman" w:eastAsia="宋体" w:cs="Times New Roman"/>
                                  <w:color w:val="auto"/>
                                  <w:sz w:val="24"/>
                                  <w:szCs w:val="24"/>
                                  <w:lang w:val="en-US" w:eastAsia="zh-CN"/>
                                </w:rPr>
                                <w:t>强力摩擦</w:t>
                              </w:r>
                            </w:p>
                          </w:txbxContent>
                        </v:textbox>
                      </v:shape>
                      <v:shape id="_x0000_s1026" o:spid="_x0000_s1026" o:spt="202" type="#_x0000_t202" style="position:absolute;left:1209040;top:2393950;height:334645;width:821055;" filled="f" stroked="t" coordsize="21600,21600" o:gfxdata="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2d/dPYAAAACgEAAA8AAAAAAAAAAQAgAAAAIgAAAGRycy9kb3ducmV2LnhtbFBLAQIUABQAAAAI&#10;AIdO4kA5R0ZHXwIAAKoEAAAOAAAAAAAAAAEAIAAAACcBAABkcnMvZTJvRG9jLnhtbFBLBQYAAAAA&#10;BgAGAFkBAAD4BQAAAAA=&#10;">
                        <v:fill on="f" focussize="0,0"/>
                        <v:stroke weight="0.5pt" color="#000000" joinstyle="round"/>
                        <v:imagedata o:title=""/>
                        <o:lock v:ext="edit" aspectratio="f"/>
                        <v:textbox>
                          <w:txbxContent>
                            <w:p w14:paraId="57EEB274">
                              <w:pPr>
                                <w:jc w:val="center"/>
                                <w:rPr>
                                  <w:sz w:val="24"/>
                                  <w:szCs w:val="24"/>
                                </w:rPr>
                              </w:pPr>
                              <w:r>
                                <w:rPr>
                                  <w:rFonts w:hint="eastAsia" w:ascii="Times New Roman" w:hAnsi="Times New Roman" w:eastAsia="宋体" w:cs="Times New Roman"/>
                                  <w:color w:val="auto"/>
                                  <w:sz w:val="24"/>
                                  <w:szCs w:val="24"/>
                                  <w:lang w:val="en-US" w:eastAsia="zh-CN"/>
                                </w:rPr>
                                <w:t>洗脱机</w:t>
                              </w:r>
                            </w:p>
                          </w:txbxContent>
                        </v:textbox>
                      </v:shape>
                      <v:shape id="_x0000_s1026" o:spid="_x0000_s1026" o:spt="202" type="#_x0000_t202" style="position:absolute;left:1209040;top:2931160;height:334645;width:819150;" filled="f" stroked="t" coordsize="21600,21600" o:gfxdata="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nf3T2AAAAAoBAAAPAAAAAAAAAAEAIAAAACIAAABkcnMvZG93bnJldi54bWxQSwECFAAUAAAA&#10;CACHTuJA8uOEgWACAACqBAAADgAAAAAAAAABACAAAAAnAQAAZHJzL2Uyb0RvYy54bWxQSwUGAAAA&#10;AAYABgBZAQAA+QUAAAAA&#10;">
                        <v:fill on="f" focussize="0,0"/>
                        <v:stroke weight="0.5pt" color="#000000" joinstyle="round"/>
                        <v:imagedata o:title=""/>
                        <o:lock v:ext="edit" aspectratio="f"/>
                        <v:textbox>
                          <w:txbxContent>
                            <w:p w14:paraId="5CE205D5">
                              <w:pPr>
                                <w:jc w:val="center"/>
                                <w:rPr>
                                  <w:sz w:val="24"/>
                                  <w:szCs w:val="24"/>
                                </w:rPr>
                              </w:pPr>
                              <w:r>
                                <w:rPr>
                                  <w:rFonts w:hint="eastAsia" w:ascii="Times New Roman" w:hAnsi="Times New Roman" w:eastAsia="宋体" w:cs="Times New Roman"/>
                                  <w:color w:val="auto"/>
                                  <w:sz w:val="24"/>
                                  <w:szCs w:val="24"/>
                                  <w:lang w:val="en-US" w:eastAsia="zh-CN"/>
                                </w:rPr>
                                <w:t>沉浮分流</w:t>
                              </w:r>
                            </w:p>
                          </w:txbxContent>
                        </v:textbox>
                      </v:shape>
                      <v:shape id="_x0000_s1026" o:spid="_x0000_s1026" o:spt="202" type="#_x0000_t202" style="position:absolute;left:1209040;top:3468370;height:334645;width:819150;" filled="f" stroked="t" coordsize="21600,21600" o:gfxdata="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9&#10;nf3T2AAAAAoBAAAPAAAAAAAAAAEAIAAAACIAAABkcnMvZG93bnJldi54bWxQSwECFAAUAAAACACH&#10;TuJAjkM5ql0CAACoBAAADgAAAAAAAAABACAAAAAnAQAAZHJzL2Uyb0RvYy54bWxQSwUGAAAAAAYA&#10;BgBZAQAA9gUAAAAA&#10;">
                        <v:fill on="f" focussize="0,0"/>
                        <v:stroke weight="0.5pt" color="#000000" joinstyle="round"/>
                        <v:imagedata o:title=""/>
                        <o:lock v:ext="edit" aspectratio="f"/>
                        <v:textbox>
                          <w:txbxContent>
                            <w:p w14:paraId="1A296866">
                              <w:pPr>
                                <w:jc w:val="center"/>
                                <w:rPr>
                                  <w:sz w:val="24"/>
                                  <w:szCs w:val="24"/>
                                </w:rPr>
                              </w:pPr>
                              <w:r>
                                <w:rPr>
                                  <w:rFonts w:hint="eastAsia" w:ascii="Times New Roman" w:hAnsi="Times New Roman" w:eastAsia="宋体" w:cs="Times New Roman"/>
                                  <w:color w:val="auto"/>
                                  <w:sz w:val="24"/>
                                  <w:szCs w:val="24"/>
                                  <w:lang w:val="en-US" w:eastAsia="zh-CN"/>
                                </w:rPr>
                                <w:t>脱水干燥</w:t>
                              </w:r>
                            </w:p>
                          </w:txbxContent>
                        </v:textbox>
                      </v:shape>
                      <v:shape id="_x0000_s1026" o:spid="_x0000_s1026" o:spt="202" type="#_x0000_t202" style="position:absolute;left:1209040;top:4005580;height:334645;width:819150;" filled="f" stroked="t" coordsize="21600,21600" o:gfxdata="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3909gAAAAKAQAADwAAAAAAAAABACAAAAAiAAAAZHJzL2Rvd25yZXYueG1sUEsBAhQAFAAAAAgA&#10;h07iQL0uE1xeAgAAqgQAAA4AAAAAAAAAAQAgAAAAJwEAAGRycy9lMm9Eb2MueG1sUEsFBgAAAAAG&#10;AAYAWQEAAPcFAAAAAA==&#10;">
                        <v:fill on="f" focussize="0,0"/>
                        <v:stroke weight="0.5pt" color="#000000" joinstyle="round"/>
                        <v:imagedata o:title=""/>
                        <o:lock v:ext="edit" aspectratio="f"/>
                        <v:textbox>
                          <w:txbxContent>
                            <w:p w14:paraId="372F3744">
                              <w:pPr>
                                <w:jc w:val="center"/>
                                <w:rPr>
                                  <w:sz w:val="24"/>
                                  <w:szCs w:val="24"/>
                                </w:rPr>
                              </w:pPr>
                              <w:r>
                                <w:rPr>
                                  <w:rFonts w:hint="eastAsia" w:ascii="Times New Roman" w:hAnsi="Times New Roman" w:eastAsia="宋体" w:cs="Times New Roman"/>
                                  <w:color w:val="auto"/>
                                  <w:sz w:val="24"/>
                                  <w:szCs w:val="24"/>
                                  <w:lang w:val="en-US" w:eastAsia="zh-CN"/>
                                </w:rPr>
                                <w:t>分选分离</w:t>
                              </w:r>
                            </w:p>
                          </w:txbxContent>
                        </v:textbox>
                      </v:shape>
                      <v:shape id="_x0000_s1026" o:spid="_x0000_s1026" o:spt="202" type="#_x0000_t202" style="position:absolute;left:1189990;top:4542790;height:297180;width:857250;" filled="f" stroked="f" coordsize="21600,21600" o:gfxdata="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1jSObZAAAACgEAAA8AAAAAAAAA&#10;AQAgAAAAIgAAAGRycy9kb3ducmV2LnhtbFBLAQIUABQAAAAIAIdO4kBCdXN5SQIAAIEEAAAOAAAA&#10;AAAAAAEAIAAAACgBAABkcnMvZTJvRG9jLnhtbFBLBQYAAAAABgAGAFkBAADjBQAAAAA=&#10;">
                        <v:fill on="f" focussize="0,0"/>
                        <v:stroke on="f" weight="0.5pt"/>
                        <v:imagedata o:title=""/>
                        <o:lock v:ext="edit" aspectratio="f"/>
                        <v:textbox>
                          <w:txbxContent>
                            <w:p w14:paraId="6542C666">
                              <w:pPr>
                                <w:jc w:val="center"/>
                                <w:rPr>
                                  <w:sz w:val="24"/>
                                  <w:szCs w:val="24"/>
                                </w:rPr>
                              </w:pPr>
                              <w:r>
                                <w:rPr>
                                  <w:rFonts w:hint="eastAsia" w:ascii="Times New Roman" w:hAnsi="Times New Roman" w:eastAsia="宋体" w:cs="Times New Roman"/>
                                  <w:color w:val="auto"/>
                                  <w:sz w:val="24"/>
                                  <w:szCs w:val="24"/>
                                  <w:lang w:val="en-US" w:eastAsia="zh-CN"/>
                                </w:rPr>
                                <w:t>塑料回收</w:t>
                              </w:r>
                            </w:p>
                          </w:txbxContent>
                        </v:textbox>
                      </v:shape>
                      <v:shape id="_x0000_s1026" o:spid="_x0000_s1026" o:spt="202" type="#_x0000_t202" style="position:absolute;left:0;top:4033520;height:297180;width:856615;" filled="f" stroked="f" coordsize="21600,21600" o:gfxdata="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tY0jm2QAAAAoBAAAPAAAAAAAA&#10;AAEAIAAAACIAAABkcnMvZG93bnJldi54bWxQSwECFAAUAAAACACHTuJAzktTI0oCAAB7BAAADgAA&#10;AAAAAAABACAAAAAoAQAAZHJzL2Uyb0RvYy54bWxQSwUGAAAAAAYABgBZAQAA5AUAAAAA&#10;">
                        <v:fill on="f" focussize="0,0"/>
                        <v:stroke on="f" weight="0.5pt"/>
                        <v:imagedata o:title=""/>
                        <o:lock v:ext="edit" aspectratio="f"/>
                        <v:textbox>
                          <w:txbxContent>
                            <w:p w14:paraId="0D0F6E69">
                              <w:pPr>
                                <w:jc w:val="center"/>
                                <w:rPr>
                                  <w:sz w:val="21"/>
                                  <w:szCs w:val="21"/>
                                </w:rPr>
                              </w:pPr>
                              <w:r>
                                <w:rPr>
                                  <w:rFonts w:hint="eastAsia" w:ascii="Times New Roman" w:hAnsi="Times New Roman" w:eastAsia="宋体" w:cs="Times New Roman"/>
                                  <w:color w:val="auto"/>
                                  <w:sz w:val="24"/>
                                  <w:szCs w:val="24"/>
                                  <w:lang w:val="en-US" w:eastAsia="zh-CN"/>
                                </w:rPr>
                                <w:t>橡胶回收</w:t>
                              </w:r>
                            </w:p>
                          </w:txbxContent>
                        </v:textbox>
                      </v:shape>
                      <v:shape id="_x0000_s1026" o:spid="_x0000_s1026" o:spt="202" type="#_x0000_t202" style="position:absolute;left:1209040;top:782320;height:334645;width:819150;" filled="f" stroked="t" coordsize="21600,21600" o:gfxdata="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2d/dPYAAAACgEAAA8AAAAAAAAAAQAgAAAAIgAAAGRycy9kb3ducmV2LnhtbFBLAQIUABQAAAAI&#10;AIdO4kCkiLMZXwIAAKkEAAAOAAAAAAAAAAEAIAAAACcBAABkcnMvZTJvRG9jLnhtbFBLBQYAAAAA&#10;BgAGAFkBAAD4BQAAAAA=&#10;">
                        <v:fill on="f" focussize="0,0"/>
                        <v:stroke weight="0.5pt" color="#000000" joinstyle="round"/>
                        <v:imagedata o:title=""/>
                        <o:lock v:ext="edit" aspectratio="f"/>
                        <v:textbox>
                          <w:txbxContent>
                            <w:p w14:paraId="71E34831">
                              <w:pPr>
                                <w:keepNext w:val="0"/>
                                <w:keepLines w:val="0"/>
                                <w:pageBreakBefore w:val="0"/>
                                <w:widowControl w:val="0"/>
                                <w:kinsoku/>
                                <w:wordWrap/>
                                <w:overflowPunct/>
                                <w:topLinePunct w:val="0"/>
                                <w:bidi w:val="0"/>
                                <w:adjustRightInd/>
                                <w:snapToGrid/>
                                <w:spacing w:line="240" w:lineRule="auto"/>
                                <w:jc w:val="center"/>
                                <w:textAlignment w:val="auto"/>
                                <w:rPr>
                                  <w:sz w:val="24"/>
                                  <w:szCs w:val="24"/>
                                </w:rPr>
                              </w:pPr>
                              <w:r>
                                <w:rPr>
                                  <w:rFonts w:hint="eastAsia" w:ascii="Times New Roman" w:hAnsi="Times New Roman" w:eastAsia="宋体" w:cs="Times New Roman"/>
                                  <w:color w:val="auto"/>
                                  <w:sz w:val="24"/>
                                  <w:szCs w:val="24"/>
                                  <w:lang w:val="en-US" w:eastAsia="zh-CN"/>
                                </w:rPr>
                                <w:t>进料分选</w:t>
                              </w:r>
                            </w:p>
                          </w:txbxContent>
                        </v:textbox>
                      </v:shape>
                      <v:shape id="_x0000_s1026" o:spid="_x0000_s1026" o:spt="202" type="#_x0000_t202" style="position:absolute;left:2941955;top:2094230;height:496570;width:819150;" filled="f" stroked="t" coordsize="21600,21600" o:gfxdata="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9nf3T2AAAAAoBAAAPAAAAAAAA&#10;AAEAIAAAACIAAABkcnMvZG93bnJldi54bWxQSwECFAAUAAAACACHTuJANWtyXxICAAAaBAAADgAA&#10;AAAAAAABACAAAAAnAQAAZHJzL2Uyb0RvYy54bWxQSwUGAAAAAAYABgBZAQAAqwUAAAAA&#10;">
                        <v:fill on="f" focussize="0,0"/>
                        <v:stroke weight="0.5pt" color="#000000" joinstyle="round"/>
                        <v:imagedata o:title=""/>
                        <o:lock v:ext="edit" aspectratio="f"/>
                        <v:textbox>
                          <w:txbxContent>
                            <w:p w14:paraId="14D73F7E">
                              <w:pPr>
                                <w:jc w:val="center"/>
                                <w:rPr>
                                  <w:sz w:val="24"/>
                                  <w:szCs w:val="24"/>
                                </w:rPr>
                              </w:pPr>
                              <w:r>
                                <w:rPr>
                                  <w:rFonts w:hint="eastAsia" w:ascii="Times New Roman" w:hAnsi="Times New Roman" w:eastAsia="宋体" w:cs="Times New Roman"/>
                                  <w:color w:val="auto"/>
                                  <w:sz w:val="24"/>
                                  <w:szCs w:val="24"/>
                                  <w:lang w:val="en-US" w:eastAsia="zh-CN"/>
                                </w:rPr>
                                <w:t>污水预处理设施</w:t>
                              </w:r>
                            </w:p>
                          </w:txbxContent>
                        </v:textbox>
                      </v:shape>
                      <v:shape id="_x0000_s1026" o:spid="_x0000_s1026" o:spt="32" type="#_x0000_t32" style="position:absolute;left:1618615;top:579755;height:202565;width:0;" filled="f" stroked="t" coordsize="21600,21600" o:gfxdata="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ktZqHZAAAACgEAAA8AAAAAAAAAAQAg&#10;AAAAIgAAAGRycy9kb3ducmV2LnhtbFBLAQIUABQAAAAIAIdO4kCx9G4gDQIAAOUDAAAOAAAAAAAA&#10;AAEAIAAAACgBAABkcnMvZTJvRG9jLnhtbFBLBQYAAAAABgAGAFkBAACnBQAAAAA=&#10;">
                        <v:fill on="f" focussize="0,0"/>
                        <v:stroke weight="1.25pt" color="#000000" joinstyle="round" endarrow="block"/>
                        <v:imagedata o:title=""/>
                        <o:lock v:ext="edit" aspectratio="f"/>
                      </v:shape>
                      <v:shape id="_x0000_s1026" o:spid="_x0000_s1026" o:spt="32" type="#_x0000_t32" style="position:absolute;left:1618615;top:1116965;height:202565;width:1270;" filled="f" stroked="t" coordsize="21600,21600" o:gfxdata="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LWah2QAAAAoBAAAPAAAAAAAAAAEA&#10;IAAAACIAAABkcnMvZG93bnJldi54bWxQSwECFAAUAAAACACHTuJALkZUDg4CAADpAwAADgAAAAAA&#10;AAABACAAAAAoAQAAZHJzL2Uyb0RvYy54bWxQSwUGAAAAAAYABgBZAQAAqAUAAAAA&#10;">
                        <v:fill on="f" focussize="0,0"/>
                        <v:stroke weight="1.25pt" color="#000000" joinstyle="round" endarrow="block"/>
                        <v:imagedata o:title=""/>
                        <o:lock v:ext="edit" aspectratio="f"/>
                      </v:shape>
                      <v:shape id="_x0000_s1026" o:spid="_x0000_s1026" o:spt="32" type="#_x0000_t32" style="position:absolute;left:1618615;top:1654175;flip:x;height:202565;width:1270;" filled="f" stroked="t" coordsize="21600,21600" o:gfxdata="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sRA2QAAAAoBAAAPAAAA&#10;AAAAAAEAIAAAACIAAABkcnMvZG93bnJldi54bWxQSwECFAAUAAAACACHTuJAhOUpjRQCAADzAwAA&#10;DgAAAAAAAAABACAAAAAoAQAAZHJzL2Uyb0RvYy54bWxQSwUGAAAAAAYABgBZAQAArgUAAAAA&#10;">
                        <v:fill on="f" focussize="0,0"/>
                        <v:stroke weight="1.25pt" color="#000000" joinstyle="round" endarrow="block"/>
                        <v:imagedata o:title=""/>
                        <o:lock v:ext="edit" aspectratio="f"/>
                      </v:shape>
                      <v:shape id="_x0000_s1026" o:spid="_x0000_s1026" o:spt="32" type="#_x0000_t32" style="position:absolute;left:1618615;top:2191385;height:202565;width:1270;" filled="f" stroked="t" coordsize="21600,21600" o:gfxdata="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LWah2QAAAAoBAAAPAAAAAAAAAAEA&#10;IAAAACIAAABkcnMvZG93bnJldi54bWxQSwECFAAUAAAACACHTuJAyMEgUw4CAADpAwAADgAAAAAA&#10;AAABACAAAAAoAQAAZHJzL2Uyb0RvYy54bWxQSwUGAAAAAAYABgBZAQAAqAUAAAAA&#10;">
                        <v:fill on="f" focussize="0,0"/>
                        <v:stroke weight="1.25pt" color="#000000" joinstyle="round" endarrow="block"/>
                        <v:imagedata o:title=""/>
                        <o:lock v:ext="edit" aspectratio="f"/>
                      </v:shape>
                      <v:shape id="_x0000_s1026" o:spid="_x0000_s1026" o:spt="32" type="#_x0000_t32" style="position:absolute;left:1618615;top:2728595;flip:x;height:202565;width:1270;" filled="f" stroked="t" coordsize="21600,21600" o:gfxdata="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frEQNkAAAAKAQAADwAA&#10;AAAAAAABACAAAAAiAAAAZHJzL2Rvd25yZXYueG1sUEsBAhQAFAAAAAgAh07iQCMw1ZoVAgAA8wMA&#10;AA4AAAAAAAAAAQAgAAAAKAEAAGRycy9lMm9Eb2MueG1sUEsFBgAAAAAGAAYAWQEAAK8FAAAAAA==&#10;">
                        <v:fill on="f" focussize="0,0"/>
                        <v:stroke weight="1.25pt" color="#000000" joinstyle="round" endarrow="block"/>
                        <v:imagedata o:title=""/>
                        <o:lock v:ext="edit" aspectratio="f"/>
                      </v:shape>
                      <v:shape id="_x0000_s1026" o:spid="_x0000_s1026" o:spt="32" type="#_x0000_t32" style="position:absolute;left:1618615;top:3265805;height:202565;width:0;" filled="f" stroked="t" coordsize="21600,21600" o:gfxdata="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S1modkAAAAKAQAADwAAAAAAAAABACAA&#10;AAAiAAAAZHJzL2Rvd25yZXYueG1sUEsBAhQAFAAAAAgAh07iQORx47kMAgAA5gMAAA4AAAAAAAAA&#10;AQAgAAAAKAEAAGRycy9lMm9Eb2MueG1sUEsFBgAAAAAGAAYAWQEAAKYFAAAAAA==&#10;">
                        <v:fill on="f" focussize="0,0"/>
                        <v:stroke weight="1.25pt" color="#000000" joinstyle="round" endarrow="block"/>
                        <v:imagedata o:title=""/>
                        <o:lock v:ext="edit" aspectratio="f"/>
                      </v:shape>
                      <v:shape id="_x0000_s1026" o:spid="_x0000_s1026" o:spt="32" type="#_x0000_t32" style="position:absolute;left:1618615;top:3803015;height:202565;width:0;" filled="f" stroked="t" coordsize="21600,21600" o:gfxdata="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ktZqHZAAAACgEAAA8AAAAAAAAAAQAg&#10;AAAAIgAAAGRycy9kb3ducmV2LnhtbFBLAQIUABQAAAAIAIdO4kCMcBNHDQIAAOYDAAAOAAAAAAAA&#10;AAEAIAAAACgBAABkcnMvZTJvRG9jLnhtbFBLBQYAAAAABgAGAFkBAACnBQAAAAA=&#10;">
                        <v:fill on="f" focussize="0,0"/>
                        <v:stroke weight="1.25pt" color="#000000" joinstyle="round" endarrow="block"/>
                        <v:imagedata o:title=""/>
                        <o:lock v:ext="edit" aspectratio="f"/>
                      </v:shape>
                      <v:shape id="_x0000_s1026" o:spid="_x0000_s1026" o:spt="32" type="#_x0000_t32" style="position:absolute;left:1618615;top:4340225;height:202565;width:0;" filled="f" stroked="t" coordsize="21600,21600" o:gfxdata="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LWah2QAAAAoBAAAPAAAAAAAAAAEA&#10;IAAAACIAAABkcnMvZG93bnJldi54bWxQSwECFAAUAAAACACHTuJAjB+vog4CAADmAwAADgAAAAAA&#10;AAABACAAAAAoAQAAZHJzL2Uyb0RvYy54bWxQSwUGAAAAAAYABgBZAQAAqAUAAAAA&#10;">
                        <v:fill on="f" focussize="0,0"/>
                        <v:stroke weight="1.25pt" color="#000000" joinstyle="round" endarrow="block"/>
                        <v:imagedata o:title=""/>
                        <o:lock v:ext="edit" aspectratio="f"/>
                      </v:shape>
                      <v:shape id="_x0000_s1026" o:spid="_x0000_s1026" o:spt="202" type="#_x0000_t202" style="position:absolute;left:0;top:2941955;height:297180;width:866140;" filled="f" stroked="f" coordsize="21600,21600" o:gfxdata="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WNI5tkAAAAKAQAADwAAAAAAAAAB&#10;ACAAAAAiAAAAZHJzL2Rvd25yZXYueG1sUEsBAhQAFAAAAAgAh07iQOvF3cBIAgAAewQAAA4AAAAA&#10;AAAAAQAgAAAAKAEAAGRycy9lMm9Eb2MueG1sUEsFBgAAAAAGAAYAWQEAAOIFAAAAAA==&#10;">
                        <v:fill on="f" focussize="0,0"/>
                        <v:stroke on="f" weight="0.5pt"/>
                        <v:imagedata o:title=""/>
                        <o:lock v:ext="edit" aspectratio="f"/>
                        <v:textbox>
                          <w:txbxContent>
                            <w:p w14:paraId="460F58C3">
                              <w:pPr>
                                <w:jc w:val="center"/>
                                <w:rPr>
                                  <w:sz w:val="24"/>
                                  <w:szCs w:val="24"/>
                                </w:rPr>
                              </w:pPr>
                              <w:r>
                                <w:rPr>
                                  <w:rFonts w:hint="eastAsia" w:ascii="Times New Roman" w:hAnsi="Times New Roman" w:eastAsia="宋体" w:cs="Times New Roman"/>
                                  <w:color w:val="auto"/>
                                  <w:sz w:val="24"/>
                                  <w:szCs w:val="24"/>
                                  <w:lang w:val="en-US" w:eastAsia="zh-CN"/>
                                </w:rPr>
                                <w:t>橡胶回收</w:t>
                              </w:r>
                            </w:p>
                          </w:txbxContent>
                        </v:textbox>
                      </v:shape>
                      <v:shape id="_x0000_s1026" o:spid="_x0000_s1026" o:spt="32" type="#_x0000_t32" style="position:absolute;left:855980;top:4173220;flip:x;height:8890;width:353060;" filled="f" stroked="t" coordsize="21600,21600" o:gfxdata="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6xEDZAAAACgEAAA8A&#10;AAAAAAAAAQAgAAAAIgAAAGRycy9kb3ducmV2LnhtbFBLAQIUABQAAAAIAIdO4kCE2miYFgIAAPID&#10;AAAOAAAAAAAAAAEAIAAAACgBAABkcnMvZTJvRG9jLnhtbFBLBQYAAAAABgAGAFkBAACwBQAAAAA=&#10;">
                        <v:fill on="f" focussize="0,0"/>
                        <v:stroke weight="1.25pt" color="#000000" joinstyle="round" endarrow="block"/>
                        <v:imagedata o:title=""/>
                        <o:lock v:ext="edit" aspectratio="f"/>
                      </v:shape>
                      <v:shape id="_x0000_s1026" o:spid="_x0000_s1026" o:spt="32" type="#_x0000_t32" style="position:absolute;left:855980;top:3090545;flip:x y;height:8255;width:353060;" filled="f" stroked="t" coordsize="21600,21600" o:gfxdata="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wBbEHWAAAACgEA&#10;AA8AAAAAAAAAAQAgAAAAIgAAAGRycy9kb3ducmV2LnhtbFBLAQIUABQAAAAIAIdO4kAAiLqFHAIA&#10;APwDAAAOAAAAAAAAAAEAIAAAACUBAABkcnMvZTJvRG9jLnhtbFBLBQYAAAAABgAGAFkBAACzBQAA&#10;AAA=&#10;">
                        <v:fill on="f" focussize="0,0"/>
                        <v:stroke weight="1.25pt" color="#000000" joinstyle="round" endarrow="block"/>
                        <v:imagedata o:title=""/>
                        <o:lock v:ext="edit" aspectratio="f"/>
                      </v:shape>
                      <v:shape id="_x0000_s1026" o:spid="_x0000_s1026" o:spt="34" type="#_x0000_t34" style="position:absolute;left:2028190;top:1487170;flip:x;height:1611630;width:3175;" filled="f" stroked="t" coordsize="21600,21600" o:gfxdata="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&#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Zsuxk1wAAAAoBAAAPAAAAAAAAAAEAIAAAACIAAABk&#10;cnMvZG93bnJldi54bWxQSwECFAAUAAAACACHTuJAW8zWQUACAABYBAAADgAAAAAAAAABACAAAAAm&#10;AQAAZHJzL2Uyb0RvYy54bWxQSwUGAAAAAAYABgBZAQAA2AUAAAAA&#10;" adj="-2700000">
                        <v:fill on="f" focussize="0,0"/>
                        <v:stroke weight="1pt" color="#000000" joinstyle="round" dashstyle="dash"/>
                        <v:imagedata o:title=""/>
                        <o:lock v:ext="edit" aspectratio="f"/>
                      </v:shape>
                      <v:line id="_x0000_s1026" o:spid="_x0000_s1026" o:spt="20" style="position:absolute;left:2028190;top:2024380;height:0;width:403860;" filled="f" stroked="t" coordsize="21600,21600" o:gfxdata="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drO8LaAAAACgEAAA8AAAAAAAAAAQAgAAAAIgAAAGRycy9kb3ducmV2&#10;LnhtbFBLAQIUABQAAAAIAIdO4kBX+5WD+gEAANEDAAAOAAAAAAAAAAEAIAAAACkBAABkcnMvZTJv&#10;RG9jLnhtbFBLBQYAAAAABgAGAFkBAACVBQAAAAA=&#10;">
                        <v:fill on="f" focussize="0,0"/>
                        <v:stroke weight="1pt" color="#000000" joinstyle="round" dashstyle="dash" endarrow="block"/>
                        <v:imagedata o:title=""/>
                        <o:lock v:ext="edit" aspectratio="f"/>
                      </v:line>
                      <v:line id="_x0000_s1026" o:spid="_x0000_s1026" o:spt="20" style="position:absolute;left:2028190;top:2576830;height:0;width:403860;" filled="f" stroked="t" coordsize="21600,21600" o:gfxdata="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azvC2gAAAAoBAAAPAAAAAAAAAAEAIAAAACIAAABkcnMvZG93bnJl&#10;di54bWxQSwECFAAUAAAACACHTuJAeZyMAPsBAADRAwAADgAAAAAAAAABACAAAAApAQAAZHJzL2Uy&#10;b0RvYy54bWxQSwUGAAAAAAYABgBZAQAAlgUAAAAA&#10;">
                        <v:fill on="f" focussize="0,0"/>
                        <v:stroke weight="1pt" color="#000000" joinstyle="round" dashstyle="dash" endarrow="block"/>
                        <v:imagedata o:title=""/>
                        <o:lock v:ext="edit" aspectratio="f"/>
                      </v:line>
                      <v:line id="_x0000_s1026" o:spid="_x0000_s1026" o:spt="20" style="position:absolute;left:2447290;top:2342515;flip:y;height:5715;width:494665;" filled="f" stroked="t" coordsize="21600,21600" o:gfxdata="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QoTFtcAAAAKAQAADwAA&#10;AAAAAAABACAAAAAiAAAAZHJzL2Rvd25yZXYueG1sUEsBAhQAFAAAAAgAh07iQOM3Fn8XAgAABgQA&#10;AA4AAAAAAAAAAQAgAAAAJgEAAGRycy9lMm9Eb2MueG1sUEsFBgAAAAAGAAYAWQEAAK8FAAAAAA==&#10;">
                        <v:fill on="f" focussize="0,0"/>
                        <v:stroke weight="1pt" color="#000000" joinstyle="round" dashstyle="dash" endarrow="block"/>
                        <v:imagedata o:title=""/>
                        <o:lock v:ext="edit" aspectratio="f"/>
                      </v:line>
                    </v:group>
                  </w:pict>
                </mc:Fallback>
              </mc:AlternateContent>
            </w:r>
            <w:r>
              <w:rPr>
                <w:rFonts w:hint="default" w:ascii="Times New Roman" w:hAnsi="Times New Roman" w:eastAsia="宋体" w:cs="Times New Roman"/>
                <w:b w:val="0"/>
                <w:bCs w:val="0"/>
                <w:color w:val="auto"/>
                <w:sz w:val="24"/>
                <w:szCs w:val="24"/>
                <w:highlight w:val="none"/>
                <w:lang w:val="en-US" w:eastAsia="zh-CN"/>
              </w:rPr>
              <w:t>工艺介绍</w:t>
            </w:r>
          </w:p>
          <w:p w14:paraId="3C600A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2777490</wp:posOffset>
                      </wp:positionH>
                      <wp:positionV relativeFrom="paragraph">
                        <wp:posOffset>1423035</wp:posOffset>
                      </wp:positionV>
                      <wp:extent cx="1295400" cy="675640"/>
                      <wp:effectExtent l="0" t="38100" r="0" b="10160"/>
                      <wp:wrapNone/>
                      <wp:docPr id="105" name="肘形连接符 105"/>
                      <wp:cNvGraphicFramePr/>
                      <a:graphic xmlns:a="http://schemas.openxmlformats.org/drawingml/2006/main">
                        <a:graphicData uri="http://schemas.microsoft.com/office/word/2010/wordprocessingShape">
                          <wps:wsp>
                            <wps:cNvCnPr/>
                            <wps:spPr>
                              <a:xfrm rot="10800000">
                                <a:off x="5328285" y="4958080"/>
                                <a:ext cx="1295400" cy="675640"/>
                              </a:xfrm>
                              <a:prstGeom prst="bentConnector3">
                                <a:avLst>
                                  <a:gd name="adj1" fmla="val 2156"/>
                                </a:avLst>
                              </a:prstGeom>
                              <a:noFill/>
                              <a:ln w="12700" cap="flat" cmpd="sng" algn="ctr">
                                <a:solidFill>
                                  <a:srgbClr val="000000"/>
                                </a:solidFill>
                                <a:prstDash val="dash"/>
                                <a:tailEnd type="triangle"/>
                              </a:ln>
                              <a:effectLst/>
                            </wps:spPr>
                            <wps:bodyPr/>
                          </wps:wsp>
                        </a:graphicData>
                      </a:graphic>
                    </wp:anchor>
                  </w:drawing>
                </mc:Choice>
                <mc:Fallback>
                  <w:pict>
                    <v:shape id="_x0000_s1026" o:spid="_x0000_s1026" o:spt="34" type="#_x0000_t34" style="position:absolute;left:0pt;margin-left:218.7pt;margin-top:112.05pt;height:53.2pt;width:102pt;rotation:11796480f;z-index:251667456;mso-width-relative:page;mso-height-relative:page;" filled="f" stroked="t" coordsize="21600,21600" o:gfxdata="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TEdF2gAAAAsBAAAPAAAAAAAAAAEAIAAAACIAAABkcnMvZG93bnJldi54bWxQ&#10;SwECFAAUAAAACACHTuJA800kBy4CAAAeBAAADgAAAAAAAAABACAAAAApAQAAZHJzL2Uyb0RvYy54&#10;bWxQSwUGAAAAAAYABgBZAQAAyQUAAAAA&#10;" adj="466">
                      <v:fill on="f" focussize="0,0"/>
                      <v:stroke weight="1pt" color="#000000" joinstyle="round" dashstyle="dash" endarrow="block"/>
                      <v:imagedata o:title=""/>
                      <o:lock v:ext="edit" aspectratio="f"/>
                    </v:shape>
                  </w:pict>
                </mc:Fallback>
              </mc:AlternateContent>
            </w:r>
          </w:p>
          <w:p w14:paraId="321486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25C9B9F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14E59CC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087AED7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19D1074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1309791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5B04D0D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420586E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4A31EA4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13B772C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3AA91F7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77B3E7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70BB936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6AFE6F2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601BCD0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01B51A5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029847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p>
          <w:p w14:paraId="780E67B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图2.3-1 塑料输液瓶（袋）及生活源塑料工艺流程</w:t>
            </w:r>
          </w:p>
          <w:p w14:paraId="2A0C3BF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进料分选：</w:t>
            </w:r>
            <w:r>
              <w:rPr>
                <w:rFonts w:hint="eastAsia" w:cs="Times New Roman"/>
                <w:color w:val="auto"/>
                <w:sz w:val="24"/>
                <w:szCs w:val="24"/>
                <w:lang w:val="en-US" w:eastAsia="zh-CN"/>
              </w:rPr>
              <w:t>以</w:t>
            </w:r>
            <w:r>
              <w:rPr>
                <w:rFonts w:hint="default" w:ascii="Times New Roman" w:hAnsi="Times New Roman" w:eastAsia="宋体" w:cs="Times New Roman"/>
                <w:color w:val="auto"/>
                <w:sz w:val="24"/>
                <w:szCs w:val="24"/>
              </w:rPr>
              <w:t>使用后的一次性医用</w:t>
            </w:r>
            <w:r>
              <w:rPr>
                <w:rFonts w:hint="default" w:ascii="Times New Roman" w:hAnsi="Times New Roman" w:eastAsia="宋体" w:cs="Times New Roman"/>
                <w:color w:val="auto"/>
                <w:sz w:val="24"/>
                <w:szCs w:val="24"/>
                <w:lang w:eastAsia="zh-CN"/>
              </w:rPr>
              <w:t>塑料</w:t>
            </w:r>
            <w:r>
              <w:rPr>
                <w:rFonts w:hint="default" w:ascii="Times New Roman" w:hAnsi="Times New Roman" w:eastAsia="宋体" w:cs="Times New Roman"/>
                <w:color w:val="auto"/>
                <w:sz w:val="24"/>
                <w:szCs w:val="24"/>
              </w:rPr>
              <w:t>输液瓶（袋）为原料，未被病人血液、体液、排泄物污染，不属于医疗废物。先由各医疗机构负责对一次性医用输液瓶（袋）进行分拣，将针头和输液管等剪下来（作为医疗废物），和一次性医用输液瓶（袋）分开暂存，并将输液袋内残留的液体倒出，然后由密闭车辆运输进入本项目再生利用。</w:t>
            </w:r>
          </w:p>
          <w:p w14:paraId="128547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医用输液瓶</w:t>
            </w:r>
            <w:r>
              <w:rPr>
                <w:rFonts w:hint="default" w:ascii="Times New Roman" w:hAnsi="Times New Roman" w:eastAsia="宋体" w:cs="Times New Roman"/>
                <w:color w:val="auto"/>
                <w:sz w:val="24"/>
                <w:szCs w:val="24"/>
                <w:lang w:eastAsia="zh-CN"/>
              </w:rPr>
              <w:t>（袋）</w:t>
            </w:r>
            <w:r>
              <w:rPr>
                <w:rFonts w:hint="default" w:ascii="Times New Roman" w:hAnsi="Times New Roman" w:eastAsia="宋体" w:cs="Times New Roman"/>
                <w:color w:val="auto"/>
                <w:sz w:val="24"/>
                <w:szCs w:val="24"/>
              </w:rPr>
              <w:t>从各医疗卫生机构回收集中原料堆放区，经过人工的初步筛选，筛选掉其中的废包装材料。</w:t>
            </w:r>
          </w:p>
          <w:p w14:paraId="1E8FF16E">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破碎：</w:t>
            </w:r>
            <w:r>
              <w:rPr>
                <w:rFonts w:hint="default" w:ascii="Times New Roman" w:hAnsi="Times New Roman" w:eastAsia="宋体" w:cs="Times New Roman"/>
                <w:b w:val="0"/>
                <w:bCs w:val="0"/>
                <w:color w:val="auto"/>
                <w:sz w:val="24"/>
                <w:szCs w:val="24"/>
                <w:lang w:eastAsia="zh-CN"/>
              </w:rPr>
              <w:t>采用</w:t>
            </w:r>
            <w:r>
              <w:rPr>
                <w:rFonts w:hint="default" w:ascii="Times New Roman" w:hAnsi="Times New Roman" w:eastAsia="宋体" w:cs="Times New Roman"/>
                <w:b w:val="0"/>
                <w:bCs w:val="0"/>
                <w:color w:val="auto"/>
                <w:sz w:val="24"/>
                <w:szCs w:val="24"/>
                <w:lang w:val="en-US" w:eastAsia="zh-CN"/>
              </w:rPr>
              <w:t>上料输送机</w:t>
            </w:r>
            <w:r>
              <w:rPr>
                <w:rFonts w:hint="default" w:ascii="Times New Roman" w:hAnsi="Times New Roman" w:eastAsia="宋体" w:cs="Times New Roman"/>
                <w:b w:val="0"/>
                <w:bCs w:val="0"/>
                <w:color w:val="auto"/>
                <w:sz w:val="24"/>
                <w:szCs w:val="24"/>
                <w:lang w:eastAsia="zh-CN"/>
              </w:rPr>
              <w:t>送入</w:t>
            </w:r>
            <w:r>
              <w:rPr>
                <w:rFonts w:hint="default" w:ascii="Times New Roman" w:hAnsi="Times New Roman" w:eastAsia="宋体" w:cs="Times New Roman"/>
                <w:i w:val="0"/>
                <w:iCs w:val="0"/>
                <w:color w:val="auto"/>
                <w:kern w:val="0"/>
                <w:sz w:val="24"/>
                <w:szCs w:val="24"/>
                <w:u w:val="none"/>
                <w:lang w:val="en-US" w:eastAsia="zh-CN" w:bidi="ar"/>
              </w:rPr>
              <w:t>卧式粉碎机</w:t>
            </w:r>
            <w:r>
              <w:rPr>
                <w:rFonts w:hint="default" w:ascii="Times New Roman" w:hAnsi="Times New Roman" w:eastAsia="宋体" w:cs="Times New Roman"/>
                <w:b w:val="0"/>
                <w:bCs w:val="0"/>
                <w:color w:val="auto"/>
                <w:sz w:val="24"/>
                <w:szCs w:val="24"/>
                <w:lang w:eastAsia="zh-CN"/>
              </w:rPr>
              <w:t>进行湿式机械破碎。破碎机为密闭式，一侧接有水管，原料与水混合旋转搅拌并通过转轴上的破碎齿进行破碎，同时水对原料起到预清洗作用，破碎清洗为流水线形式，通过传送带持续送入破碎清洗机内，在机器内持续约1min的破碎清洗后流出，全过程常温、常压。破碎机底部设过滤网，湿式破碎后的塑料碎片通过螺旋机输送至</w:t>
            </w:r>
            <w:r>
              <w:rPr>
                <w:rFonts w:hint="default" w:ascii="Times New Roman" w:hAnsi="Times New Roman" w:eastAsia="宋体" w:cs="Times New Roman"/>
                <w:b w:val="0"/>
                <w:bCs w:val="0"/>
                <w:color w:val="auto"/>
                <w:sz w:val="24"/>
                <w:szCs w:val="24"/>
                <w:lang w:val="en-US" w:eastAsia="zh-CN"/>
              </w:rPr>
              <w:t>后续工段</w:t>
            </w:r>
            <w:r>
              <w:rPr>
                <w:rFonts w:hint="default" w:ascii="Times New Roman" w:hAnsi="Times New Roman" w:eastAsia="宋体" w:cs="Times New Roman"/>
                <w:b w:val="0"/>
                <w:bCs w:val="0"/>
                <w:color w:val="auto"/>
                <w:sz w:val="24"/>
                <w:szCs w:val="24"/>
                <w:lang w:eastAsia="zh-CN"/>
              </w:rPr>
              <w:t>；湿式破碎废水经破碎机底部流入破碎机下方的围堰并引入污水</w:t>
            </w:r>
            <w:r>
              <w:rPr>
                <w:rFonts w:hint="eastAsia" w:ascii="Times New Roman" w:hAnsi="Times New Roman" w:cs="Times New Roman"/>
                <w:b w:val="0"/>
                <w:bCs w:val="0"/>
                <w:color w:val="auto"/>
                <w:sz w:val="24"/>
                <w:szCs w:val="24"/>
                <w:lang w:val="en-US" w:eastAsia="zh-CN"/>
              </w:rPr>
              <w:t>处理</w:t>
            </w:r>
            <w:r>
              <w:rPr>
                <w:rFonts w:hint="default" w:ascii="Times New Roman" w:hAnsi="Times New Roman" w:eastAsia="宋体" w:cs="Times New Roman"/>
                <w:b w:val="0"/>
                <w:bCs w:val="0"/>
                <w:color w:val="auto"/>
                <w:sz w:val="24"/>
                <w:szCs w:val="24"/>
                <w:lang w:eastAsia="zh-CN"/>
              </w:rPr>
              <w:t>设施处理后通过回用</w:t>
            </w:r>
            <w:r>
              <w:rPr>
                <w:rFonts w:hint="eastAsia" w:ascii="Times New Roman" w:hAnsi="Times New Roman" w:cs="Times New Roman"/>
                <w:b w:val="0"/>
                <w:bCs w:val="0"/>
                <w:color w:val="auto"/>
                <w:sz w:val="24"/>
                <w:szCs w:val="24"/>
                <w:lang w:val="en-US" w:eastAsia="zh-CN"/>
              </w:rPr>
              <w:t>管道</w:t>
            </w:r>
            <w:r>
              <w:rPr>
                <w:rFonts w:hint="default" w:ascii="Times New Roman" w:hAnsi="Times New Roman" w:eastAsia="宋体" w:cs="Times New Roman"/>
                <w:b w:val="0"/>
                <w:bCs w:val="0"/>
                <w:color w:val="auto"/>
                <w:sz w:val="24"/>
                <w:szCs w:val="24"/>
                <w:lang w:eastAsia="zh-CN"/>
              </w:rPr>
              <w:t>循环再利用，回用水池中部分水定期再经一体化生化设备处理后纳管排放。</w:t>
            </w:r>
          </w:p>
          <w:p w14:paraId="28EC53E0">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强力摩擦：</w:t>
            </w:r>
            <w:r>
              <w:rPr>
                <w:rFonts w:hint="default" w:ascii="Times New Roman" w:hAnsi="Times New Roman" w:eastAsia="宋体" w:cs="Times New Roman"/>
                <w:color w:val="auto"/>
                <w:sz w:val="24"/>
                <w:szCs w:val="24"/>
              </w:rPr>
              <w:t>塑料片材输送至</w:t>
            </w:r>
            <w:r>
              <w:rPr>
                <w:rFonts w:hint="default" w:ascii="Times New Roman" w:hAnsi="Times New Roman" w:eastAsia="宋体" w:cs="Times New Roman"/>
                <w:i w:val="0"/>
                <w:iCs w:val="0"/>
                <w:color w:val="auto"/>
                <w:kern w:val="0"/>
                <w:sz w:val="24"/>
                <w:szCs w:val="24"/>
                <w:u w:val="none"/>
                <w:lang w:val="en-US" w:eastAsia="zh-CN" w:bidi="ar"/>
              </w:rPr>
              <w:t>强力摩擦机</w:t>
            </w:r>
            <w:r>
              <w:rPr>
                <w:rFonts w:hint="default" w:ascii="Times New Roman" w:hAnsi="Times New Roman" w:eastAsia="宋体" w:cs="Times New Roman"/>
                <w:color w:val="auto"/>
                <w:sz w:val="24"/>
                <w:szCs w:val="24"/>
              </w:rPr>
              <w:t>，通过物料间高速摩擦将附着在塑料上的不干胶纸等清洗干净，后续进入立式洗脱机。</w:t>
            </w:r>
          </w:p>
          <w:p w14:paraId="26092E2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洗脱机：</w:t>
            </w:r>
            <w:r>
              <w:rPr>
                <w:rFonts w:hint="default" w:ascii="Times New Roman" w:hAnsi="Times New Roman" w:eastAsia="宋体" w:cs="Times New Roman"/>
                <w:color w:val="auto"/>
                <w:sz w:val="24"/>
                <w:szCs w:val="24"/>
              </w:rPr>
              <w:t>项目90%以上的纸浆从立式洗脱机甩出，被脱离纸浆后的物料进入下段洗料机中进行洗除残留纸浆，该工段需要添加回用水。</w:t>
            </w:r>
          </w:p>
          <w:p w14:paraId="417EC256">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沉浮分流：</w:t>
            </w:r>
            <w:r>
              <w:rPr>
                <w:rFonts w:hint="default" w:ascii="Times New Roman" w:hAnsi="Times New Roman" w:eastAsia="宋体" w:cs="Times New Roman"/>
                <w:color w:val="auto"/>
                <w:sz w:val="24"/>
                <w:szCs w:val="24"/>
              </w:rPr>
              <w:t>分离完纸浆的物料进入沉浮分离水槽中进行分离沉水的橡胶，后续再进入脱水机中进行脱水。本工段分离沉浮需要添加新鲜水</w:t>
            </w:r>
            <w:r>
              <w:rPr>
                <w:rFonts w:hint="default" w:ascii="Times New Roman" w:hAnsi="Times New Roman" w:eastAsia="宋体" w:cs="Times New Roman"/>
                <w:color w:val="auto"/>
                <w:sz w:val="24"/>
                <w:szCs w:val="24"/>
                <w:lang w:eastAsia="zh-CN"/>
              </w:rPr>
              <w:t>。</w:t>
            </w:r>
          </w:p>
          <w:p w14:paraId="6C33295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脱水干燥：</w:t>
            </w:r>
            <w:r>
              <w:rPr>
                <w:rFonts w:hint="default" w:ascii="Times New Roman" w:hAnsi="Times New Roman" w:eastAsia="宋体" w:cs="Times New Roman"/>
                <w:color w:val="auto"/>
                <w:sz w:val="24"/>
                <w:szCs w:val="24"/>
              </w:rPr>
              <w:t>经过脱水完后的物料进入烘干机中烘干水分</w:t>
            </w:r>
            <w:r>
              <w:rPr>
                <w:rFonts w:hint="default" w:ascii="Times New Roman" w:hAnsi="Times New Roman" w:eastAsia="宋体" w:cs="Times New Roman"/>
                <w:color w:val="auto"/>
                <w:sz w:val="24"/>
                <w:szCs w:val="24"/>
                <w:lang w:eastAsia="zh-CN"/>
              </w:rPr>
              <w:t>。</w:t>
            </w:r>
          </w:p>
          <w:p w14:paraId="1ABCF5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lang w:eastAsia="zh-CN"/>
              </w:rPr>
              <w:t>分选分离：</w:t>
            </w:r>
            <w:r>
              <w:rPr>
                <w:rFonts w:hint="default" w:ascii="Times New Roman" w:hAnsi="Times New Roman" w:eastAsia="宋体" w:cs="Times New Roman"/>
                <w:color w:val="auto"/>
                <w:sz w:val="24"/>
                <w:szCs w:val="24"/>
              </w:rPr>
              <w:t>送入负压气流风选机中进行风选分离，主要用于输液袋的袋身与袋嘴分离。分离后的物料中是含有发泡浮水橡胶，后续工序经过橡胶材质分离机进行分离发泡浮水橡胶，分离率千分之二，根据分离效果实际情况增设人工挑选。最终得到纯净的塑料破碎料。</w:t>
            </w:r>
          </w:p>
          <w:p w14:paraId="6E36502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7BAEEC0D">
            <w:pPr>
              <w:pStyle w:val="2"/>
              <w:rPr>
                <w:rFonts w:hint="default" w:ascii="Times New Roman" w:hAnsi="Times New Roman" w:eastAsia="宋体" w:cs="Times New Roman"/>
                <w:b w:val="0"/>
                <w:bCs w:val="0"/>
                <w:color w:val="auto"/>
                <w:sz w:val="24"/>
                <w:szCs w:val="24"/>
                <w:highlight w:val="none"/>
                <w:lang w:val="en-US" w:eastAsia="zh-CN"/>
              </w:rPr>
            </w:pPr>
          </w:p>
          <w:p w14:paraId="4BCFE9D2">
            <w:pPr>
              <w:rPr>
                <w:rFonts w:hint="default" w:ascii="Times New Roman" w:hAnsi="Times New Roman" w:eastAsia="宋体" w:cs="Times New Roman"/>
                <w:b w:val="0"/>
                <w:bCs w:val="0"/>
                <w:color w:val="auto"/>
                <w:sz w:val="24"/>
                <w:szCs w:val="24"/>
                <w:highlight w:val="none"/>
                <w:lang w:val="en-US" w:eastAsia="zh-CN"/>
              </w:rPr>
            </w:pPr>
          </w:p>
          <w:p w14:paraId="27A19962">
            <w:pPr>
              <w:pStyle w:val="2"/>
              <w:rPr>
                <w:rFonts w:hint="default" w:ascii="Times New Roman" w:hAnsi="Times New Roman" w:eastAsia="宋体" w:cs="Times New Roman"/>
                <w:b w:val="0"/>
                <w:bCs w:val="0"/>
                <w:color w:val="auto"/>
                <w:sz w:val="24"/>
                <w:szCs w:val="24"/>
                <w:highlight w:val="none"/>
                <w:lang w:val="en-US" w:eastAsia="zh-CN"/>
              </w:rPr>
            </w:pPr>
          </w:p>
          <w:p w14:paraId="6D104B50">
            <w:pPr>
              <w:rPr>
                <w:rFonts w:hint="default" w:ascii="Times New Roman" w:hAnsi="Times New Roman" w:eastAsia="宋体" w:cs="Times New Roman"/>
                <w:b w:val="0"/>
                <w:bCs w:val="0"/>
                <w:color w:val="auto"/>
                <w:sz w:val="24"/>
                <w:szCs w:val="24"/>
                <w:highlight w:val="none"/>
                <w:lang w:val="en-US" w:eastAsia="zh-CN"/>
              </w:rPr>
            </w:pPr>
          </w:p>
          <w:p w14:paraId="6F7B057A">
            <w:pPr>
              <w:pStyle w:val="2"/>
              <w:rPr>
                <w:rFonts w:hint="default" w:ascii="Times New Roman" w:hAnsi="Times New Roman" w:eastAsia="宋体" w:cs="Times New Roman"/>
                <w:b w:val="0"/>
                <w:bCs w:val="0"/>
                <w:color w:val="auto"/>
                <w:sz w:val="24"/>
                <w:szCs w:val="24"/>
                <w:highlight w:val="none"/>
                <w:lang w:val="en-US" w:eastAsia="zh-CN"/>
              </w:rPr>
            </w:pPr>
          </w:p>
          <w:p w14:paraId="1235DD8E">
            <w:pPr>
              <w:rPr>
                <w:rFonts w:hint="default" w:ascii="Times New Roman" w:hAnsi="Times New Roman" w:eastAsia="宋体" w:cs="Times New Roman"/>
                <w:b w:val="0"/>
                <w:bCs w:val="0"/>
                <w:color w:val="auto"/>
                <w:sz w:val="24"/>
                <w:szCs w:val="24"/>
                <w:highlight w:val="none"/>
                <w:lang w:val="en-US" w:eastAsia="zh-CN"/>
              </w:rPr>
            </w:pPr>
          </w:p>
          <w:p w14:paraId="7F464B19">
            <w:pPr>
              <w:pStyle w:val="2"/>
              <w:rPr>
                <w:rFonts w:hint="default"/>
                <w:color w:val="auto"/>
                <w:lang w:val="en-US" w:eastAsia="zh-CN"/>
              </w:rPr>
            </w:pPr>
          </w:p>
          <w:p w14:paraId="791558D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color w:val="auto"/>
                <w:sz w:val="21"/>
              </w:rPr>
              <mc:AlternateContent>
                <mc:Choice Requires="wpc">
                  <w:drawing>
                    <wp:anchor distT="0" distB="0" distL="114300" distR="114300" simplePos="0" relativeHeight="251661312" behindDoc="0" locked="0" layoutInCell="1" allowOverlap="1">
                      <wp:simplePos x="0" y="0"/>
                      <wp:positionH relativeFrom="column">
                        <wp:posOffset>647700</wp:posOffset>
                      </wp:positionH>
                      <wp:positionV relativeFrom="paragraph">
                        <wp:posOffset>-784225</wp:posOffset>
                      </wp:positionV>
                      <wp:extent cx="3902710" cy="3726815"/>
                      <wp:effectExtent l="0" t="0" r="0" b="0"/>
                      <wp:wrapNone/>
                      <wp:docPr id="71" name="画布 71"/>
                      <wp:cNvGraphicFramePr/>
                      <a:graphic xmlns:a="http://schemas.openxmlformats.org/drawingml/2006/main">
                        <a:graphicData uri="http://schemas.microsoft.com/office/word/2010/wordprocessingCanvas">
                          <wpc:wpc>
                            <wpc:bg>
                              <a:noFill/>
                            </wpc:bg>
                            <wpc:whole>
                              <a:ln>
                                <a:noFill/>
                              </a:ln>
                            </wpc:whole>
                            <wps:wsp>
                              <wps:cNvPr id="305" name="文本框 57"/>
                              <wps:cNvSpPr txBox="1"/>
                              <wps:spPr>
                                <a:xfrm>
                                  <a:off x="1018540" y="607695"/>
                                  <a:ext cx="1200150" cy="486410"/>
                                </a:xfrm>
                                <a:prstGeom prst="rect">
                                  <a:avLst/>
                                </a:prstGeom>
                                <a:noFill/>
                                <a:ln w="6350">
                                  <a:noFill/>
                                </a:ln>
                                <a:effectLst/>
                              </wps:spPr>
                              <wps:txbx>
                                <w:txbxContent>
                                  <w:p w14:paraId="601CA638">
                                    <w:pPr>
                                      <w:jc w:val="center"/>
                                      <w:rPr>
                                        <w:sz w:val="24"/>
                                        <w:szCs w:val="24"/>
                                      </w:rPr>
                                    </w:pPr>
                                    <w:r>
                                      <w:rPr>
                                        <w:rFonts w:hint="eastAsia" w:ascii="Times New Roman" w:hAnsi="Times New Roman" w:eastAsia="宋体" w:cs="Times New Roman"/>
                                        <w:color w:val="auto"/>
                                        <w:sz w:val="24"/>
                                        <w:szCs w:val="24"/>
                                        <w:lang w:val="en-US" w:eastAsia="zh-CN"/>
                                      </w:rPr>
                                      <w:t>未被污染的医用玻璃瓶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6" name="文本框 58"/>
                              <wps:cNvSpPr txBox="1"/>
                              <wps:spPr>
                                <a:xfrm>
                                  <a:off x="1209040" y="1319530"/>
                                  <a:ext cx="821055" cy="334645"/>
                                </a:xfrm>
                                <a:prstGeom prst="rect">
                                  <a:avLst/>
                                </a:prstGeom>
                                <a:noFill/>
                                <a:ln w="6350" cap="flat" cmpd="sng">
                                  <a:solidFill>
                                    <a:srgbClr val="000000"/>
                                  </a:solidFill>
                                  <a:prstDash val="solid"/>
                                  <a:round/>
                                  <a:headEnd type="none" w="med" len="med"/>
                                  <a:tailEnd type="none" w="med" len="med"/>
                                </a:ln>
                              </wps:spPr>
                              <wps:txbx>
                                <w:txbxContent>
                                  <w:p w14:paraId="0591E3BA">
                                    <w:pPr>
                                      <w:jc w:val="center"/>
                                      <w:rPr>
                                        <w:sz w:val="24"/>
                                        <w:szCs w:val="24"/>
                                      </w:rPr>
                                    </w:pPr>
                                    <w:r>
                                      <w:rPr>
                                        <w:rFonts w:hint="eastAsia" w:ascii="Times New Roman" w:hAnsi="Times New Roman" w:eastAsia="宋体" w:cs="Times New Roman"/>
                                        <w:color w:val="auto"/>
                                        <w:sz w:val="24"/>
                                        <w:szCs w:val="24"/>
                                        <w:lang w:val="en-US" w:eastAsia="zh-CN"/>
                                      </w:rPr>
                                      <w:t>破碎</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07" name="文本框 62"/>
                              <wps:cNvSpPr txBox="1"/>
                              <wps:spPr>
                                <a:xfrm>
                                  <a:off x="1209040" y="1856740"/>
                                  <a:ext cx="819150" cy="334645"/>
                                </a:xfrm>
                                <a:prstGeom prst="rect">
                                  <a:avLst/>
                                </a:prstGeom>
                                <a:noFill/>
                                <a:ln w="6350" cap="flat" cmpd="sng">
                                  <a:solidFill>
                                    <a:srgbClr val="000000"/>
                                  </a:solidFill>
                                  <a:prstDash val="solid"/>
                                  <a:round/>
                                  <a:headEnd type="none" w="med" len="med"/>
                                  <a:tailEnd type="none" w="med" len="med"/>
                                </a:ln>
                              </wps:spPr>
                              <wps:txbx>
                                <w:txbxContent>
                                  <w:p w14:paraId="27807E4E">
                                    <w:pPr>
                                      <w:jc w:val="center"/>
                                      <w:rPr>
                                        <w:rFonts w:hint="default"/>
                                        <w:sz w:val="24"/>
                                        <w:szCs w:val="24"/>
                                        <w:lang w:val="en-US"/>
                                      </w:rPr>
                                    </w:pPr>
                                    <w:r>
                                      <w:rPr>
                                        <w:rFonts w:hint="eastAsia" w:ascii="Times New Roman" w:hAnsi="Times New Roman" w:eastAsia="宋体" w:cs="Times New Roman"/>
                                        <w:color w:val="auto"/>
                                        <w:sz w:val="24"/>
                                        <w:szCs w:val="24"/>
                                        <w:lang w:val="en-US" w:eastAsia="zh-CN"/>
                                      </w:rPr>
                                      <w:t>清洗</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09" name="文本框 64"/>
                              <wps:cNvSpPr txBox="1"/>
                              <wps:spPr>
                                <a:xfrm>
                                  <a:off x="1199515" y="2411095"/>
                                  <a:ext cx="819150" cy="334645"/>
                                </a:xfrm>
                                <a:prstGeom prst="rect">
                                  <a:avLst/>
                                </a:prstGeom>
                                <a:noFill/>
                                <a:ln w="6350" cap="flat" cmpd="sng">
                                  <a:solidFill>
                                    <a:srgbClr val="000000"/>
                                  </a:solidFill>
                                  <a:prstDash val="solid"/>
                                  <a:round/>
                                  <a:headEnd type="none" w="med" len="med"/>
                                  <a:tailEnd type="none" w="med" len="med"/>
                                </a:ln>
                              </wps:spPr>
                              <wps:txbx>
                                <w:txbxContent>
                                  <w:p w14:paraId="09926E52">
                                    <w:pPr>
                                      <w:jc w:val="center"/>
                                      <w:rPr>
                                        <w:sz w:val="24"/>
                                        <w:szCs w:val="24"/>
                                      </w:rPr>
                                    </w:pPr>
                                    <w:r>
                                      <w:rPr>
                                        <w:rFonts w:hint="eastAsia" w:ascii="Times New Roman" w:hAnsi="Times New Roman" w:eastAsia="宋体" w:cs="Times New Roman"/>
                                        <w:color w:val="auto"/>
                                        <w:sz w:val="24"/>
                                        <w:szCs w:val="24"/>
                                        <w:lang w:val="en-US" w:eastAsia="zh-CN"/>
                                      </w:rPr>
                                      <w:t>晾干</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0" name="文本框 65"/>
                              <wps:cNvSpPr txBox="1"/>
                              <wps:spPr>
                                <a:xfrm>
                                  <a:off x="1209040" y="2923540"/>
                                  <a:ext cx="819150" cy="297180"/>
                                </a:xfrm>
                                <a:prstGeom prst="rect">
                                  <a:avLst/>
                                </a:prstGeom>
                                <a:noFill/>
                                <a:ln w="6350" cap="flat" cmpd="sng">
                                  <a:solidFill>
                                    <a:srgbClr val="000000"/>
                                  </a:solidFill>
                                  <a:prstDash val="solid"/>
                                  <a:round/>
                                  <a:headEnd type="none" w="med" len="med"/>
                                  <a:tailEnd type="none" w="med" len="med"/>
                                </a:ln>
                              </wps:spPr>
                              <wps:txbx>
                                <w:txbxContent>
                                  <w:p w14:paraId="4E145282">
                                    <w:pPr>
                                      <w:jc w:val="center"/>
                                      <w:rPr>
                                        <w:sz w:val="21"/>
                                        <w:szCs w:val="21"/>
                                      </w:rPr>
                                    </w:pPr>
                                    <w:r>
                                      <w:rPr>
                                        <w:rFonts w:hint="eastAsia" w:ascii="Times New Roman" w:hAnsi="Times New Roman" w:eastAsia="宋体" w:cs="Times New Roman"/>
                                        <w:color w:val="auto"/>
                                        <w:sz w:val="21"/>
                                        <w:szCs w:val="21"/>
                                        <w:lang w:val="en-US" w:eastAsia="zh-CN"/>
                                      </w:rPr>
                                      <w:t>玻璃回收</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1" name="文本框 16"/>
                              <wps:cNvSpPr txBox="1"/>
                              <wps:spPr>
                                <a:xfrm>
                                  <a:off x="2541905" y="1760855"/>
                                  <a:ext cx="819150" cy="486410"/>
                                </a:xfrm>
                                <a:prstGeom prst="rect">
                                  <a:avLst/>
                                </a:prstGeom>
                                <a:noFill/>
                                <a:ln w="6350" cap="flat" cmpd="sng">
                                  <a:solidFill>
                                    <a:srgbClr val="000000"/>
                                  </a:solidFill>
                                  <a:prstDash val="solid"/>
                                  <a:round/>
                                  <a:headEnd type="none" w="med" len="med"/>
                                  <a:tailEnd type="none" w="med" len="med"/>
                                </a:ln>
                              </wps:spPr>
                              <wps:txbx>
                                <w:txbxContent>
                                  <w:p w14:paraId="2B6133C6">
                                    <w:pPr>
                                      <w:jc w:val="center"/>
                                      <w:rPr>
                                        <w:sz w:val="24"/>
                                        <w:szCs w:val="24"/>
                                      </w:rPr>
                                    </w:pPr>
                                    <w:r>
                                      <w:rPr>
                                        <w:rFonts w:hint="eastAsia" w:ascii="Times New Roman" w:hAnsi="Times New Roman" w:eastAsia="宋体" w:cs="Times New Roman"/>
                                        <w:color w:val="auto"/>
                                        <w:sz w:val="24"/>
                                        <w:szCs w:val="24"/>
                                        <w:lang w:val="en-US" w:eastAsia="zh-CN"/>
                                      </w:rPr>
                                      <w:t>污水预处理设施</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2" name="直接箭头连接符 66"/>
                              <wps:cNvCnPr/>
                              <wps:spPr>
                                <a:xfrm>
                                  <a:off x="1618615" y="1116965"/>
                                  <a:ext cx="1270" cy="202565"/>
                                </a:xfrm>
                                <a:prstGeom prst="straightConnector1">
                                  <a:avLst/>
                                </a:prstGeom>
                                <a:noFill/>
                                <a:ln w="15875" cap="flat" cmpd="sng" algn="ctr">
                                  <a:solidFill>
                                    <a:srgbClr val="000000"/>
                                  </a:solidFill>
                                  <a:prstDash val="solid"/>
                                  <a:tailEnd type="triangle"/>
                                </a:ln>
                                <a:effectLst/>
                              </wps:spPr>
                              <wps:bodyPr/>
                            </wps:wsp>
                            <wps:wsp>
                              <wps:cNvPr id="313" name="直接箭头连接符 67"/>
                              <wps:cNvCnPr/>
                              <wps:spPr>
                                <a:xfrm flipH="1">
                                  <a:off x="1618615" y="1654175"/>
                                  <a:ext cx="1270" cy="202565"/>
                                </a:xfrm>
                                <a:prstGeom prst="straightConnector1">
                                  <a:avLst/>
                                </a:prstGeom>
                                <a:noFill/>
                                <a:ln w="15875" cap="flat" cmpd="sng" algn="ctr">
                                  <a:solidFill>
                                    <a:srgbClr val="000000"/>
                                  </a:solidFill>
                                  <a:prstDash val="solid"/>
                                  <a:tailEnd type="triangle"/>
                                </a:ln>
                                <a:effectLst/>
                              </wps:spPr>
                              <wps:bodyPr/>
                            </wps:wsp>
                            <wps:wsp>
                              <wps:cNvPr id="315" name="直接箭头连接符 69"/>
                              <wps:cNvCnPr/>
                              <wps:spPr>
                                <a:xfrm flipH="1">
                                  <a:off x="1618615" y="2204720"/>
                                  <a:ext cx="1270" cy="202565"/>
                                </a:xfrm>
                                <a:prstGeom prst="straightConnector1">
                                  <a:avLst/>
                                </a:prstGeom>
                                <a:noFill/>
                                <a:ln w="15875" cap="flat" cmpd="sng" algn="ctr">
                                  <a:solidFill>
                                    <a:srgbClr val="000000"/>
                                  </a:solidFill>
                                  <a:prstDash val="solid"/>
                                  <a:tailEnd type="triangle"/>
                                </a:ln>
                                <a:effectLst/>
                              </wps:spPr>
                              <wps:bodyPr/>
                            </wps:wsp>
                            <wps:wsp>
                              <wps:cNvPr id="316" name="直接箭头连接符 70"/>
                              <wps:cNvCnPr/>
                              <wps:spPr>
                                <a:xfrm>
                                  <a:off x="1618615" y="2741930"/>
                                  <a:ext cx="0" cy="202565"/>
                                </a:xfrm>
                                <a:prstGeom prst="straightConnector1">
                                  <a:avLst/>
                                </a:prstGeom>
                                <a:noFill/>
                                <a:ln w="15875" cap="flat" cmpd="sng" algn="ctr">
                                  <a:solidFill>
                                    <a:srgbClr val="000000"/>
                                  </a:solidFill>
                                  <a:prstDash val="solid"/>
                                  <a:tailEnd type="triangle"/>
                                </a:ln>
                                <a:effectLst/>
                              </wps:spPr>
                              <wps:bodyPr/>
                            </wps:wsp>
                            <wps:wsp>
                              <wps:cNvPr id="318" name="直接箭头连接符 73"/>
                              <wps:cNvCnPr/>
                              <wps:spPr>
                                <a:xfrm>
                                  <a:off x="2025015" y="2011045"/>
                                  <a:ext cx="516890" cy="2540"/>
                                </a:xfrm>
                                <a:prstGeom prst="straightConnector1">
                                  <a:avLst/>
                                </a:prstGeom>
                                <a:noFill/>
                                <a:ln w="12700" cap="flat" cmpd="sng" algn="ctr">
                                  <a:solidFill>
                                    <a:srgbClr val="000000"/>
                                  </a:solidFill>
                                  <a:prstDash val="dash"/>
                                  <a:tailEnd type="triangle"/>
                                </a:ln>
                                <a:effectLst/>
                              </wps:spPr>
                              <wps:bodyPr/>
                            </wps:wsp>
                          </wpc:wpc>
                        </a:graphicData>
                      </a:graphic>
                    </wp:anchor>
                  </w:drawing>
                </mc:Choice>
                <mc:Fallback>
                  <w:pict>
                    <v:group id="_x0000_s1026" o:spid="_x0000_s1026" o:spt="203" style="position:absolute;left:0pt;margin-left:51pt;margin-top:-61.75pt;height:293.45pt;width:307.3pt;z-index:251661312;mso-width-relative:page;mso-height-relative:page;" coordsize="3902710,3726815" editas="canvas" o:gfxdata="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MFn1GDcAAAADAEAAA8A&#10;AAAAAAAAAQAgAAAAIgAAAGRycy9kb3ducmV2LnhtbFBLAQIUABQAAAAIAIdO4kCPjZ1LMQUAALkg&#10;AAAOAAAAAAAAAAEAIAAAACsBAABkcnMvZTJvRG9jLnhtbFBLBQYAAAAABgAGAFkBAADOCAAAAAA=&#10;">
                      <o:lock v:ext="edit" aspectratio="f"/>
                      <v:shape id="_x0000_s1026" o:spid="_x0000_s1026" style="position:absolute;left:0;top:0;height:3726815;width:3902710;" filled="f" stroked="f" coordsize="21600,21600" o:gfxdata="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wWfUYNwAAAAMAQAADwAAAAAAAAABACAAAAAiAAAA&#10;ZHJzL2Rvd25yZXYueG1sUEsBAhQAFAAAAAgAh07iQMySY9ToBAAANCAAAA4AAAAAAAAAAQAgAAAA&#10;KwEAAGRycy9lMm9Eb2MueG1sUEsFBgAAAAAGAAYAWQEAAIUIAAAAAA==&#10;">
                        <v:fill on="f" focussize="0,0"/>
                        <v:stroke on="f"/>
                        <v:imagedata o:title=""/>
                        <o:lock v:ext="edit" aspectratio="f"/>
                      </v:shape>
                      <v:shape id="文本框 57" o:spid="_x0000_s1026" o:spt="202" type="#_x0000_t202" style="position:absolute;left:1018540;top:607695;height:486410;width:1200150;" filled="f" stroked="f" coordsize="21600,21600" o:gfxdata="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8OgId0AAAAMAQAA&#10;DwAAAAAAAAABACAAAAAiAAAAZHJzL2Rvd25yZXYueG1sUEsBAhQAFAAAAAgAh07iQG7Cr/9NAgAA&#10;ggQAAA4AAAAAAAAAAQAgAAAALAEAAGRycy9lMm9Eb2MueG1sUEsFBgAAAAAGAAYAWQEAAOsFAAAA&#10;AA==&#10;">
                        <v:fill on="f" focussize="0,0"/>
                        <v:stroke on="f" weight="0.5pt"/>
                        <v:imagedata o:title=""/>
                        <o:lock v:ext="edit" aspectratio="f"/>
                        <v:textbox>
                          <w:txbxContent>
                            <w:p w14:paraId="601CA638">
                              <w:pPr>
                                <w:jc w:val="center"/>
                                <w:rPr>
                                  <w:sz w:val="24"/>
                                  <w:szCs w:val="24"/>
                                </w:rPr>
                              </w:pPr>
                              <w:r>
                                <w:rPr>
                                  <w:rFonts w:hint="eastAsia" w:ascii="Times New Roman" w:hAnsi="Times New Roman" w:eastAsia="宋体" w:cs="Times New Roman"/>
                                  <w:color w:val="auto"/>
                                  <w:sz w:val="24"/>
                                  <w:szCs w:val="24"/>
                                  <w:lang w:val="en-US" w:eastAsia="zh-CN"/>
                                </w:rPr>
                                <w:t>未被污染的医用玻璃瓶</w:t>
                              </w:r>
                            </w:p>
                          </w:txbxContent>
                        </v:textbox>
                      </v:shape>
                      <v:shape id="文本框 58" o:spid="_x0000_s1026" o:spt="202" type="#_x0000_t202" style="position:absolute;left:1209040;top:1319530;height:334645;width:821055;" filled="f" stroked="t" coordsize="21600,21600" o:gfxdata="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Oj5ArcAAAADAEAAA8AAAAAAAAAAQAgAAAAIgAAAGRycy9kb3ducmV2LnhtbFBL&#10;AQIUABQAAAAIAIdO4kBFwmp6nQIAADYFAAAOAAAAAAAAAAEAIAAAACsBAABkcnMvZTJvRG9jLnht&#10;bFBLBQYAAAAABgAGAFkBAAA6BgAAAAA=&#10;">
                        <v:fill on="f" focussize="0,0"/>
                        <v:stroke weight="0.5pt" color="#000000" joinstyle="round"/>
                        <v:imagedata o:title=""/>
                        <o:lock v:ext="edit" aspectratio="f"/>
                        <v:textbox>
                          <w:txbxContent>
                            <w:p w14:paraId="0591E3BA">
                              <w:pPr>
                                <w:jc w:val="center"/>
                                <w:rPr>
                                  <w:sz w:val="24"/>
                                  <w:szCs w:val="24"/>
                                </w:rPr>
                              </w:pPr>
                              <w:r>
                                <w:rPr>
                                  <w:rFonts w:hint="eastAsia" w:ascii="Times New Roman" w:hAnsi="Times New Roman" w:eastAsia="宋体" w:cs="Times New Roman"/>
                                  <w:color w:val="auto"/>
                                  <w:sz w:val="24"/>
                                  <w:szCs w:val="24"/>
                                  <w:lang w:val="en-US" w:eastAsia="zh-CN"/>
                                </w:rPr>
                                <w:t>破碎</w:t>
                              </w:r>
                            </w:p>
                          </w:txbxContent>
                        </v:textbox>
                      </v:shape>
                      <v:shape id="文本框 62" o:spid="_x0000_s1026" o:spt="202" type="#_x0000_t202" style="position:absolute;left:1209040;top:1856740;height:334645;width:819150;" filled="f" stroked="t" coordsize="21600,21600" o:gfxdata="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jo+QK3AAAAAwBAAAPAAAAAAAAAAEAIAAAACIAAABkcnMvZG93bnJldi54bWxQSwEC&#10;FAAUAAAACACHTuJAJ2VmBpsCAAA2BQAADgAAAAAAAAABACAAAAArAQAAZHJzL2Uyb0RvYy54bWxQ&#10;SwUGAAAAAAYABgBZAQAAOAYAAAAA&#10;">
                        <v:fill on="f" focussize="0,0"/>
                        <v:stroke weight="0.5pt" color="#000000" joinstyle="round"/>
                        <v:imagedata o:title=""/>
                        <o:lock v:ext="edit" aspectratio="f"/>
                        <v:textbox>
                          <w:txbxContent>
                            <w:p w14:paraId="27807E4E">
                              <w:pPr>
                                <w:jc w:val="center"/>
                                <w:rPr>
                                  <w:rFonts w:hint="default"/>
                                  <w:sz w:val="24"/>
                                  <w:szCs w:val="24"/>
                                  <w:lang w:val="en-US"/>
                                </w:rPr>
                              </w:pPr>
                              <w:r>
                                <w:rPr>
                                  <w:rFonts w:hint="eastAsia" w:ascii="Times New Roman" w:hAnsi="Times New Roman" w:eastAsia="宋体" w:cs="Times New Roman"/>
                                  <w:color w:val="auto"/>
                                  <w:sz w:val="24"/>
                                  <w:szCs w:val="24"/>
                                  <w:lang w:val="en-US" w:eastAsia="zh-CN"/>
                                </w:rPr>
                                <w:t>清洗</w:t>
                              </w:r>
                            </w:p>
                          </w:txbxContent>
                        </v:textbox>
                      </v:shape>
                      <v:shape id="文本框 64" o:spid="_x0000_s1026" o:spt="202" type="#_x0000_t202" style="position:absolute;left:1199515;top:2411095;height:334645;width:819150;" filled="f" stroked="t" coordsize="21600,21600" o:gfxdata="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Oj5ArcAAAADAEAAA8AAAAAAAAAAQAgAAAAIgAAAGRycy9kb3ducmV2Lnht&#10;bFBLAQIUABQAAAAIAIdO4kDfba2xoAIAADYFAAAOAAAAAAAAAAEAIAAAACsBAABkcnMvZTJvRG9j&#10;LnhtbFBLBQYAAAAABgAGAFkBAAA9BgAAAAA=&#10;">
                        <v:fill on="f" focussize="0,0"/>
                        <v:stroke weight="0.5pt" color="#000000" joinstyle="round"/>
                        <v:imagedata o:title=""/>
                        <o:lock v:ext="edit" aspectratio="f"/>
                        <v:textbox>
                          <w:txbxContent>
                            <w:p w14:paraId="09926E52">
                              <w:pPr>
                                <w:jc w:val="center"/>
                                <w:rPr>
                                  <w:sz w:val="24"/>
                                  <w:szCs w:val="24"/>
                                </w:rPr>
                              </w:pPr>
                              <w:r>
                                <w:rPr>
                                  <w:rFonts w:hint="eastAsia" w:ascii="Times New Roman" w:hAnsi="Times New Roman" w:eastAsia="宋体" w:cs="Times New Roman"/>
                                  <w:color w:val="auto"/>
                                  <w:sz w:val="24"/>
                                  <w:szCs w:val="24"/>
                                  <w:lang w:val="en-US" w:eastAsia="zh-CN"/>
                                </w:rPr>
                                <w:t>晾干</w:t>
                              </w:r>
                            </w:p>
                          </w:txbxContent>
                        </v:textbox>
                      </v:shape>
                      <v:shape id="文本框 65" o:spid="_x0000_s1026" o:spt="202" type="#_x0000_t202" style="position:absolute;left:1209040;top:2923540;height:297180;width:819150;" filled="f" stroked="t" coordsize="21600,21600" o:gfxdata="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Oj5ArcAAAADAEAAA8AAAAAAAAAAQAgAAAAIgAAAGRycy9kb3ducmV2LnhtbFBL&#10;AQIUABQAAAAIAIdO4kCpRdGAnQIAADYFAAAOAAAAAAAAAAEAIAAAACsBAABkcnMvZTJvRG9jLnht&#10;bFBLBQYAAAAABgAGAFkBAAA6BgAAAAA=&#10;">
                        <v:fill on="f" focussize="0,0"/>
                        <v:stroke weight="0.5pt" color="#000000" joinstyle="round"/>
                        <v:imagedata o:title=""/>
                        <o:lock v:ext="edit" aspectratio="f"/>
                        <v:textbox>
                          <w:txbxContent>
                            <w:p w14:paraId="4E145282">
                              <w:pPr>
                                <w:jc w:val="center"/>
                                <w:rPr>
                                  <w:sz w:val="21"/>
                                  <w:szCs w:val="21"/>
                                </w:rPr>
                              </w:pPr>
                              <w:r>
                                <w:rPr>
                                  <w:rFonts w:hint="eastAsia" w:ascii="Times New Roman" w:hAnsi="Times New Roman" w:eastAsia="宋体" w:cs="Times New Roman"/>
                                  <w:color w:val="auto"/>
                                  <w:sz w:val="21"/>
                                  <w:szCs w:val="21"/>
                                  <w:lang w:val="en-US" w:eastAsia="zh-CN"/>
                                </w:rPr>
                                <w:t>玻璃回收</w:t>
                              </w:r>
                            </w:p>
                          </w:txbxContent>
                        </v:textbox>
                      </v:shape>
                      <v:shape id="文本框 16" o:spid="_x0000_s1026" o:spt="202" type="#_x0000_t202" style="position:absolute;left:2541905;top:1760855;height:486410;width:819150;" filled="f" stroked="t" coordsize="21600,21600" o:gfxdata="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Oj5ArcAAAADAEAAA8AAAAAAAAAAQAgAAAAIgAAAGRycy9kb3ducmV2Lnht&#10;bFBLAQIUABQAAAAIAIdO4kBzjbJSoAIAADYFAAAOAAAAAAAAAAEAIAAAACsBAABkcnMvZTJvRG9j&#10;LnhtbFBLBQYAAAAABgAGAFkBAAA9BgAAAAA=&#10;">
                        <v:fill on="f" focussize="0,0"/>
                        <v:stroke weight="0.5pt" color="#000000" joinstyle="round"/>
                        <v:imagedata o:title=""/>
                        <o:lock v:ext="edit" aspectratio="f"/>
                        <v:textbox>
                          <w:txbxContent>
                            <w:p w14:paraId="2B6133C6">
                              <w:pPr>
                                <w:jc w:val="center"/>
                                <w:rPr>
                                  <w:sz w:val="24"/>
                                  <w:szCs w:val="24"/>
                                </w:rPr>
                              </w:pPr>
                              <w:r>
                                <w:rPr>
                                  <w:rFonts w:hint="eastAsia" w:ascii="Times New Roman" w:hAnsi="Times New Roman" w:eastAsia="宋体" w:cs="Times New Roman"/>
                                  <w:color w:val="auto"/>
                                  <w:sz w:val="24"/>
                                  <w:szCs w:val="24"/>
                                  <w:lang w:val="en-US" w:eastAsia="zh-CN"/>
                                </w:rPr>
                                <w:t>污水预处理设施</w:t>
                              </w:r>
                            </w:p>
                          </w:txbxContent>
                        </v:textbox>
                      </v:shape>
                      <v:shape id="直接箭头连接符 66" o:spid="_x0000_s1026" o:spt="32" type="#_x0000_t32" style="position:absolute;left:1618615;top:1116965;height:202565;width:1270;" filled="f" stroked="t" coordsize="21600,21600" o:gfxdata="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VJf72wAAAAwBAAAPAAAAAAAA&#10;AAEAIAAAACIAAABkcnMvZG93bnJldi54bWxQSwECFAAUAAAACACHTuJAaQXlzg8CAADqAwAADgAA&#10;AAAAAAABACAAAAAqAQAAZHJzL2Uyb0RvYy54bWxQSwUGAAAAAAYABgBZAQAAqwUAAAAA&#10;">
                        <v:fill on="f" focussize="0,0"/>
                        <v:stroke weight="1.25pt" color="#000000" joinstyle="round" endarrow="block"/>
                        <v:imagedata o:title=""/>
                        <o:lock v:ext="edit" aspectratio="f"/>
                      </v:shape>
                      <v:shape id="直接箭头连接符 67" o:spid="_x0000_s1026" o:spt="32" type="#_x0000_t32" style="position:absolute;left:1618615;top:1654175;flip:x;height:202565;width:1270;" filled="f" stroked="t" coordsize="21600,21600" o:gfxdata="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8mUU/3QAAAAwB&#10;AAAPAAAAAAAAAAEAIAAAACIAAABkcnMvZG93bnJldi54bWxQSwECFAAUAAAACACHTuJAA/8PMxYC&#10;AAD0AwAADgAAAAAAAAABACAAAAAsAQAAZHJzL2Uyb0RvYy54bWxQSwUGAAAAAAYABgBZAQAAtAUA&#10;AAAA&#10;">
                        <v:fill on="f" focussize="0,0"/>
                        <v:stroke weight="1.25pt" color="#000000" joinstyle="round" endarrow="block"/>
                        <v:imagedata o:title=""/>
                        <o:lock v:ext="edit" aspectratio="f"/>
                      </v:shape>
                      <v:shape id="直接箭头连接符 69" o:spid="_x0000_s1026" o:spt="32" type="#_x0000_t32" style="position:absolute;left:1618615;top:2204720;flip:x;height:202565;width:1270;" filled="f" stroked="t" coordsize="21600,21600" o:gfxdata="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yZRT/dAAAADAEA&#10;AA8AAAAAAAAAAQAgAAAAIgAAAGRycy9kb3ducmV2LnhtbFBLAQIUABQAAAAIAIdO4kDtWmouFQIA&#10;APQDAAAOAAAAAAAAAAEAIAAAACwBAABkcnMvZTJvRG9jLnhtbFBLBQYAAAAABgAGAFkBAACzBQAA&#10;AAA=&#10;">
                        <v:fill on="f" focussize="0,0"/>
                        <v:stroke weight="1.25pt" color="#000000" joinstyle="round" endarrow="block"/>
                        <v:imagedata o:title=""/>
                        <o:lock v:ext="edit" aspectratio="f"/>
                      </v:shape>
                      <v:shape id="直接箭头连接符 70" o:spid="_x0000_s1026" o:spt="32" type="#_x0000_t32" style="position:absolute;left:1618615;top:2741930;height:202565;width:0;" filled="f" stroked="t" coordsize="21600,21600" o:gfxdata="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xUl/vbAAAADAEAAA8AAAAAAAAA&#10;AQAgAAAAIgAAAGRycy9kb3ducmV2LnhtbFBLAQIUABQAAAAIAIdO4kDd5DSdDgIAAOcDAAAOAAAA&#10;AAAAAAEAIAAAACoBAABkcnMvZTJvRG9jLnhtbFBLBQYAAAAABgAGAFkBAACqBQAAAAA=&#10;">
                        <v:fill on="f" focussize="0,0"/>
                        <v:stroke weight="1.25pt" color="#000000" joinstyle="round" endarrow="block"/>
                        <v:imagedata o:title=""/>
                        <o:lock v:ext="edit" aspectratio="f"/>
                      </v:shape>
                      <v:shape id="直接箭头连接符 73" o:spid="_x0000_s1026" o:spt="32" type="#_x0000_t32" style="position:absolute;left:2025015;top:2011045;height:2540;width:516890;" filled="f" stroked="t" coordsize="21600,21600" o:gfxdata="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X5yXd0AAAAMAQAADwAA&#10;AAAAAAABACAAAAAiAAAAZHJzL2Rvd25yZXYueG1sUEsBAhQAFAAAAAgAh07iQGEMRLsRAgAA6QMA&#10;AA4AAAAAAAAAAQAgAAAALAEAAGRycy9lMm9Eb2MueG1sUEsFBgAAAAAGAAYAWQEAAK8FAAAAAA==&#10;">
                        <v:fill on="f" focussize="0,0"/>
                        <v:stroke weight="1pt" color="#000000" joinstyle="round" dashstyle="dash" endarrow="block"/>
                        <v:imagedata o:title=""/>
                        <o:lock v:ext="edit" aspectratio="f"/>
                      </v:shape>
                    </v:group>
                  </w:pict>
                </mc:Fallback>
              </mc:AlternateContent>
            </w:r>
          </w:p>
          <w:p w14:paraId="3C23CD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3890564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5A9426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7DB6FF3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598C009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44639B3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7B12E3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5427CA6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39625D7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highlight w:val="none"/>
                <w:lang w:val="en-US" w:eastAsia="zh-CN"/>
              </w:rPr>
            </w:pPr>
          </w:p>
          <w:p w14:paraId="4732F1D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图2.3-2 未被污染的医用玻璃瓶工艺流程</w:t>
            </w:r>
          </w:p>
          <w:p w14:paraId="73A05F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破碎：</w:t>
            </w:r>
            <w:r>
              <w:rPr>
                <w:rFonts w:hint="eastAsia" w:cs="Times New Roman"/>
                <w:b w:val="0"/>
                <w:bCs w:val="0"/>
                <w:color w:val="auto"/>
                <w:sz w:val="24"/>
                <w:szCs w:val="24"/>
                <w:highlight w:val="none"/>
                <w:lang w:val="en-US" w:eastAsia="zh-CN"/>
              </w:rPr>
              <w:t>项目收购的未经污染的医用玻璃瓶均已去除瓶塞，并将输液瓶内残留的液体倒出、沥干，保证回收至本项目的玻璃输液瓶内无残留液体。</w:t>
            </w:r>
            <w:r>
              <w:rPr>
                <w:rFonts w:hint="default" w:ascii="Times New Roman" w:hAnsi="Times New Roman" w:eastAsia="宋体" w:cs="Times New Roman"/>
                <w:b w:val="0"/>
                <w:bCs w:val="0"/>
                <w:color w:val="auto"/>
                <w:sz w:val="24"/>
                <w:szCs w:val="24"/>
                <w:highlight w:val="none"/>
                <w:lang w:val="en-US" w:eastAsia="zh-CN"/>
              </w:rPr>
              <w:t>采用玻璃专用破碎机进行破碎，破碎过程中加注水及进行湿法破碎。</w:t>
            </w:r>
          </w:p>
          <w:p w14:paraId="403F4C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清洗：</w:t>
            </w:r>
            <w:r>
              <w:rPr>
                <w:rFonts w:hint="default" w:ascii="Times New Roman" w:hAnsi="Times New Roman" w:eastAsia="宋体" w:cs="Times New Roman"/>
                <w:b w:val="0"/>
                <w:bCs w:val="0"/>
                <w:color w:val="auto"/>
                <w:sz w:val="24"/>
                <w:szCs w:val="24"/>
                <w:highlight w:val="none"/>
                <w:lang w:val="en-US" w:eastAsia="zh-CN"/>
              </w:rPr>
              <w:t>使用移动式高压清洗设备对玻璃碎片进行清洗。破碎后的玻璃碎片进入</w:t>
            </w:r>
            <w:r>
              <w:rPr>
                <w:rFonts w:hint="default" w:ascii="Times New Roman" w:hAnsi="Times New Roman" w:cs="Times New Roman"/>
                <w:b w:val="0"/>
                <w:bCs w:val="0"/>
                <w:color w:val="auto"/>
                <w:sz w:val="24"/>
                <w:szCs w:val="24"/>
                <w:highlight w:val="none"/>
                <w:lang w:val="en-US" w:eastAsia="zh-CN"/>
              </w:rPr>
              <w:t>清洗线</w:t>
            </w:r>
            <w:r>
              <w:rPr>
                <w:rFonts w:hint="default" w:ascii="Times New Roman" w:hAnsi="Times New Roman" w:eastAsia="宋体" w:cs="Times New Roman"/>
                <w:b w:val="0"/>
                <w:bCs w:val="0"/>
                <w:color w:val="auto"/>
                <w:sz w:val="24"/>
                <w:szCs w:val="24"/>
                <w:highlight w:val="none"/>
                <w:lang w:val="en-US" w:eastAsia="zh-CN"/>
              </w:rPr>
              <w:t>，通过水流的冲洗作用，去除玻璃表面的残液、纸屑、橡胶等污染物。</w:t>
            </w:r>
          </w:p>
          <w:p w14:paraId="241A97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晾干</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将清洗后的玻璃碎片静置沥干。</w:t>
            </w:r>
          </w:p>
          <w:p w14:paraId="7256E7D8">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2.3.2 产污环节分析</w:t>
            </w:r>
          </w:p>
          <w:p w14:paraId="73F37CCA">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项目产污环节说明一览表详见下表</w:t>
            </w:r>
            <w:r>
              <w:rPr>
                <w:rFonts w:hint="default" w:ascii="Times New Roman" w:hAnsi="Times New Roman" w:eastAsia="宋体" w:cs="Times New Roman"/>
                <w:color w:val="auto"/>
                <w:sz w:val="24"/>
                <w:szCs w:val="24"/>
                <w:highlight w:val="none"/>
                <w:lang w:val="en-US" w:eastAsia="zh-CN"/>
              </w:rPr>
              <w:t>2.3-1。</w:t>
            </w:r>
          </w:p>
          <w:p w14:paraId="28F75F53">
            <w:pPr>
              <w:pStyle w:val="22"/>
              <w:keepNext w:val="0"/>
              <w:keepLines w:val="0"/>
              <w:pageBreakBefore w:val="0"/>
              <w:widowControl w:val="0"/>
              <w:kinsoku/>
              <w:wordWrap/>
              <w:overflowPunct/>
              <w:topLinePunct w:val="0"/>
              <w:autoSpaceDE w:val="0"/>
              <w:autoSpaceDN w:val="0"/>
              <w:bidi w:val="0"/>
              <w:adjustRightInd w:val="0"/>
              <w:snapToGrid w:val="0"/>
              <w:spacing w:before="191" w:beforeLines="50" w:beforeAutospacing="0" w:after="0" w:afterAutospacing="0"/>
              <w:jc w:val="center"/>
              <w:textAlignment w:val="baseline"/>
              <w:rPr>
                <w:rFonts w:hint="default" w:ascii="Times New Roman" w:hAnsi="Times New Roman" w:eastAsia="宋体" w:cs="Times New Roman"/>
                <w:color w:val="auto"/>
                <w:spacing w:val="6"/>
                <w:highlight w:val="none"/>
              </w:rPr>
            </w:pPr>
            <w:r>
              <w:rPr>
                <w:rFonts w:hint="default" w:ascii="Times New Roman" w:hAnsi="Times New Roman" w:eastAsia="黑体" w:cs="Times New Roman"/>
                <w:color w:val="auto"/>
                <w:spacing w:val="6"/>
                <w:highlight w:val="none"/>
              </w:rPr>
              <w:t>表</w:t>
            </w:r>
            <w:r>
              <w:rPr>
                <w:rFonts w:hint="default" w:ascii="Times New Roman" w:hAnsi="Times New Roman" w:eastAsia="黑体" w:cs="Times New Roman"/>
                <w:color w:val="auto"/>
                <w:spacing w:val="6"/>
                <w:highlight w:val="none"/>
                <w:lang w:val="en-US" w:eastAsia="zh-CN"/>
              </w:rPr>
              <w:t>2.3-1</w:t>
            </w:r>
            <w:r>
              <w:rPr>
                <w:rFonts w:hint="default" w:ascii="Times New Roman" w:hAnsi="Times New Roman" w:eastAsia="黑体" w:cs="Times New Roman"/>
                <w:color w:val="auto"/>
                <w:spacing w:val="6"/>
                <w:highlight w:val="none"/>
              </w:rPr>
              <w:t xml:space="preserve">  </w:t>
            </w:r>
            <w:r>
              <w:rPr>
                <w:rFonts w:hint="default" w:ascii="Times New Roman" w:hAnsi="Times New Roman" w:eastAsia="黑体" w:cs="Times New Roman"/>
                <w:color w:val="auto"/>
                <w:spacing w:val="6"/>
                <w:highlight w:val="none"/>
                <w:lang w:eastAsia="zh-CN"/>
              </w:rPr>
              <w:t>项目产污环节说明一览</w:t>
            </w:r>
            <w:r>
              <w:rPr>
                <w:rFonts w:hint="default" w:ascii="Times New Roman" w:hAnsi="Times New Roman" w:eastAsia="黑体" w:cs="Times New Roman"/>
                <w:color w:val="auto"/>
                <w:spacing w:val="6"/>
                <w:highlight w:val="none"/>
              </w:rPr>
              <w:t>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727"/>
              <w:gridCol w:w="1615"/>
              <w:gridCol w:w="2220"/>
              <w:gridCol w:w="3074"/>
            </w:tblGrid>
            <w:tr w14:paraId="3E1FF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noWrap w:val="0"/>
                  <w:vAlign w:val="center"/>
                </w:tcPr>
                <w:p w14:paraId="031F74FA">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序号</w:t>
                  </w:r>
                </w:p>
              </w:tc>
              <w:tc>
                <w:tcPr>
                  <w:tcW w:w="434" w:type="pct"/>
                  <w:noWrap w:val="0"/>
                  <w:vAlign w:val="center"/>
                </w:tcPr>
                <w:p w14:paraId="48323BB3">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类别</w:t>
                  </w:r>
                </w:p>
              </w:tc>
              <w:tc>
                <w:tcPr>
                  <w:tcW w:w="964" w:type="pct"/>
                  <w:tcBorders>
                    <w:left w:val="single" w:color="000000" w:sz="4" w:space="0"/>
                    <w:right w:val="single" w:color="000000" w:sz="4" w:space="0"/>
                  </w:tcBorders>
                  <w:noWrap w:val="0"/>
                  <w:vAlign w:val="center"/>
                </w:tcPr>
                <w:p w14:paraId="201B7BB7">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污染源或污染工序</w:t>
                  </w:r>
                </w:p>
              </w:tc>
              <w:tc>
                <w:tcPr>
                  <w:tcW w:w="1325" w:type="pct"/>
                  <w:tcBorders>
                    <w:left w:val="single" w:color="000000" w:sz="4" w:space="0"/>
                    <w:right w:val="single" w:color="000000" w:sz="4" w:space="0"/>
                  </w:tcBorders>
                  <w:noWrap w:val="0"/>
                  <w:vAlign w:val="center"/>
                </w:tcPr>
                <w:p w14:paraId="59DF07E8">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主要污染物</w:t>
                  </w:r>
                </w:p>
              </w:tc>
              <w:tc>
                <w:tcPr>
                  <w:tcW w:w="1835" w:type="pct"/>
                  <w:tcBorders>
                    <w:left w:val="single" w:color="000000" w:sz="4" w:space="0"/>
                  </w:tcBorders>
                  <w:noWrap w:val="0"/>
                  <w:vAlign w:val="center"/>
                </w:tcPr>
                <w:p w14:paraId="17786F8D">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环保措施</w:t>
                  </w:r>
                </w:p>
              </w:tc>
            </w:tr>
            <w:tr w14:paraId="619A8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restart"/>
                  <w:noWrap w:val="0"/>
                  <w:vAlign w:val="center"/>
                </w:tcPr>
                <w:p w14:paraId="58B14D59">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1</w:t>
                  </w:r>
                </w:p>
              </w:tc>
              <w:tc>
                <w:tcPr>
                  <w:tcW w:w="434" w:type="pct"/>
                  <w:vMerge w:val="restart"/>
                  <w:noWrap w:val="0"/>
                  <w:vAlign w:val="center"/>
                </w:tcPr>
                <w:p w14:paraId="245A7B93">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废水</w:t>
                  </w:r>
                </w:p>
              </w:tc>
              <w:tc>
                <w:tcPr>
                  <w:tcW w:w="964" w:type="pct"/>
                  <w:tcBorders>
                    <w:left w:val="single" w:color="000000" w:sz="4" w:space="0"/>
                    <w:right w:val="single" w:color="000000" w:sz="4" w:space="0"/>
                  </w:tcBorders>
                  <w:noWrap w:val="0"/>
                  <w:vAlign w:val="center"/>
                </w:tcPr>
                <w:p w14:paraId="5129D501">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职工生活污水</w:t>
                  </w:r>
                </w:p>
              </w:tc>
              <w:tc>
                <w:tcPr>
                  <w:tcW w:w="1325" w:type="pct"/>
                  <w:tcBorders>
                    <w:left w:val="single" w:color="000000" w:sz="4" w:space="0"/>
                    <w:right w:val="single" w:color="000000" w:sz="4" w:space="0"/>
                  </w:tcBorders>
                  <w:noWrap w:val="0"/>
                  <w:vAlign w:val="center"/>
                </w:tcPr>
                <w:p w14:paraId="69B5896C">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pH、COD、SS、BOD</w:t>
                  </w:r>
                  <w:r>
                    <w:rPr>
                      <w:rFonts w:hint="default" w:ascii="Times New Roman" w:hAnsi="Times New Roman" w:eastAsia="宋体" w:cs="Times New Roman"/>
                      <w:color w:val="auto"/>
                      <w:kern w:val="0"/>
                      <w:sz w:val="21"/>
                      <w:szCs w:val="21"/>
                      <w:vertAlign w:val="subscript"/>
                      <w:lang w:val="en-US" w:eastAsia="zh-CN"/>
                    </w:rPr>
                    <w:t>5</w:t>
                  </w:r>
                  <w:r>
                    <w:rPr>
                      <w:rFonts w:hint="default" w:ascii="Times New Roman" w:hAnsi="Times New Roman" w:eastAsia="宋体" w:cs="Times New Roman"/>
                      <w:color w:val="auto"/>
                      <w:kern w:val="0"/>
                      <w:sz w:val="21"/>
                      <w:szCs w:val="21"/>
                      <w:lang w:val="en-US" w:eastAsia="zh-CN"/>
                    </w:rPr>
                    <w:t>、氨氮</w:t>
                  </w:r>
                </w:p>
              </w:tc>
              <w:tc>
                <w:tcPr>
                  <w:tcW w:w="1835" w:type="pct"/>
                  <w:tcBorders>
                    <w:left w:val="single" w:color="000000" w:sz="4" w:space="0"/>
                  </w:tcBorders>
                  <w:noWrap w:val="0"/>
                  <w:vAlign w:val="center"/>
                </w:tcPr>
                <w:p w14:paraId="7D01E006">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生活污水经</w:t>
                  </w:r>
                  <w:r>
                    <w:rPr>
                      <w:rFonts w:hint="default" w:ascii="Times New Roman" w:hAnsi="Times New Roman" w:eastAsia="宋体" w:cs="Times New Roman"/>
                      <w:color w:val="auto"/>
                      <w:sz w:val="21"/>
                      <w:szCs w:val="21"/>
                      <w:lang w:eastAsia="zh-CN"/>
                    </w:rPr>
                    <w:t>园区已建的</w:t>
                  </w:r>
                  <w:r>
                    <w:rPr>
                      <w:rFonts w:hint="default" w:ascii="Times New Roman" w:hAnsi="Times New Roman" w:eastAsia="宋体" w:cs="Times New Roman"/>
                      <w:color w:val="auto"/>
                      <w:sz w:val="21"/>
                      <w:szCs w:val="21"/>
                    </w:rPr>
                    <w:t>化粪池</w:t>
                  </w:r>
                  <w:r>
                    <w:rPr>
                      <w:rFonts w:hint="default" w:ascii="Times New Roman" w:hAnsi="Times New Roman" w:eastAsia="宋体" w:cs="Times New Roman"/>
                      <w:color w:val="auto"/>
                      <w:sz w:val="21"/>
                      <w:szCs w:val="21"/>
                      <w:lang w:eastAsia="zh-CN"/>
                    </w:rPr>
                    <w:t>预</w:t>
                  </w:r>
                  <w:r>
                    <w:rPr>
                      <w:rFonts w:hint="default" w:ascii="Times New Roman" w:hAnsi="Times New Roman" w:eastAsia="宋体" w:cs="Times New Roman"/>
                      <w:color w:val="auto"/>
                      <w:sz w:val="21"/>
                      <w:szCs w:val="21"/>
                    </w:rPr>
                    <w:t>处理达标后接入市政管网</w:t>
                  </w:r>
                </w:p>
              </w:tc>
            </w:tr>
            <w:tr w14:paraId="0B426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continue"/>
                  <w:noWrap w:val="0"/>
                  <w:vAlign w:val="center"/>
                </w:tcPr>
                <w:p w14:paraId="2D315B75">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p>
              </w:tc>
              <w:tc>
                <w:tcPr>
                  <w:tcW w:w="434" w:type="pct"/>
                  <w:vMerge w:val="continue"/>
                  <w:noWrap w:val="0"/>
                  <w:vAlign w:val="center"/>
                </w:tcPr>
                <w:p w14:paraId="41082F31">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p>
              </w:tc>
              <w:tc>
                <w:tcPr>
                  <w:tcW w:w="964" w:type="pct"/>
                  <w:tcBorders>
                    <w:left w:val="single" w:color="000000" w:sz="4" w:space="0"/>
                    <w:right w:val="single" w:color="000000" w:sz="4" w:space="0"/>
                  </w:tcBorders>
                  <w:noWrap w:val="0"/>
                  <w:vAlign w:val="center"/>
                </w:tcPr>
                <w:p w14:paraId="47A07DD2">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破碎、清洗废水</w:t>
                  </w:r>
                </w:p>
              </w:tc>
              <w:tc>
                <w:tcPr>
                  <w:tcW w:w="1325" w:type="pct"/>
                  <w:tcBorders>
                    <w:left w:val="single" w:color="000000" w:sz="4" w:space="0"/>
                    <w:right w:val="single" w:color="000000" w:sz="4" w:space="0"/>
                  </w:tcBorders>
                  <w:noWrap w:val="0"/>
                  <w:vAlign w:val="center"/>
                </w:tcPr>
                <w:p w14:paraId="483522B2">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COD、SS、BOD</w:t>
                  </w:r>
                  <w:r>
                    <w:rPr>
                      <w:rFonts w:hint="default" w:ascii="Times New Roman" w:hAnsi="Times New Roman" w:eastAsia="宋体" w:cs="Times New Roman"/>
                      <w:color w:val="auto"/>
                      <w:kern w:val="0"/>
                      <w:sz w:val="21"/>
                      <w:szCs w:val="21"/>
                      <w:vertAlign w:val="subscript"/>
                      <w:lang w:val="en-US" w:eastAsia="zh-CN"/>
                    </w:rPr>
                    <w:t>5</w:t>
                  </w:r>
                  <w:r>
                    <w:rPr>
                      <w:rFonts w:hint="default" w:ascii="Times New Roman" w:hAnsi="Times New Roman" w:eastAsia="宋体" w:cs="Times New Roman"/>
                      <w:color w:val="auto"/>
                      <w:kern w:val="0"/>
                      <w:sz w:val="21"/>
                      <w:szCs w:val="21"/>
                      <w:lang w:val="en-US" w:eastAsia="zh-CN"/>
                    </w:rPr>
                    <w:t>、氨氮、石油类</w:t>
                  </w:r>
                  <w:r>
                    <w:rPr>
                      <w:rFonts w:hint="eastAsia" w:ascii="Times New Roman" w:hAnsi="Times New Roman" w:cs="Times New Roman"/>
                      <w:color w:val="auto"/>
                      <w:kern w:val="0"/>
                      <w:sz w:val="21"/>
                      <w:szCs w:val="21"/>
                      <w:lang w:val="en-US" w:eastAsia="zh-CN"/>
                    </w:rPr>
                    <w:t>、TP、TN</w:t>
                  </w:r>
                </w:p>
              </w:tc>
              <w:tc>
                <w:tcPr>
                  <w:tcW w:w="1835" w:type="pct"/>
                  <w:tcBorders>
                    <w:left w:val="single" w:color="000000" w:sz="4" w:space="0"/>
                  </w:tcBorders>
                  <w:noWrap w:val="0"/>
                  <w:vAlign w:val="center"/>
                </w:tcPr>
                <w:p w14:paraId="7F7B6F40">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收集后经自建污水处理设施处理，处理后约</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eastAsia="zh-CN"/>
                    </w:rPr>
                    <w:t>0%的废水回用于生产，剩余</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lang w:val="en-US" w:eastAsia="zh-CN"/>
                    </w:rPr>
                    <w:t>排</w:t>
                  </w:r>
                  <w:r>
                    <w:rPr>
                      <w:rFonts w:hint="default" w:ascii="Times New Roman" w:hAnsi="Times New Roman" w:eastAsia="宋体" w:cs="Times New Roman"/>
                      <w:color w:val="auto"/>
                      <w:sz w:val="21"/>
                      <w:szCs w:val="21"/>
                    </w:rPr>
                    <w:t>入市政管网</w:t>
                  </w:r>
                  <w:r>
                    <w:rPr>
                      <w:rFonts w:hint="default" w:ascii="Times New Roman" w:hAnsi="Times New Roman" w:eastAsia="宋体" w:cs="Times New Roman"/>
                      <w:color w:val="auto"/>
                      <w:sz w:val="21"/>
                      <w:szCs w:val="21"/>
                      <w:lang w:eastAsia="zh-CN"/>
                    </w:rPr>
                    <w:t>。</w:t>
                  </w:r>
                </w:p>
              </w:tc>
            </w:tr>
            <w:tr w14:paraId="70AA9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continue"/>
                  <w:noWrap w:val="0"/>
                  <w:vAlign w:val="center"/>
                </w:tcPr>
                <w:p w14:paraId="5B116F75">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p>
              </w:tc>
              <w:tc>
                <w:tcPr>
                  <w:tcW w:w="434" w:type="pct"/>
                  <w:vMerge w:val="continue"/>
                  <w:noWrap w:val="0"/>
                  <w:vAlign w:val="center"/>
                </w:tcPr>
                <w:p w14:paraId="1D770993">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p>
              </w:tc>
              <w:tc>
                <w:tcPr>
                  <w:tcW w:w="964" w:type="pct"/>
                  <w:tcBorders>
                    <w:left w:val="single" w:color="000000" w:sz="4" w:space="0"/>
                    <w:right w:val="single" w:color="000000" w:sz="4" w:space="0"/>
                  </w:tcBorders>
                  <w:noWrap w:val="0"/>
                  <w:vAlign w:val="center"/>
                </w:tcPr>
                <w:p w14:paraId="3AD9F861">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地面清洗水</w:t>
                  </w:r>
                </w:p>
              </w:tc>
              <w:tc>
                <w:tcPr>
                  <w:tcW w:w="1325" w:type="pct"/>
                  <w:tcBorders>
                    <w:left w:val="single" w:color="000000" w:sz="4" w:space="0"/>
                    <w:right w:val="single" w:color="000000" w:sz="4" w:space="0"/>
                  </w:tcBorders>
                  <w:noWrap w:val="0"/>
                  <w:vAlign w:val="center"/>
                </w:tcPr>
                <w:p w14:paraId="426A9F67">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COD、SS、BOD</w:t>
                  </w:r>
                  <w:r>
                    <w:rPr>
                      <w:rFonts w:hint="default" w:ascii="Times New Roman" w:hAnsi="Times New Roman" w:eastAsia="宋体" w:cs="Times New Roman"/>
                      <w:color w:val="auto"/>
                      <w:kern w:val="0"/>
                      <w:sz w:val="21"/>
                      <w:szCs w:val="21"/>
                      <w:vertAlign w:val="subscript"/>
                      <w:lang w:val="en-US" w:eastAsia="zh-CN"/>
                    </w:rPr>
                    <w:t>5</w:t>
                  </w:r>
                  <w:r>
                    <w:rPr>
                      <w:rFonts w:hint="default" w:ascii="Times New Roman" w:hAnsi="Times New Roman" w:eastAsia="宋体" w:cs="Times New Roman"/>
                      <w:color w:val="auto"/>
                      <w:kern w:val="0"/>
                      <w:sz w:val="21"/>
                      <w:szCs w:val="21"/>
                      <w:lang w:val="en-US" w:eastAsia="zh-CN"/>
                    </w:rPr>
                    <w:t>、氨氮</w:t>
                  </w:r>
                </w:p>
              </w:tc>
              <w:tc>
                <w:tcPr>
                  <w:tcW w:w="1835" w:type="pct"/>
                  <w:tcBorders>
                    <w:left w:val="single" w:color="000000" w:sz="4" w:space="0"/>
                  </w:tcBorders>
                  <w:noWrap w:val="0"/>
                  <w:vAlign w:val="center"/>
                </w:tcPr>
                <w:p w14:paraId="128CFC6A">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sz w:val="21"/>
                      <w:szCs w:val="21"/>
                      <w:lang w:eastAsia="zh-CN"/>
                    </w:rPr>
                  </w:pPr>
                  <w:r>
                    <w:rPr>
                      <w:rFonts w:hint="eastAsia"/>
                      <w:color w:val="auto"/>
                      <w:sz w:val="21"/>
                      <w:szCs w:val="21"/>
                      <w:lang w:val="en-US" w:eastAsia="zh-CN"/>
                    </w:rPr>
                    <w:t>经地面导流沟收集至集水坑后，用泵抽</w:t>
                  </w:r>
                  <w:r>
                    <w:rPr>
                      <w:rFonts w:hint="eastAsia" w:ascii="Times New Roman" w:hAnsi="Times New Roman"/>
                      <w:color w:val="auto"/>
                      <w:sz w:val="21"/>
                      <w:szCs w:val="21"/>
                    </w:rPr>
                    <w:t>入自建污水处理设施</w:t>
                  </w:r>
                </w:p>
              </w:tc>
            </w:tr>
            <w:tr w14:paraId="35E9C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noWrap w:val="0"/>
                  <w:vAlign w:val="center"/>
                </w:tcPr>
                <w:p w14:paraId="7502E06F">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434" w:type="pct"/>
                  <w:noWrap w:val="0"/>
                  <w:vAlign w:val="center"/>
                </w:tcPr>
                <w:p w14:paraId="40D5D978">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废气</w:t>
                  </w:r>
                </w:p>
              </w:tc>
              <w:tc>
                <w:tcPr>
                  <w:tcW w:w="964" w:type="pct"/>
                  <w:tcBorders>
                    <w:left w:val="single" w:color="000000" w:sz="4" w:space="0"/>
                    <w:right w:val="single" w:color="000000" w:sz="4" w:space="0"/>
                  </w:tcBorders>
                  <w:noWrap w:val="0"/>
                  <w:vAlign w:val="center"/>
                </w:tcPr>
                <w:p w14:paraId="293F0037">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污水处理设施</w:t>
                  </w:r>
                </w:p>
              </w:tc>
              <w:tc>
                <w:tcPr>
                  <w:tcW w:w="1325" w:type="pct"/>
                  <w:tcBorders>
                    <w:left w:val="single" w:color="000000" w:sz="4" w:space="0"/>
                    <w:right w:val="single" w:color="000000" w:sz="4" w:space="0"/>
                  </w:tcBorders>
                  <w:noWrap w:val="0"/>
                  <w:vAlign w:val="center"/>
                </w:tcPr>
                <w:p w14:paraId="765A44ED">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臭气浓度、氨、硫化氢</w:t>
                  </w:r>
                </w:p>
              </w:tc>
              <w:tc>
                <w:tcPr>
                  <w:tcW w:w="1835" w:type="pct"/>
                  <w:tcBorders>
                    <w:left w:val="single" w:color="000000" w:sz="4" w:space="0"/>
                  </w:tcBorders>
                  <w:noWrap w:val="0"/>
                  <w:vAlign w:val="center"/>
                </w:tcPr>
                <w:p w14:paraId="55CD34FD">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污水处理设施加盖密闭，加强车间通风</w:t>
                  </w:r>
                </w:p>
              </w:tc>
            </w:tr>
            <w:tr w14:paraId="7839F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restart"/>
                  <w:noWrap w:val="0"/>
                  <w:vAlign w:val="center"/>
                </w:tcPr>
                <w:p w14:paraId="37580FA8">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434" w:type="pct"/>
                  <w:vMerge w:val="restart"/>
                  <w:noWrap w:val="0"/>
                  <w:vAlign w:val="center"/>
                </w:tcPr>
                <w:p w14:paraId="56EF5543">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固废</w:t>
                  </w:r>
                </w:p>
              </w:tc>
              <w:tc>
                <w:tcPr>
                  <w:tcW w:w="964" w:type="pct"/>
                  <w:tcBorders>
                    <w:left w:val="single" w:color="000000" w:sz="4" w:space="0"/>
                    <w:right w:val="single" w:color="000000" w:sz="4" w:space="0"/>
                  </w:tcBorders>
                  <w:noWrap w:val="0"/>
                  <w:vAlign w:val="center"/>
                </w:tcPr>
                <w:p w14:paraId="09655AEF">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bidi="ar"/>
                    </w:rPr>
                    <w:t>分选</w:t>
                  </w:r>
                </w:p>
              </w:tc>
              <w:tc>
                <w:tcPr>
                  <w:tcW w:w="1325" w:type="pct"/>
                  <w:tcBorders>
                    <w:left w:val="single" w:color="000000" w:sz="4" w:space="0"/>
                    <w:right w:val="single" w:color="000000" w:sz="4" w:space="0"/>
                  </w:tcBorders>
                  <w:noWrap w:val="0"/>
                  <w:vAlign w:val="center"/>
                </w:tcPr>
                <w:p w14:paraId="5F107BEC">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color w:val="auto"/>
                    </w:rPr>
                    <w:t>废包装</w:t>
                  </w:r>
                  <w:r>
                    <w:rPr>
                      <w:rFonts w:hint="default" w:ascii="Times New Roman" w:hAnsi="Times New Roman" w:cs="Times New Roman"/>
                      <w:color w:val="auto"/>
                      <w:lang w:val="en-US" w:eastAsia="zh-CN"/>
                    </w:rPr>
                    <w:t>材</w:t>
                  </w:r>
                  <w:r>
                    <w:rPr>
                      <w:rFonts w:hint="default" w:ascii="Times New Roman" w:hAnsi="Times New Roman" w:cs="Times New Roman"/>
                      <w:color w:val="auto"/>
                    </w:rPr>
                    <w:t>料</w:t>
                  </w:r>
                </w:p>
              </w:tc>
              <w:tc>
                <w:tcPr>
                  <w:tcW w:w="1835" w:type="pct"/>
                  <w:vMerge w:val="restart"/>
                  <w:tcBorders>
                    <w:left w:val="single" w:color="000000" w:sz="4" w:space="0"/>
                  </w:tcBorders>
                  <w:noWrap w:val="0"/>
                  <w:vAlign w:val="center"/>
                </w:tcPr>
                <w:p w14:paraId="52BEF02A">
                  <w:pPr>
                    <w:pStyle w:val="97"/>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highlight w:val="none"/>
                      <w:lang w:eastAsia="zh-CN"/>
                    </w:rPr>
                    <w:t>属于一般工业固体废物，分类收集后</w:t>
                  </w:r>
                  <w:r>
                    <w:rPr>
                      <w:rFonts w:hint="default" w:ascii="Times New Roman" w:hAnsi="Times New Roman" w:eastAsia="宋体" w:cs="Times New Roman"/>
                      <w:b w:val="0"/>
                      <w:bCs/>
                      <w:color w:val="auto"/>
                      <w:sz w:val="21"/>
                      <w:szCs w:val="21"/>
                      <w:lang w:eastAsia="zh-CN"/>
                    </w:rPr>
                    <w:t>外售给企业综合利用</w:t>
                  </w:r>
                </w:p>
              </w:tc>
            </w:tr>
            <w:tr w14:paraId="27E84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continue"/>
                  <w:noWrap w:val="0"/>
                  <w:vAlign w:val="center"/>
                </w:tcPr>
                <w:p w14:paraId="6C2654C3">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p>
              </w:tc>
              <w:tc>
                <w:tcPr>
                  <w:tcW w:w="434" w:type="pct"/>
                  <w:vMerge w:val="continue"/>
                  <w:noWrap w:val="0"/>
                  <w:vAlign w:val="center"/>
                </w:tcPr>
                <w:p w14:paraId="40B13742">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p>
              </w:tc>
              <w:tc>
                <w:tcPr>
                  <w:tcW w:w="964" w:type="pct"/>
                  <w:tcBorders>
                    <w:left w:val="single" w:color="000000" w:sz="4" w:space="0"/>
                    <w:right w:val="single" w:color="000000" w:sz="4" w:space="0"/>
                  </w:tcBorders>
                  <w:noWrap w:val="0"/>
                  <w:vAlign w:val="center"/>
                </w:tcPr>
                <w:p w14:paraId="3652EDBB">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摩擦、洗脱</w:t>
                  </w:r>
                </w:p>
              </w:tc>
              <w:tc>
                <w:tcPr>
                  <w:tcW w:w="1325" w:type="pct"/>
                  <w:tcBorders>
                    <w:left w:val="single" w:color="000000" w:sz="4" w:space="0"/>
                    <w:right w:val="single" w:color="000000" w:sz="4" w:space="0"/>
                  </w:tcBorders>
                  <w:noWrap w:val="0"/>
                  <w:vAlign w:val="center"/>
                </w:tcPr>
                <w:p w14:paraId="777FDC4E">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废脱水纸浆</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清洗沉渣</w:t>
                  </w:r>
                </w:p>
              </w:tc>
              <w:tc>
                <w:tcPr>
                  <w:tcW w:w="1835" w:type="pct"/>
                  <w:vMerge w:val="continue"/>
                  <w:tcBorders>
                    <w:left w:val="single" w:color="000000" w:sz="4" w:space="0"/>
                  </w:tcBorders>
                  <w:noWrap w:val="0"/>
                  <w:vAlign w:val="center"/>
                </w:tcPr>
                <w:p w14:paraId="332CE470">
                  <w:pPr>
                    <w:pStyle w:val="97"/>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r>
            <w:tr w14:paraId="3B78D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continue"/>
                  <w:noWrap w:val="0"/>
                  <w:vAlign w:val="center"/>
                </w:tcPr>
                <w:p w14:paraId="31A05151">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p>
              </w:tc>
              <w:tc>
                <w:tcPr>
                  <w:tcW w:w="434" w:type="pct"/>
                  <w:vMerge w:val="continue"/>
                  <w:noWrap w:val="0"/>
                  <w:vAlign w:val="center"/>
                </w:tcPr>
                <w:p w14:paraId="1C96F917">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p>
              </w:tc>
              <w:tc>
                <w:tcPr>
                  <w:tcW w:w="964" w:type="pct"/>
                  <w:tcBorders>
                    <w:left w:val="single" w:color="000000" w:sz="4" w:space="0"/>
                    <w:right w:val="single" w:color="000000" w:sz="4" w:space="0"/>
                  </w:tcBorders>
                  <w:noWrap w:val="0"/>
                  <w:vAlign w:val="center"/>
                </w:tcPr>
                <w:p w14:paraId="708D4D19">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污水处理设施</w:t>
                  </w:r>
                </w:p>
              </w:tc>
              <w:tc>
                <w:tcPr>
                  <w:tcW w:w="1325" w:type="pct"/>
                  <w:tcBorders>
                    <w:left w:val="single" w:color="000000" w:sz="4" w:space="0"/>
                    <w:right w:val="single" w:color="000000" w:sz="4" w:space="0"/>
                  </w:tcBorders>
                  <w:noWrap w:val="0"/>
                  <w:vAlign w:val="center"/>
                </w:tcPr>
                <w:p w14:paraId="7BD00ADC">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污水站污泥</w:t>
                  </w:r>
                </w:p>
              </w:tc>
              <w:tc>
                <w:tcPr>
                  <w:tcW w:w="1835" w:type="pct"/>
                  <w:vMerge w:val="continue"/>
                  <w:tcBorders>
                    <w:left w:val="single" w:color="000000" w:sz="4" w:space="0"/>
                  </w:tcBorders>
                  <w:noWrap w:val="0"/>
                  <w:vAlign w:val="center"/>
                </w:tcPr>
                <w:p w14:paraId="10D94D2F">
                  <w:pPr>
                    <w:pStyle w:val="97"/>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r>
            <w:tr w14:paraId="01702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continue"/>
                  <w:noWrap w:val="0"/>
                  <w:vAlign w:val="center"/>
                </w:tcPr>
                <w:p w14:paraId="39C8525B">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p>
              </w:tc>
              <w:tc>
                <w:tcPr>
                  <w:tcW w:w="434" w:type="pct"/>
                  <w:vMerge w:val="continue"/>
                  <w:noWrap w:val="0"/>
                  <w:vAlign w:val="center"/>
                </w:tcPr>
                <w:p w14:paraId="4B474003">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p>
              </w:tc>
              <w:tc>
                <w:tcPr>
                  <w:tcW w:w="964" w:type="pct"/>
                  <w:tcBorders>
                    <w:left w:val="single" w:color="000000" w:sz="4" w:space="0"/>
                    <w:right w:val="single" w:color="000000" w:sz="4" w:space="0"/>
                  </w:tcBorders>
                  <w:noWrap w:val="0"/>
                  <w:vAlign w:val="center"/>
                </w:tcPr>
                <w:p w14:paraId="51318DB4">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职工生活垃圾</w:t>
                  </w:r>
                </w:p>
              </w:tc>
              <w:tc>
                <w:tcPr>
                  <w:tcW w:w="1325" w:type="pct"/>
                  <w:tcBorders>
                    <w:left w:val="single" w:color="000000" w:sz="4" w:space="0"/>
                    <w:right w:val="single" w:color="000000" w:sz="4" w:space="0"/>
                  </w:tcBorders>
                  <w:noWrap w:val="0"/>
                  <w:vAlign w:val="center"/>
                </w:tcPr>
                <w:p w14:paraId="43AF4FC6">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纸屑、塑料等</w:t>
                  </w:r>
                </w:p>
              </w:tc>
              <w:tc>
                <w:tcPr>
                  <w:tcW w:w="1835" w:type="pct"/>
                  <w:tcBorders>
                    <w:left w:val="single" w:color="000000" w:sz="4" w:space="0"/>
                  </w:tcBorders>
                  <w:noWrap w:val="0"/>
                  <w:vAlign w:val="center"/>
                </w:tcPr>
                <w:p w14:paraId="3D67673A">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收集后由环卫部门每日清运</w:t>
                  </w:r>
                </w:p>
              </w:tc>
            </w:tr>
            <w:tr w14:paraId="38B6A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noWrap w:val="0"/>
                  <w:vAlign w:val="center"/>
                </w:tcPr>
                <w:p w14:paraId="16F00CBD">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434" w:type="pct"/>
                  <w:noWrap w:val="0"/>
                  <w:vAlign w:val="center"/>
                </w:tcPr>
                <w:p w14:paraId="16DC962E">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噪声</w:t>
                  </w:r>
                </w:p>
              </w:tc>
              <w:tc>
                <w:tcPr>
                  <w:tcW w:w="964" w:type="pct"/>
                  <w:tcBorders>
                    <w:left w:val="single" w:color="000000" w:sz="4" w:space="0"/>
                    <w:right w:val="single" w:color="000000" w:sz="4" w:space="0"/>
                  </w:tcBorders>
                  <w:noWrap w:val="0"/>
                  <w:vAlign w:val="center"/>
                </w:tcPr>
                <w:p w14:paraId="00BAE15B">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highlight w:val="yellow"/>
                      <w:lang w:bidi="ar"/>
                    </w:rPr>
                  </w:pPr>
                  <w:r>
                    <w:rPr>
                      <w:rFonts w:hint="default" w:ascii="Times New Roman" w:hAnsi="Times New Roman" w:eastAsia="宋体" w:cs="Times New Roman"/>
                      <w:color w:val="auto"/>
                      <w:kern w:val="0"/>
                      <w:sz w:val="21"/>
                      <w:szCs w:val="21"/>
                      <w:lang w:eastAsia="zh-CN"/>
                    </w:rPr>
                    <w:t>生产设备</w:t>
                  </w:r>
                </w:p>
              </w:tc>
              <w:tc>
                <w:tcPr>
                  <w:tcW w:w="1325" w:type="pct"/>
                  <w:tcBorders>
                    <w:left w:val="single" w:color="000000" w:sz="4" w:space="0"/>
                    <w:right w:val="single" w:color="000000" w:sz="4" w:space="0"/>
                  </w:tcBorders>
                  <w:noWrap w:val="0"/>
                  <w:vAlign w:val="center"/>
                </w:tcPr>
                <w:p w14:paraId="6E947454">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Leq</w:t>
                  </w:r>
                </w:p>
              </w:tc>
              <w:tc>
                <w:tcPr>
                  <w:tcW w:w="1835" w:type="pct"/>
                  <w:tcBorders>
                    <w:left w:val="single" w:color="000000" w:sz="4" w:space="0"/>
                  </w:tcBorders>
                  <w:noWrap w:val="0"/>
                  <w:vAlign w:val="center"/>
                </w:tcPr>
                <w:p w14:paraId="1857EA88">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 w:val="0"/>
                      <w:bCs/>
                      <w:color w:val="auto"/>
                      <w:sz w:val="21"/>
                      <w:szCs w:val="21"/>
                      <w:lang w:eastAsia="zh-CN"/>
                    </w:rPr>
                    <w:t>厂房隔声、设备基础减振等综合降噪措施</w:t>
                  </w:r>
                </w:p>
              </w:tc>
            </w:tr>
          </w:tbl>
          <w:p w14:paraId="2EF7B955">
            <w:pPr>
              <w:rPr>
                <w:rFonts w:hint="default" w:ascii="Times New Roman" w:hAnsi="Times New Roman" w:eastAsia="宋体" w:cs="Times New Roman"/>
                <w:color w:val="auto"/>
              </w:rPr>
            </w:pPr>
          </w:p>
        </w:tc>
      </w:tr>
      <w:tr w14:paraId="4F444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390" w:type="dxa"/>
            <w:noWrap w:val="0"/>
            <w:vAlign w:val="center"/>
          </w:tcPr>
          <w:p w14:paraId="21735CCD">
            <w:pPr>
              <w:pStyle w:val="22"/>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1"/>
                <w:szCs w:val="21"/>
              </w:rPr>
              <w:t>与项目有关的原有环境污染问题</w:t>
            </w:r>
          </w:p>
        </w:tc>
        <w:tc>
          <w:tcPr>
            <w:tcW w:w="8594" w:type="dxa"/>
            <w:noWrap w:val="0"/>
            <w:vAlign w:val="center"/>
          </w:tcPr>
          <w:p w14:paraId="29B2D484">
            <w:pPr>
              <w:keepNext/>
              <w:keepLines w:val="0"/>
              <w:pageBreakBefore w:val="0"/>
              <w:widowControl w:val="0"/>
              <w:kinsoku/>
              <w:wordWrap/>
              <w:overflowPunct w:val="0"/>
              <w:topLinePunct w:val="0"/>
              <w:autoSpaceDE/>
              <w:autoSpaceDN/>
              <w:bidi w:val="0"/>
              <w:adjustRightInd/>
              <w:snapToGrid w:val="0"/>
              <w:spacing w:before="0" w:after="0" w:line="360" w:lineRule="auto"/>
              <w:ind w:left="431" w:hanging="431"/>
              <w:jc w:val="center"/>
              <w:textAlignment w:val="auto"/>
              <w:outlineLvl w:val="9"/>
              <w:rPr>
                <w:rFonts w:hint="default" w:ascii="Times New Roman" w:hAnsi="Times New Roman" w:eastAsia="宋体" w:cs="Times New Roman"/>
                <w:color w:val="auto"/>
                <w:lang w:val="en-US" w:eastAsia="zh-CN"/>
              </w:rPr>
            </w:pPr>
            <w:bookmarkStart w:id="19" w:name="_Toc31817"/>
            <w:r>
              <w:rPr>
                <w:rFonts w:hint="default" w:ascii="Times New Roman" w:hAnsi="Times New Roman" w:eastAsia="宋体" w:cs="Times New Roman"/>
                <w:b w:val="0"/>
                <w:bCs w:val="0"/>
                <w:color w:val="auto"/>
                <w:kern w:val="0"/>
                <w:sz w:val="21"/>
                <w:szCs w:val="21"/>
                <w:lang w:val="en-US" w:eastAsia="zh-CN" w:bidi="ar-SA"/>
              </w:rPr>
              <w:t>无</w:t>
            </w:r>
            <w:bookmarkEnd w:id="19"/>
          </w:p>
        </w:tc>
      </w:tr>
    </w:tbl>
    <w:p w14:paraId="56CFE75C">
      <w:pPr>
        <w:pStyle w:val="2"/>
        <w:outlineLvl w:val="9"/>
        <w:rPr>
          <w:rFonts w:hint="default" w:ascii="Times New Roman" w:hAnsi="Times New Roman" w:eastAsia="宋体" w:cs="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4136996">
      <w:pPr>
        <w:pStyle w:val="22"/>
        <w:jc w:val="center"/>
        <w:outlineLvl w:val="0"/>
        <w:rPr>
          <w:rFonts w:hint="default" w:ascii="Times New Roman" w:hAnsi="Times New Roman" w:eastAsia="宋体" w:cs="Times New Roman"/>
          <w:snapToGrid w:val="0"/>
          <w:color w:val="auto"/>
          <w:sz w:val="30"/>
          <w:szCs w:val="30"/>
        </w:rPr>
      </w:pPr>
      <w:bookmarkStart w:id="20" w:name="_Toc19910"/>
      <w:r>
        <w:rPr>
          <w:rFonts w:hint="default" w:ascii="Times New Roman" w:hAnsi="Times New Roman" w:eastAsia="黑体" w:cs="Times New Roman"/>
          <w:snapToGrid w:val="0"/>
          <w:color w:val="auto"/>
          <w:sz w:val="30"/>
          <w:szCs w:val="30"/>
        </w:rPr>
        <w:t>三、区域环境质量现状、环境保护目标及评价标准</w:t>
      </w:r>
      <w:bookmarkEnd w:id="2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496"/>
      </w:tblGrid>
      <w:tr w14:paraId="1766E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65" w:type="dxa"/>
            <w:noWrap w:val="0"/>
            <w:vAlign w:val="center"/>
          </w:tcPr>
          <w:p w14:paraId="71C9B76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区域</w:t>
            </w:r>
          </w:p>
          <w:p w14:paraId="097B26E9">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053BB982">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质量</w:t>
            </w:r>
          </w:p>
          <w:p w14:paraId="6632A696">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现状</w:t>
            </w:r>
          </w:p>
        </w:tc>
        <w:tc>
          <w:tcPr>
            <w:tcW w:w="8496" w:type="dxa"/>
            <w:noWrap w:val="0"/>
            <w:vAlign w:val="center"/>
          </w:tcPr>
          <w:p w14:paraId="2DB34CD9">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3.</w:t>
            </w:r>
            <w:r>
              <w:rPr>
                <w:rFonts w:hint="default" w:ascii="Times New Roman" w:hAnsi="Times New Roman" w:eastAsia="宋体" w:cs="Times New Roman"/>
                <w:b/>
                <w:color w:val="auto"/>
                <w:sz w:val="28"/>
                <w:szCs w:val="28"/>
                <w:lang w:val="en-US" w:eastAsia="zh-CN"/>
              </w:rPr>
              <w:t>1</w:t>
            </w:r>
            <w:r>
              <w:rPr>
                <w:rFonts w:hint="default" w:ascii="Times New Roman" w:hAnsi="Times New Roman" w:eastAsia="宋体" w:cs="Times New Roman"/>
                <w:b/>
                <w:color w:val="auto"/>
                <w:sz w:val="28"/>
                <w:szCs w:val="28"/>
              </w:rPr>
              <w:t>大气环境质量现状</w:t>
            </w:r>
          </w:p>
          <w:p w14:paraId="2A73D5FD">
            <w:pPr>
              <w:adjustRightInd w:val="0"/>
              <w:snapToGrid w:val="0"/>
              <w:spacing w:line="360" w:lineRule="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3.1.1环境空气质量功能区划</w:t>
            </w:r>
          </w:p>
          <w:p w14:paraId="7A60804E">
            <w:pPr>
              <w:spacing w:line="360" w:lineRule="auto"/>
              <w:ind w:firstLine="480" w:firstLineChars="200"/>
              <w:rPr>
                <w:rFonts w:hint="default" w:ascii="Times New Roman" w:hAnsi="Times New Roman" w:eastAsia="宋体" w:cs="Times New Roman"/>
                <w:color w:val="auto"/>
                <w:sz w:val="24"/>
                <w:szCs w:val="24"/>
              </w:rPr>
            </w:pPr>
            <w:bookmarkStart w:id="21" w:name="_Toc338850492"/>
            <w:bookmarkStart w:id="22" w:name="_Toc339964236"/>
            <w:r>
              <w:rPr>
                <w:rFonts w:hint="default" w:ascii="Times New Roman" w:hAnsi="Times New Roman" w:eastAsia="宋体" w:cs="Times New Roman"/>
                <w:i w:val="0"/>
                <w:iCs w:val="0"/>
                <w:color w:val="auto"/>
                <w:sz w:val="24"/>
                <w:szCs w:val="24"/>
              </w:rPr>
              <w:t>根据福州市人民政府榕政综[2014]30号文件</w:t>
            </w:r>
            <w:r>
              <w:rPr>
                <w:rFonts w:hint="default" w:ascii="Times New Roman" w:hAnsi="Times New Roman" w:eastAsia="宋体" w:cs="Times New Roman"/>
                <w:i w:val="0"/>
                <w:iCs w:val="0"/>
                <w:color w:val="auto"/>
                <w:sz w:val="24"/>
                <w:szCs w:val="24"/>
                <w:lang w:val="en-US" w:eastAsia="zh-CN"/>
              </w:rPr>
              <w:t>正式</w:t>
            </w:r>
            <w:r>
              <w:rPr>
                <w:rFonts w:hint="default" w:ascii="Times New Roman" w:hAnsi="Times New Roman" w:eastAsia="宋体" w:cs="Times New Roman"/>
                <w:i w:val="0"/>
                <w:iCs w:val="0"/>
                <w:color w:val="auto"/>
                <w:sz w:val="24"/>
                <w:szCs w:val="24"/>
              </w:rPr>
              <w:t>批准实施《福州市环境空气质量功能区划》的规定，评价区域环境空气功能规划为二类区，环境空气质量执行《环境空气质量标准》(GB3095-2012)</w:t>
            </w:r>
            <w:r>
              <w:rPr>
                <w:rFonts w:hint="default" w:ascii="Times New Roman" w:hAnsi="Times New Roman" w:eastAsia="宋体" w:cs="Times New Roman"/>
                <w:i w:val="0"/>
                <w:iCs w:val="0"/>
                <w:color w:val="auto"/>
                <w:sz w:val="24"/>
                <w:szCs w:val="24"/>
                <w:lang w:eastAsia="zh-CN"/>
              </w:rPr>
              <w:t>及其修改单</w:t>
            </w:r>
            <w:r>
              <w:rPr>
                <w:rFonts w:hint="default" w:ascii="Times New Roman" w:hAnsi="Times New Roman" w:eastAsia="宋体" w:cs="Times New Roman"/>
                <w:i w:val="0"/>
                <w:iCs w:val="0"/>
                <w:color w:val="auto"/>
                <w:sz w:val="24"/>
                <w:szCs w:val="24"/>
              </w:rPr>
              <w:t>中的二级标准</w:t>
            </w:r>
            <w:r>
              <w:rPr>
                <w:rFonts w:hint="default" w:ascii="Times New Roman" w:hAnsi="Times New Roman" w:eastAsia="宋体" w:cs="Times New Roman"/>
                <w:i w:val="0"/>
                <w:iCs w:val="0"/>
                <w:color w:val="auto"/>
                <w:sz w:val="24"/>
                <w:szCs w:val="24"/>
                <w:lang w:eastAsia="zh-CN"/>
              </w:rPr>
              <w:t>，</w:t>
            </w:r>
            <w:r>
              <w:rPr>
                <w:rFonts w:hint="default" w:ascii="Times New Roman" w:hAnsi="Times New Roman" w:eastAsia="宋体" w:cs="Times New Roman"/>
                <w:i w:val="0"/>
                <w:iCs w:val="0"/>
                <w:color w:val="auto"/>
                <w:sz w:val="24"/>
                <w:szCs w:val="24"/>
              </w:rPr>
              <w:t>具体详见表3.</w:t>
            </w:r>
            <w:r>
              <w:rPr>
                <w:rFonts w:hint="default" w:ascii="Times New Roman" w:hAnsi="Times New Roman" w:eastAsia="宋体" w:cs="Times New Roman"/>
                <w:i w:val="0"/>
                <w:iCs w:val="0"/>
                <w:color w:val="auto"/>
                <w:sz w:val="24"/>
                <w:szCs w:val="24"/>
                <w:lang w:val="en-US" w:eastAsia="zh-CN"/>
              </w:rPr>
              <w:t>1</w:t>
            </w:r>
            <w:r>
              <w:rPr>
                <w:rFonts w:hint="default" w:ascii="Times New Roman" w:hAnsi="Times New Roman" w:eastAsia="宋体" w:cs="Times New Roman"/>
                <w:i w:val="0"/>
                <w:iCs w:val="0"/>
                <w:color w:val="auto"/>
                <w:sz w:val="24"/>
                <w:szCs w:val="24"/>
              </w:rPr>
              <w:t>-</w:t>
            </w:r>
            <w:r>
              <w:rPr>
                <w:rFonts w:hint="default" w:ascii="Times New Roman" w:hAnsi="Times New Roman" w:eastAsia="宋体" w:cs="Times New Roman"/>
                <w:i w:val="0"/>
                <w:iCs w:val="0"/>
                <w:color w:val="auto"/>
                <w:sz w:val="24"/>
                <w:szCs w:val="24"/>
                <w:lang w:val="en-US" w:eastAsia="zh-CN"/>
              </w:rPr>
              <w:t>1</w:t>
            </w:r>
            <w:r>
              <w:rPr>
                <w:rFonts w:hint="default" w:ascii="Times New Roman" w:hAnsi="Times New Roman" w:eastAsia="宋体" w:cs="Times New Roman"/>
                <w:i w:val="0"/>
                <w:iCs w:val="0"/>
                <w:color w:val="auto"/>
                <w:sz w:val="24"/>
                <w:szCs w:val="24"/>
              </w:rPr>
              <w:t>。</w:t>
            </w:r>
          </w:p>
          <w:p w14:paraId="6CA12A55">
            <w:pPr>
              <w:keepNext w:val="0"/>
              <w:keepLines w:val="0"/>
              <w:pageBreakBefore w:val="0"/>
              <w:widowControl w:val="0"/>
              <w:kinsoku/>
              <w:wordWrap/>
              <w:overflowPunct/>
              <w:topLinePunct w:val="0"/>
              <w:autoSpaceDE/>
              <w:autoSpaceDN/>
              <w:bidi w:val="0"/>
              <w:adjustRightInd/>
              <w:snapToGrid/>
              <w:spacing w:before="120" w:beforeLines="50"/>
              <w:jc w:val="center"/>
              <w:textAlignment w:val="auto"/>
              <w:rPr>
                <w:rFonts w:hint="default" w:ascii="Times New Roman" w:hAnsi="Times New Roman" w:eastAsia="宋体" w:cs="Times New Roman"/>
                <w:color w:val="auto"/>
                <w:sz w:val="24"/>
              </w:rPr>
            </w:pPr>
            <w:r>
              <w:rPr>
                <w:rFonts w:hint="default" w:ascii="Times New Roman" w:hAnsi="Times New Roman" w:eastAsia="黑体" w:cs="Times New Roman"/>
                <w:color w:val="auto"/>
                <w:sz w:val="24"/>
              </w:rPr>
              <w:t>表3.</w:t>
            </w:r>
            <w:r>
              <w:rPr>
                <w:rFonts w:hint="default" w:ascii="Times New Roman" w:hAnsi="Times New Roman" w:eastAsia="黑体" w:cs="Times New Roman"/>
                <w:color w:val="auto"/>
                <w:sz w:val="24"/>
                <w:lang w:val="en-US" w:eastAsia="zh-CN"/>
              </w:rPr>
              <w:t>1-1</w:t>
            </w:r>
            <w:r>
              <w:rPr>
                <w:rFonts w:hint="default" w:ascii="Times New Roman" w:hAnsi="Times New Roman" w:eastAsia="黑体" w:cs="Times New Roman"/>
                <w:color w:val="auto"/>
                <w:sz w:val="24"/>
              </w:rPr>
              <w:t xml:space="preserve">  本项目环境空气标准一览表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715"/>
              <w:gridCol w:w="1847"/>
              <w:gridCol w:w="1542"/>
              <w:gridCol w:w="3176"/>
            </w:tblGrid>
            <w:tr w14:paraId="3904C0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noWrap w:val="0"/>
                  <w:vAlign w:val="center"/>
                </w:tcPr>
                <w:p w14:paraId="156DD5FC">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115" w:type="pct"/>
                  <w:noWrap w:val="0"/>
                  <w:vAlign w:val="center"/>
                </w:tcPr>
                <w:p w14:paraId="66DC9E0B">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931" w:type="pct"/>
                  <w:noWrap w:val="0"/>
                  <w:vAlign w:val="center"/>
                </w:tcPr>
                <w:p w14:paraId="5FA0A189">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c>
                <w:tcPr>
                  <w:tcW w:w="1917" w:type="pct"/>
                  <w:noWrap w:val="0"/>
                  <w:vAlign w:val="center"/>
                </w:tcPr>
                <w:p w14:paraId="76A01F1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52E5B4B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27804E64">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115" w:type="pct"/>
                  <w:noWrap w:val="0"/>
                  <w:vAlign w:val="center"/>
                </w:tcPr>
                <w:p w14:paraId="16625330">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2AEDB636">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70μg/m</w:t>
                  </w:r>
                  <w:r>
                    <w:rPr>
                      <w:rFonts w:hint="default" w:ascii="Times New Roman" w:hAnsi="Times New Roman" w:eastAsia="宋体" w:cs="Times New Roman"/>
                      <w:color w:val="auto"/>
                      <w:sz w:val="21"/>
                      <w:szCs w:val="21"/>
                      <w:vertAlign w:val="superscript"/>
                    </w:rPr>
                    <w:t>3</w:t>
                  </w:r>
                </w:p>
              </w:tc>
              <w:tc>
                <w:tcPr>
                  <w:tcW w:w="1917" w:type="pct"/>
                  <w:vMerge w:val="restart"/>
                  <w:noWrap w:val="0"/>
                  <w:vAlign w:val="center"/>
                </w:tcPr>
                <w:p w14:paraId="339F49EB">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《环境空气质量标准》(GB3095-2012)及其修改</w:t>
                  </w:r>
                </w:p>
                <w:p w14:paraId="1F315319">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单</w:t>
                  </w:r>
                  <w:r>
                    <w:rPr>
                      <w:rFonts w:hint="default" w:ascii="Times New Roman" w:hAnsi="Times New Roman" w:eastAsia="宋体" w:cs="Times New Roman"/>
                      <w:color w:val="auto"/>
                      <w:sz w:val="21"/>
                      <w:szCs w:val="21"/>
                    </w:rPr>
                    <w:t>中的二级标准</w:t>
                  </w:r>
                </w:p>
              </w:tc>
            </w:tr>
            <w:tr w14:paraId="4F0222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191E5015">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c>
                <w:tcPr>
                  <w:tcW w:w="1115" w:type="pct"/>
                  <w:noWrap w:val="0"/>
                  <w:vAlign w:val="center"/>
                </w:tcPr>
                <w:p w14:paraId="6E61D8D2">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717AA506">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49385E62">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6ED835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03EA4F58">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PM</w:t>
                  </w:r>
                  <w:r>
                    <w:rPr>
                      <w:rFonts w:hint="default" w:ascii="Times New Roman" w:hAnsi="Times New Roman" w:eastAsia="宋体" w:cs="Times New Roman"/>
                      <w:color w:val="auto"/>
                      <w:sz w:val="21"/>
                      <w:szCs w:val="21"/>
                      <w:vertAlign w:val="subscript"/>
                      <w:lang w:val="en-US" w:eastAsia="zh-CN"/>
                    </w:rPr>
                    <w:t>2.5</w:t>
                  </w:r>
                </w:p>
              </w:tc>
              <w:tc>
                <w:tcPr>
                  <w:tcW w:w="1115" w:type="pct"/>
                  <w:noWrap w:val="0"/>
                  <w:vAlign w:val="center"/>
                </w:tcPr>
                <w:p w14:paraId="374D12C0">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2377B72D">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1FB26C4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51C1C5F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772CC13A">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c>
                <w:tcPr>
                  <w:tcW w:w="1115" w:type="pct"/>
                  <w:noWrap w:val="0"/>
                  <w:vAlign w:val="center"/>
                </w:tcPr>
                <w:p w14:paraId="6D107549">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4C5B2558">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1D99361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6A7EBE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7F3BB9EA">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115" w:type="pct"/>
                  <w:noWrap w:val="0"/>
                  <w:vAlign w:val="center"/>
                </w:tcPr>
                <w:p w14:paraId="1F83665C">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6823BEBB">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127CF9CD">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6B9757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07E856B7">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c>
                <w:tcPr>
                  <w:tcW w:w="1115" w:type="pct"/>
                  <w:noWrap w:val="0"/>
                  <w:vAlign w:val="center"/>
                </w:tcPr>
                <w:p w14:paraId="102F69B6">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5D9099C3">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1AC0FF37">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1EFFBF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6B61484D">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c>
                <w:tcPr>
                  <w:tcW w:w="1115" w:type="pct"/>
                  <w:noWrap w:val="0"/>
                  <w:vAlign w:val="center"/>
                </w:tcPr>
                <w:p w14:paraId="3B8EA6C9">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18B677C6">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058EBF5F">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7071599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3ACC7ACB">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115" w:type="pct"/>
                  <w:noWrap w:val="0"/>
                  <w:vAlign w:val="center"/>
                </w:tcPr>
                <w:p w14:paraId="3BB460C9">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244E11EE">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0882898F">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5CAA25C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17824519">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c>
                <w:tcPr>
                  <w:tcW w:w="1115" w:type="pct"/>
                  <w:noWrap w:val="0"/>
                  <w:vAlign w:val="center"/>
                </w:tcPr>
                <w:p w14:paraId="24614A5F">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51416CDB">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22DB6D4B">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6108E0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77C5A5C6">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c>
                <w:tcPr>
                  <w:tcW w:w="1115" w:type="pct"/>
                  <w:noWrap w:val="0"/>
                  <w:vAlign w:val="center"/>
                </w:tcPr>
                <w:p w14:paraId="69AFF457">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7EA04F9F">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6BFCBCD0">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7A6615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16AC5E7D">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CO</w:t>
                  </w:r>
                </w:p>
              </w:tc>
              <w:tc>
                <w:tcPr>
                  <w:tcW w:w="1115" w:type="pct"/>
                  <w:noWrap w:val="0"/>
                  <w:vAlign w:val="center"/>
                </w:tcPr>
                <w:p w14:paraId="101FD3A7">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5DBF4F29">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4mg/m</w:t>
                  </w:r>
                  <w:r>
                    <w:rPr>
                      <w:rFonts w:hint="default" w:ascii="Times New Roman" w:hAnsi="Times New Roman" w:eastAsia="宋体" w:cs="Times New Roman"/>
                      <w:color w:val="auto"/>
                      <w:kern w:val="2"/>
                      <w:sz w:val="21"/>
                      <w:szCs w:val="21"/>
                      <w:vertAlign w:val="superscript"/>
                      <w:lang w:val="en-US" w:eastAsia="zh-CN" w:bidi="ar"/>
                    </w:rPr>
                    <w:t>3</w:t>
                  </w:r>
                </w:p>
              </w:tc>
              <w:tc>
                <w:tcPr>
                  <w:tcW w:w="1917" w:type="pct"/>
                  <w:vMerge w:val="continue"/>
                  <w:noWrap w:val="0"/>
                  <w:vAlign w:val="center"/>
                </w:tcPr>
                <w:p w14:paraId="4591865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7085EF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3403C4B7">
                  <w:pPr>
                    <w:keepNext w:val="0"/>
                    <w:keepLines w:val="0"/>
                    <w:pageBreakBefore w:val="0"/>
                    <w:widowControl w:val="0"/>
                    <w:kinsoku/>
                    <w:wordWrap/>
                    <w:overflowPunct/>
                    <w:topLinePunct w:val="0"/>
                    <w:autoSpaceDE/>
                    <w:bidi w:val="0"/>
                    <w:snapToGrid/>
                    <w:spacing w:line="340" w:lineRule="exact"/>
                    <w:ind w:firstLine="0"/>
                    <w:rPr>
                      <w:rFonts w:hint="default" w:ascii="Times New Roman" w:hAnsi="Times New Roman" w:eastAsia="宋体" w:cs="Times New Roman"/>
                      <w:color w:val="auto"/>
                      <w:sz w:val="21"/>
                      <w:szCs w:val="21"/>
                    </w:rPr>
                  </w:pPr>
                </w:p>
              </w:tc>
              <w:tc>
                <w:tcPr>
                  <w:tcW w:w="1115" w:type="pct"/>
                  <w:noWrap w:val="0"/>
                  <w:vAlign w:val="center"/>
                </w:tcPr>
                <w:p w14:paraId="1AD492D3">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1小时平均</w:t>
                  </w:r>
                </w:p>
              </w:tc>
              <w:tc>
                <w:tcPr>
                  <w:tcW w:w="931" w:type="pct"/>
                  <w:noWrap w:val="0"/>
                  <w:vAlign w:val="center"/>
                </w:tcPr>
                <w:p w14:paraId="2B214C98">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10mg/m</w:t>
                  </w:r>
                  <w:r>
                    <w:rPr>
                      <w:rFonts w:hint="default" w:ascii="Times New Roman" w:hAnsi="Times New Roman" w:eastAsia="宋体" w:cs="Times New Roman"/>
                      <w:color w:val="auto"/>
                      <w:kern w:val="2"/>
                      <w:sz w:val="21"/>
                      <w:szCs w:val="21"/>
                      <w:vertAlign w:val="superscript"/>
                      <w:lang w:val="en-US" w:eastAsia="zh-CN" w:bidi="ar"/>
                    </w:rPr>
                    <w:t>3</w:t>
                  </w:r>
                </w:p>
              </w:tc>
              <w:tc>
                <w:tcPr>
                  <w:tcW w:w="1917" w:type="pct"/>
                  <w:vMerge w:val="continue"/>
                  <w:noWrap w:val="0"/>
                  <w:vAlign w:val="center"/>
                </w:tcPr>
                <w:p w14:paraId="3407026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2FE99DC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66AB959E">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p>
              </w:tc>
              <w:tc>
                <w:tcPr>
                  <w:tcW w:w="1115" w:type="pct"/>
                  <w:noWrap w:val="0"/>
                  <w:vAlign w:val="center"/>
                </w:tcPr>
                <w:p w14:paraId="130D420D">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日最大8小时平均</w:t>
                  </w:r>
                </w:p>
              </w:tc>
              <w:tc>
                <w:tcPr>
                  <w:tcW w:w="931" w:type="pct"/>
                  <w:noWrap w:val="0"/>
                  <w:vAlign w:val="center"/>
                </w:tcPr>
                <w:p w14:paraId="72A3C58A">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160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0B1B0947">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tr w14:paraId="258B49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37839B1C">
                  <w:pPr>
                    <w:keepNext w:val="0"/>
                    <w:keepLines w:val="0"/>
                    <w:pageBreakBefore w:val="0"/>
                    <w:widowControl w:val="0"/>
                    <w:kinsoku/>
                    <w:wordWrap/>
                    <w:overflowPunct/>
                    <w:topLinePunct w:val="0"/>
                    <w:autoSpaceDE/>
                    <w:bidi w:val="0"/>
                    <w:snapToGrid/>
                    <w:spacing w:line="340" w:lineRule="exact"/>
                    <w:ind w:firstLine="0"/>
                    <w:rPr>
                      <w:rFonts w:hint="default" w:ascii="Times New Roman" w:hAnsi="Times New Roman" w:eastAsia="宋体" w:cs="Times New Roman"/>
                      <w:color w:val="auto"/>
                      <w:sz w:val="21"/>
                      <w:szCs w:val="21"/>
                    </w:rPr>
                  </w:pPr>
                </w:p>
              </w:tc>
              <w:tc>
                <w:tcPr>
                  <w:tcW w:w="1115" w:type="pct"/>
                  <w:noWrap w:val="0"/>
                  <w:vAlign w:val="center"/>
                </w:tcPr>
                <w:p w14:paraId="6F0A60E2">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1小时平均</w:t>
                  </w:r>
                </w:p>
              </w:tc>
              <w:tc>
                <w:tcPr>
                  <w:tcW w:w="931" w:type="pct"/>
                  <w:noWrap w:val="0"/>
                  <w:vAlign w:val="center"/>
                </w:tcPr>
                <w:p w14:paraId="3D9EA020">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200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17" w:type="pct"/>
                  <w:vMerge w:val="continue"/>
                  <w:noWrap w:val="0"/>
                  <w:vAlign w:val="center"/>
                </w:tcPr>
                <w:p w14:paraId="332F5146">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auto"/>
                      <w:sz w:val="21"/>
                      <w:szCs w:val="21"/>
                    </w:rPr>
                  </w:pPr>
                </w:p>
              </w:tc>
            </w:tr>
            <w:bookmarkEnd w:id="21"/>
            <w:bookmarkEnd w:id="22"/>
          </w:tbl>
          <w:p w14:paraId="0999A605">
            <w:pPr>
              <w:pStyle w:val="83"/>
              <w:keepNext w:val="0"/>
              <w:keepLines w:val="0"/>
              <w:pageBreakBefore w:val="0"/>
              <w:widowControl/>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 xml:space="preserve">3.1.2 </w:t>
            </w:r>
            <w:r>
              <w:rPr>
                <w:rFonts w:hint="default" w:ascii="Times New Roman" w:hAnsi="Times New Roman" w:eastAsia="宋体" w:cs="Times New Roman"/>
                <w:b/>
                <w:bCs/>
                <w:color w:val="auto"/>
                <w:kern w:val="0"/>
                <w:sz w:val="24"/>
              </w:rPr>
              <w:t>区域大气环境质量现状</w:t>
            </w:r>
          </w:p>
          <w:p w14:paraId="76C0CAC0">
            <w:pPr>
              <w:pStyle w:val="83"/>
              <w:keepNext w:val="0"/>
              <w:keepLines w:val="0"/>
              <w:pageBreakBefore w:val="0"/>
              <w:kinsoku/>
              <w:wordWrap/>
              <w:overflowPunct/>
              <w:topLinePunct w:val="0"/>
              <w:bidi w:val="0"/>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区域</w:t>
            </w:r>
            <w:r>
              <w:rPr>
                <w:rFonts w:hint="default" w:ascii="Times New Roman" w:hAnsi="Times New Roman" w:eastAsia="宋体" w:cs="Times New Roman"/>
                <w:color w:val="auto"/>
                <w:sz w:val="24"/>
                <w:szCs w:val="24"/>
                <w:highlight w:val="none"/>
              </w:rPr>
              <w:t>环境空气质量现状</w:t>
            </w:r>
          </w:p>
          <w:p w14:paraId="5AD94F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lang w:eastAsia="zh-CN"/>
              </w:rPr>
              <w:t>基本污染因子</w:t>
            </w:r>
          </w:p>
          <w:p w14:paraId="19EEC2F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福清市人民政府发布的2024年1月至2024年12月空气质量月报数据（</w:t>
            </w:r>
            <w:bookmarkStart w:id="23" w:name="OLE_LINK45"/>
            <w:r>
              <w:rPr>
                <w:rFonts w:hint="default" w:ascii="Times New Roman" w:hAnsi="Times New Roman" w:cs="Times New Roman"/>
                <w:color w:val="auto"/>
                <w:sz w:val="24"/>
                <w:szCs w:val="24"/>
              </w:rPr>
              <w:t>http：//www.fuqing.gov.cn/xjwz/zwgk/ztzl/sdgjz/dhwrfzgjz/hjzl）</w:t>
            </w:r>
            <w:bookmarkEnd w:id="23"/>
            <w:r>
              <w:rPr>
                <w:rFonts w:hint="default" w:ascii="Times New Roman" w:hAnsi="Times New Roman" w:cs="Times New Roman"/>
                <w:color w:val="auto"/>
                <w:sz w:val="24"/>
                <w:szCs w:val="24"/>
              </w:rPr>
              <w:t>。福清市区2024年空气环境中SO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和PM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均未超过国家二级标准，CO日均值第95百分位数和O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日最大8h值第90百分位数未超过国家二级标准。因此，项目所在区域为达标区。</w:t>
            </w:r>
          </w:p>
          <w:p w14:paraId="77BAE854">
            <w:pPr>
              <w:pStyle w:val="110"/>
              <w:keepNext w:val="0"/>
              <w:keepLines w:val="0"/>
              <w:pageBreakBefore w:val="0"/>
              <w:widowControl w:val="0"/>
              <w:kinsoku/>
              <w:wordWrap/>
              <w:overflowPunct/>
              <w:topLinePunct w:val="0"/>
              <w:autoSpaceDE/>
              <w:autoSpaceDN/>
              <w:bidi w:val="0"/>
              <w:adjustRightInd w:val="0"/>
              <w:snapToGrid/>
              <w:spacing w:before="157" w:beforeLines="50" w:after="0"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z w:val="24"/>
                <w:szCs w:val="24"/>
              </w:rPr>
              <w:t>表3.1-</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 xml:space="preserve">  福清市2024年1月-2024年12月空气质量月报数据（摘录）</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144"/>
              <w:gridCol w:w="1144"/>
              <w:gridCol w:w="1145"/>
              <w:gridCol w:w="1145"/>
              <w:gridCol w:w="970"/>
              <w:gridCol w:w="1152"/>
            </w:tblGrid>
            <w:tr w14:paraId="6720C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586FD3DA">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时间</w:t>
                  </w:r>
                </w:p>
              </w:tc>
              <w:tc>
                <w:tcPr>
                  <w:tcW w:w="691" w:type="pct"/>
                  <w:tcBorders>
                    <w:tl2br w:val="nil"/>
                    <w:tr2bl w:val="nil"/>
                  </w:tcBorders>
                  <w:vAlign w:val="center"/>
                </w:tcPr>
                <w:p w14:paraId="551F3D6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691" w:type="pct"/>
                  <w:tcBorders>
                    <w:tl2br w:val="nil"/>
                    <w:tr2bl w:val="nil"/>
                  </w:tcBorders>
                  <w:vAlign w:val="center"/>
                </w:tcPr>
                <w:p w14:paraId="2A8408F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692" w:type="pct"/>
                  <w:tcBorders>
                    <w:tl2br w:val="nil"/>
                    <w:tr2bl w:val="nil"/>
                  </w:tcBorders>
                  <w:vAlign w:val="center"/>
                </w:tcPr>
                <w:p w14:paraId="2657BB9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692" w:type="pct"/>
                  <w:tcBorders>
                    <w:tl2br w:val="nil"/>
                    <w:tr2bl w:val="nil"/>
                  </w:tcBorders>
                  <w:vAlign w:val="center"/>
                </w:tcPr>
                <w:p w14:paraId="0EC3CED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586" w:type="pct"/>
                  <w:tcBorders>
                    <w:tl2br w:val="nil"/>
                    <w:tr2bl w:val="nil"/>
                  </w:tcBorders>
                  <w:vAlign w:val="center"/>
                </w:tcPr>
                <w:p w14:paraId="08E20EA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694" w:type="pct"/>
                  <w:tcBorders>
                    <w:tl2br w:val="nil"/>
                    <w:tr2bl w:val="nil"/>
                  </w:tcBorders>
                  <w:vAlign w:val="center"/>
                </w:tcPr>
                <w:p w14:paraId="6358F7A1">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r>
            <w:tr w14:paraId="3E926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6FCA474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2024年1月</w:t>
                  </w:r>
                </w:p>
              </w:tc>
              <w:tc>
                <w:tcPr>
                  <w:tcW w:w="691" w:type="pct"/>
                  <w:tcBorders>
                    <w:tl2br w:val="nil"/>
                    <w:tr2bl w:val="nil"/>
                  </w:tcBorders>
                  <w:vAlign w:val="center"/>
                </w:tcPr>
                <w:p w14:paraId="3E1E4F2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0.003</w:t>
                  </w:r>
                </w:p>
              </w:tc>
              <w:tc>
                <w:tcPr>
                  <w:tcW w:w="691" w:type="pct"/>
                  <w:tcBorders>
                    <w:tl2br w:val="nil"/>
                    <w:tr2bl w:val="nil"/>
                  </w:tcBorders>
                  <w:vAlign w:val="center"/>
                </w:tcPr>
                <w:p w14:paraId="2BD07B71">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0.022</w:t>
                  </w:r>
                </w:p>
              </w:tc>
              <w:tc>
                <w:tcPr>
                  <w:tcW w:w="692" w:type="pct"/>
                  <w:tcBorders>
                    <w:tl2br w:val="nil"/>
                    <w:tr2bl w:val="nil"/>
                  </w:tcBorders>
                  <w:vAlign w:val="center"/>
                </w:tcPr>
                <w:p w14:paraId="781C6ED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0.048</w:t>
                  </w:r>
                </w:p>
              </w:tc>
              <w:tc>
                <w:tcPr>
                  <w:tcW w:w="692" w:type="pct"/>
                  <w:tcBorders>
                    <w:tl2br w:val="nil"/>
                    <w:tr2bl w:val="nil"/>
                  </w:tcBorders>
                  <w:vAlign w:val="center"/>
                </w:tcPr>
                <w:p w14:paraId="75D4672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w:t>
                  </w:r>
                </w:p>
              </w:tc>
              <w:tc>
                <w:tcPr>
                  <w:tcW w:w="586" w:type="pct"/>
                  <w:tcBorders>
                    <w:tl2br w:val="nil"/>
                    <w:tr2bl w:val="nil"/>
                  </w:tcBorders>
                  <w:vAlign w:val="center"/>
                </w:tcPr>
                <w:p w14:paraId="7085F631">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694" w:type="pct"/>
                  <w:tcBorders>
                    <w:tl2br w:val="nil"/>
                    <w:tr2bl w:val="nil"/>
                  </w:tcBorders>
                  <w:vAlign w:val="center"/>
                </w:tcPr>
                <w:p w14:paraId="5E42AA7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w:t>
                  </w:r>
                </w:p>
              </w:tc>
            </w:tr>
            <w:tr w14:paraId="62B0A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11FA5D5F">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2024年2月</w:t>
                  </w:r>
                </w:p>
              </w:tc>
              <w:tc>
                <w:tcPr>
                  <w:tcW w:w="691" w:type="pct"/>
                  <w:tcBorders>
                    <w:tl2br w:val="nil"/>
                    <w:tr2bl w:val="nil"/>
                  </w:tcBorders>
                  <w:vAlign w:val="center"/>
                </w:tcPr>
                <w:p w14:paraId="4CDCBC4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0.003</w:t>
                  </w:r>
                </w:p>
              </w:tc>
              <w:tc>
                <w:tcPr>
                  <w:tcW w:w="691" w:type="pct"/>
                  <w:tcBorders>
                    <w:tl2br w:val="nil"/>
                    <w:tr2bl w:val="nil"/>
                  </w:tcBorders>
                  <w:vAlign w:val="center"/>
                </w:tcPr>
                <w:p w14:paraId="4B300DE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w:t>
                  </w:r>
                </w:p>
              </w:tc>
              <w:tc>
                <w:tcPr>
                  <w:tcW w:w="692" w:type="pct"/>
                  <w:tcBorders>
                    <w:tl2br w:val="nil"/>
                    <w:tr2bl w:val="nil"/>
                  </w:tcBorders>
                  <w:vAlign w:val="center"/>
                </w:tcPr>
                <w:p w14:paraId="0D91C7B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0.038</w:t>
                  </w:r>
                </w:p>
              </w:tc>
              <w:tc>
                <w:tcPr>
                  <w:tcW w:w="692" w:type="pct"/>
                  <w:tcBorders>
                    <w:tl2br w:val="nil"/>
                    <w:tr2bl w:val="nil"/>
                  </w:tcBorders>
                  <w:vAlign w:val="center"/>
                </w:tcPr>
                <w:p w14:paraId="2CA7497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0.023</w:t>
                  </w:r>
                </w:p>
              </w:tc>
              <w:tc>
                <w:tcPr>
                  <w:tcW w:w="586" w:type="pct"/>
                  <w:tcBorders>
                    <w:tl2br w:val="nil"/>
                    <w:tr2bl w:val="nil"/>
                  </w:tcBorders>
                  <w:vAlign w:val="center"/>
                </w:tcPr>
                <w:p w14:paraId="28BA247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694" w:type="pct"/>
                  <w:tcBorders>
                    <w:tl2br w:val="nil"/>
                    <w:tr2bl w:val="nil"/>
                  </w:tcBorders>
                  <w:vAlign w:val="center"/>
                </w:tcPr>
                <w:p w14:paraId="0816831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0.112</w:t>
                  </w:r>
                </w:p>
              </w:tc>
            </w:tr>
            <w:tr w14:paraId="42B3B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2F5325C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2024年3月</w:t>
                  </w:r>
                </w:p>
              </w:tc>
              <w:tc>
                <w:tcPr>
                  <w:tcW w:w="691" w:type="pct"/>
                  <w:tcBorders>
                    <w:tl2br w:val="nil"/>
                    <w:tr2bl w:val="nil"/>
                  </w:tcBorders>
                  <w:vAlign w:val="center"/>
                </w:tcPr>
                <w:p w14:paraId="23DD12A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691" w:type="pct"/>
                  <w:tcBorders>
                    <w:tl2br w:val="nil"/>
                    <w:tr2bl w:val="nil"/>
                  </w:tcBorders>
                  <w:vAlign w:val="center"/>
                </w:tcPr>
                <w:p w14:paraId="7321052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0.018</w:t>
                  </w:r>
                </w:p>
              </w:tc>
              <w:tc>
                <w:tcPr>
                  <w:tcW w:w="692" w:type="pct"/>
                  <w:tcBorders>
                    <w:tl2br w:val="nil"/>
                    <w:tr2bl w:val="nil"/>
                  </w:tcBorders>
                  <w:vAlign w:val="center"/>
                </w:tcPr>
                <w:p w14:paraId="54CE9DE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c>
                <w:tcPr>
                  <w:tcW w:w="692" w:type="pct"/>
                  <w:tcBorders>
                    <w:tl2br w:val="nil"/>
                    <w:tr2bl w:val="nil"/>
                  </w:tcBorders>
                  <w:vAlign w:val="center"/>
                </w:tcPr>
                <w:p w14:paraId="158B80F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0.023</w:t>
                  </w:r>
                </w:p>
              </w:tc>
              <w:tc>
                <w:tcPr>
                  <w:tcW w:w="586" w:type="pct"/>
                  <w:tcBorders>
                    <w:tl2br w:val="nil"/>
                    <w:tr2bl w:val="nil"/>
                  </w:tcBorders>
                  <w:vAlign w:val="center"/>
                </w:tcPr>
                <w:p w14:paraId="23DEDDA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94" w:type="pct"/>
                  <w:tcBorders>
                    <w:tl2br w:val="nil"/>
                    <w:tr2bl w:val="nil"/>
                  </w:tcBorders>
                  <w:vAlign w:val="center"/>
                </w:tcPr>
                <w:p w14:paraId="37EAB87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0.121</w:t>
                  </w:r>
                </w:p>
              </w:tc>
            </w:tr>
            <w:tr w14:paraId="225FC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041F555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2024年4月</w:t>
                  </w:r>
                </w:p>
              </w:tc>
              <w:tc>
                <w:tcPr>
                  <w:tcW w:w="691" w:type="pct"/>
                  <w:tcBorders>
                    <w:tl2br w:val="nil"/>
                    <w:tr2bl w:val="nil"/>
                  </w:tcBorders>
                  <w:vAlign w:val="center"/>
                </w:tcPr>
                <w:p w14:paraId="41195E0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0.003</w:t>
                  </w:r>
                </w:p>
              </w:tc>
              <w:tc>
                <w:tcPr>
                  <w:tcW w:w="691" w:type="pct"/>
                  <w:tcBorders>
                    <w:tl2br w:val="nil"/>
                    <w:tr2bl w:val="nil"/>
                  </w:tcBorders>
                  <w:vAlign w:val="center"/>
                </w:tcPr>
                <w:p w14:paraId="0538ABE1">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0.016</w:t>
                  </w:r>
                </w:p>
              </w:tc>
              <w:tc>
                <w:tcPr>
                  <w:tcW w:w="692" w:type="pct"/>
                  <w:tcBorders>
                    <w:tl2br w:val="nil"/>
                    <w:tr2bl w:val="nil"/>
                  </w:tcBorders>
                  <w:vAlign w:val="center"/>
                </w:tcPr>
                <w:p w14:paraId="6A2683D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0.041</w:t>
                  </w:r>
                </w:p>
              </w:tc>
              <w:tc>
                <w:tcPr>
                  <w:tcW w:w="692" w:type="pct"/>
                  <w:tcBorders>
                    <w:tl2br w:val="nil"/>
                    <w:tr2bl w:val="nil"/>
                  </w:tcBorders>
                  <w:vAlign w:val="center"/>
                </w:tcPr>
                <w:p w14:paraId="629CDCA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w:t>
                  </w:r>
                </w:p>
              </w:tc>
              <w:tc>
                <w:tcPr>
                  <w:tcW w:w="586" w:type="pct"/>
                  <w:tcBorders>
                    <w:tl2br w:val="nil"/>
                    <w:tr2bl w:val="nil"/>
                  </w:tcBorders>
                  <w:vAlign w:val="center"/>
                </w:tcPr>
                <w:p w14:paraId="36C9845A">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694" w:type="pct"/>
                  <w:tcBorders>
                    <w:tl2br w:val="nil"/>
                    <w:tr2bl w:val="nil"/>
                  </w:tcBorders>
                  <w:vAlign w:val="center"/>
                </w:tcPr>
                <w:p w14:paraId="6BE7457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0.122</w:t>
                  </w:r>
                </w:p>
              </w:tc>
            </w:tr>
            <w:tr w14:paraId="5DAF1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4EF8170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2024年5月</w:t>
                  </w:r>
                </w:p>
              </w:tc>
              <w:tc>
                <w:tcPr>
                  <w:tcW w:w="691" w:type="pct"/>
                  <w:tcBorders>
                    <w:tl2br w:val="nil"/>
                    <w:tr2bl w:val="nil"/>
                  </w:tcBorders>
                  <w:vAlign w:val="center"/>
                </w:tcPr>
                <w:p w14:paraId="1E982A3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691" w:type="pct"/>
                  <w:tcBorders>
                    <w:tl2br w:val="nil"/>
                    <w:tr2bl w:val="nil"/>
                  </w:tcBorders>
                  <w:vAlign w:val="center"/>
                </w:tcPr>
                <w:p w14:paraId="4E98E63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0.011</w:t>
                  </w:r>
                </w:p>
              </w:tc>
              <w:tc>
                <w:tcPr>
                  <w:tcW w:w="692" w:type="pct"/>
                  <w:tcBorders>
                    <w:tl2br w:val="nil"/>
                    <w:tr2bl w:val="nil"/>
                  </w:tcBorders>
                  <w:vAlign w:val="center"/>
                </w:tcPr>
                <w:p w14:paraId="5AC56C9A">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0.028</w:t>
                  </w:r>
                </w:p>
              </w:tc>
              <w:tc>
                <w:tcPr>
                  <w:tcW w:w="692" w:type="pct"/>
                  <w:tcBorders>
                    <w:tl2br w:val="nil"/>
                    <w:tr2bl w:val="nil"/>
                  </w:tcBorders>
                  <w:vAlign w:val="center"/>
                </w:tcPr>
                <w:p w14:paraId="62E443D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0.013</w:t>
                  </w:r>
                </w:p>
              </w:tc>
              <w:tc>
                <w:tcPr>
                  <w:tcW w:w="586" w:type="pct"/>
                  <w:tcBorders>
                    <w:tl2br w:val="nil"/>
                    <w:tr2bl w:val="nil"/>
                  </w:tcBorders>
                  <w:vAlign w:val="center"/>
                </w:tcPr>
                <w:p w14:paraId="6A0C28AF">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w:t>
                  </w:r>
                </w:p>
              </w:tc>
              <w:tc>
                <w:tcPr>
                  <w:tcW w:w="694" w:type="pct"/>
                  <w:tcBorders>
                    <w:tl2br w:val="nil"/>
                    <w:tr2bl w:val="nil"/>
                  </w:tcBorders>
                  <w:vAlign w:val="center"/>
                </w:tcPr>
                <w:p w14:paraId="6F81B2A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w:t>
                  </w:r>
                </w:p>
              </w:tc>
            </w:tr>
            <w:tr w14:paraId="462C2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21AF0F3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2024年6月</w:t>
                  </w:r>
                </w:p>
              </w:tc>
              <w:tc>
                <w:tcPr>
                  <w:tcW w:w="691" w:type="pct"/>
                  <w:tcBorders>
                    <w:tl2br w:val="nil"/>
                    <w:tr2bl w:val="nil"/>
                  </w:tcBorders>
                  <w:vAlign w:val="center"/>
                </w:tcPr>
                <w:p w14:paraId="53E7338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691" w:type="pct"/>
                  <w:tcBorders>
                    <w:tl2br w:val="nil"/>
                    <w:tr2bl w:val="nil"/>
                  </w:tcBorders>
                  <w:vAlign w:val="center"/>
                </w:tcPr>
                <w:p w14:paraId="67B0A2A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692" w:type="pct"/>
                  <w:tcBorders>
                    <w:tl2br w:val="nil"/>
                    <w:tr2bl w:val="nil"/>
                  </w:tcBorders>
                  <w:vAlign w:val="center"/>
                </w:tcPr>
                <w:p w14:paraId="7E5BB321">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0.022</w:t>
                  </w:r>
                </w:p>
              </w:tc>
              <w:tc>
                <w:tcPr>
                  <w:tcW w:w="692" w:type="pct"/>
                  <w:tcBorders>
                    <w:tl2br w:val="nil"/>
                    <w:tr2bl w:val="nil"/>
                  </w:tcBorders>
                  <w:vAlign w:val="center"/>
                </w:tcPr>
                <w:p w14:paraId="1EF4057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586" w:type="pct"/>
                  <w:tcBorders>
                    <w:tl2br w:val="nil"/>
                    <w:tr2bl w:val="nil"/>
                  </w:tcBorders>
                  <w:vAlign w:val="center"/>
                </w:tcPr>
                <w:p w14:paraId="1283095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w:t>
                  </w:r>
                </w:p>
              </w:tc>
              <w:tc>
                <w:tcPr>
                  <w:tcW w:w="694" w:type="pct"/>
                  <w:tcBorders>
                    <w:tl2br w:val="nil"/>
                    <w:tr2bl w:val="nil"/>
                  </w:tcBorders>
                  <w:vAlign w:val="center"/>
                </w:tcPr>
                <w:p w14:paraId="480A174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0.112</w:t>
                  </w:r>
                </w:p>
              </w:tc>
            </w:tr>
            <w:tr w14:paraId="43DFD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27BBBF6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2024年7月</w:t>
                  </w:r>
                </w:p>
              </w:tc>
              <w:tc>
                <w:tcPr>
                  <w:tcW w:w="691" w:type="pct"/>
                  <w:tcBorders>
                    <w:tl2br w:val="nil"/>
                    <w:tr2bl w:val="nil"/>
                  </w:tcBorders>
                  <w:vAlign w:val="center"/>
                </w:tcPr>
                <w:p w14:paraId="68AB576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691" w:type="pct"/>
                  <w:tcBorders>
                    <w:tl2br w:val="nil"/>
                    <w:tr2bl w:val="nil"/>
                  </w:tcBorders>
                  <w:vAlign w:val="center"/>
                </w:tcPr>
                <w:p w14:paraId="10448A4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692" w:type="pct"/>
                  <w:tcBorders>
                    <w:tl2br w:val="nil"/>
                    <w:tr2bl w:val="nil"/>
                  </w:tcBorders>
                  <w:vAlign w:val="center"/>
                </w:tcPr>
                <w:p w14:paraId="307944F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w:t>
                  </w:r>
                </w:p>
              </w:tc>
              <w:tc>
                <w:tcPr>
                  <w:tcW w:w="692" w:type="pct"/>
                  <w:tcBorders>
                    <w:tl2br w:val="nil"/>
                    <w:tr2bl w:val="nil"/>
                  </w:tcBorders>
                  <w:vAlign w:val="center"/>
                </w:tcPr>
                <w:p w14:paraId="3757B80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w:t>
                  </w:r>
                </w:p>
              </w:tc>
              <w:tc>
                <w:tcPr>
                  <w:tcW w:w="586" w:type="pct"/>
                  <w:tcBorders>
                    <w:tl2br w:val="nil"/>
                    <w:tr2bl w:val="nil"/>
                  </w:tcBorders>
                  <w:vAlign w:val="center"/>
                </w:tcPr>
                <w:p w14:paraId="3B3AFD5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c>
                <w:tcPr>
                  <w:tcW w:w="694" w:type="pct"/>
                  <w:tcBorders>
                    <w:tl2br w:val="nil"/>
                    <w:tr2bl w:val="nil"/>
                  </w:tcBorders>
                  <w:vAlign w:val="center"/>
                </w:tcPr>
                <w:p w14:paraId="6116D46A">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0.108</w:t>
                  </w:r>
                </w:p>
              </w:tc>
            </w:tr>
            <w:tr w14:paraId="1EEAC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7DF3792F">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2024年8月</w:t>
                  </w:r>
                </w:p>
              </w:tc>
              <w:tc>
                <w:tcPr>
                  <w:tcW w:w="691" w:type="pct"/>
                  <w:tcBorders>
                    <w:tl2br w:val="nil"/>
                    <w:tr2bl w:val="nil"/>
                  </w:tcBorders>
                  <w:vAlign w:val="center"/>
                </w:tcPr>
                <w:p w14:paraId="007D042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691" w:type="pct"/>
                  <w:tcBorders>
                    <w:tl2br w:val="nil"/>
                    <w:tr2bl w:val="nil"/>
                  </w:tcBorders>
                  <w:vAlign w:val="center"/>
                </w:tcPr>
                <w:p w14:paraId="5715EED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w:t>
                  </w:r>
                </w:p>
              </w:tc>
              <w:tc>
                <w:tcPr>
                  <w:tcW w:w="692" w:type="pct"/>
                  <w:tcBorders>
                    <w:tl2br w:val="nil"/>
                    <w:tr2bl w:val="nil"/>
                  </w:tcBorders>
                  <w:vAlign w:val="center"/>
                </w:tcPr>
                <w:p w14:paraId="7F7791C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0.032</w:t>
                  </w:r>
                </w:p>
              </w:tc>
              <w:tc>
                <w:tcPr>
                  <w:tcW w:w="692" w:type="pct"/>
                  <w:tcBorders>
                    <w:tl2br w:val="nil"/>
                    <w:tr2bl w:val="nil"/>
                  </w:tcBorders>
                  <w:vAlign w:val="center"/>
                </w:tcPr>
                <w:p w14:paraId="292174E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0.017</w:t>
                  </w:r>
                </w:p>
              </w:tc>
              <w:tc>
                <w:tcPr>
                  <w:tcW w:w="586" w:type="pct"/>
                  <w:tcBorders>
                    <w:tl2br w:val="nil"/>
                    <w:tr2bl w:val="nil"/>
                  </w:tcBorders>
                  <w:vAlign w:val="center"/>
                </w:tcPr>
                <w:p w14:paraId="038DF56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694" w:type="pct"/>
                  <w:tcBorders>
                    <w:tl2br w:val="nil"/>
                    <w:tr2bl w:val="nil"/>
                  </w:tcBorders>
                  <w:vAlign w:val="center"/>
                </w:tcPr>
                <w:p w14:paraId="780CD24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0.144</w:t>
                  </w:r>
                </w:p>
              </w:tc>
            </w:tr>
            <w:tr w14:paraId="3992F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30C4545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2024年9月</w:t>
                  </w:r>
                </w:p>
              </w:tc>
              <w:tc>
                <w:tcPr>
                  <w:tcW w:w="691" w:type="pct"/>
                  <w:tcBorders>
                    <w:tl2br w:val="nil"/>
                    <w:tr2bl w:val="nil"/>
                  </w:tcBorders>
                  <w:vAlign w:val="center"/>
                </w:tcPr>
                <w:p w14:paraId="76E3BEC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691" w:type="pct"/>
                  <w:tcBorders>
                    <w:tl2br w:val="nil"/>
                    <w:tr2bl w:val="nil"/>
                  </w:tcBorders>
                  <w:vAlign w:val="center"/>
                </w:tcPr>
                <w:p w14:paraId="1A1AD53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0.007</w:t>
                  </w:r>
                </w:p>
              </w:tc>
              <w:tc>
                <w:tcPr>
                  <w:tcW w:w="692" w:type="pct"/>
                  <w:tcBorders>
                    <w:tl2br w:val="nil"/>
                    <w:tr2bl w:val="nil"/>
                  </w:tcBorders>
                  <w:vAlign w:val="center"/>
                </w:tcPr>
                <w:p w14:paraId="1271D79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w:t>
                  </w:r>
                </w:p>
              </w:tc>
              <w:tc>
                <w:tcPr>
                  <w:tcW w:w="692" w:type="pct"/>
                  <w:tcBorders>
                    <w:tl2br w:val="nil"/>
                    <w:tr2bl w:val="nil"/>
                  </w:tcBorders>
                  <w:vAlign w:val="center"/>
                </w:tcPr>
                <w:p w14:paraId="3467F84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586" w:type="pct"/>
                  <w:tcBorders>
                    <w:tl2br w:val="nil"/>
                    <w:tr2bl w:val="nil"/>
                  </w:tcBorders>
                  <w:vAlign w:val="center"/>
                </w:tcPr>
                <w:p w14:paraId="13AC4F0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c>
                <w:tcPr>
                  <w:tcW w:w="694" w:type="pct"/>
                  <w:tcBorders>
                    <w:tl2br w:val="nil"/>
                    <w:tr2bl w:val="nil"/>
                  </w:tcBorders>
                  <w:vAlign w:val="center"/>
                </w:tcPr>
                <w:p w14:paraId="5461735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w:t>
                  </w:r>
                </w:p>
              </w:tc>
            </w:tr>
            <w:tr w14:paraId="27B3E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572998C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2024年10月</w:t>
                  </w:r>
                </w:p>
              </w:tc>
              <w:tc>
                <w:tcPr>
                  <w:tcW w:w="691" w:type="pct"/>
                  <w:tcBorders>
                    <w:tl2br w:val="nil"/>
                    <w:tr2bl w:val="nil"/>
                  </w:tcBorders>
                  <w:vAlign w:val="center"/>
                </w:tcPr>
                <w:p w14:paraId="71D6285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691" w:type="pct"/>
                  <w:tcBorders>
                    <w:tl2br w:val="nil"/>
                    <w:tr2bl w:val="nil"/>
                  </w:tcBorders>
                  <w:vAlign w:val="center"/>
                </w:tcPr>
                <w:p w14:paraId="3FD7421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692" w:type="pct"/>
                  <w:tcBorders>
                    <w:tl2br w:val="nil"/>
                    <w:tr2bl w:val="nil"/>
                  </w:tcBorders>
                  <w:vAlign w:val="center"/>
                </w:tcPr>
                <w:p w14:paraId="40103391">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0.022</w:t>
                  </w:r>
                </w:p>
              </w:tc>
              <w:tc>
                <w:tcPr>
                  <w:tcW w:w="692" w:type="pct"/>
                  <w:tcBorders>
                    <w:tl2br w:val="nil"/>
                    <w:tr2bl w:val="nil"/>
                  </w:tcBorders>
                  <w:vAlign w:val="center"/>
                </w:tcPr>
                <w:p w14:paraId="4897242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0.013</w:t>
                  </w:r>
                </w:p>
              </w:tc>
              <w:tc>
                <w:tcPr>
                  <w:tcW w:w="586" w:type="pct"/>
                  <w:tcBorders>
                    <w:tl2br w:val="nil"/>
                    <w:tr2bl w:val="nil"/>
                  </w:tcBorders>
                  <w:vAlign w:val="center"/>
                </w:tcPr>
                <w:p w14:paraId="6951F9C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c>
                <w:tcPr>
                  <w:tcW w:w="694" w:type="pct"/>
                  <w:tcBorders>
                    <w:tl2br w:val="nil"/>
                    <w:tr2bl w:val="nil"/>
                  </w:tcBorders>
                  <w:vAlign w:val="center"/>
                </w:tcPr>
                <w:p w14:paraId="08E72CF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0.106</w:t>
                  </w:r>
                </w:p>
              </w:tc>
            </w:tr>
            <w:tr w14:paraId="33F4A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3C84A0E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2024年11月</w:t>
                  </w:r>
                </w:p>
              </w:tc>
              <w:tc>
                <w:tcPr>
                  <w:tcW w:w="691" w:type="pct"/>
                  <w:tcBorders>
                    <w:tl2br w:val="nil"/>
                    <w:tr2bl w:val="nil"/>
                  </w:tcBorders>
                  <w:vAlign w:val="center"/>
                </w:tcPr>
                <w:p w14:paraId="471D6C7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691" w:type="pct"/>
                  <w:tcBorders>
                    <w:tl2br w:val="nil"/>
                    <w:tr2bl w:val="nil"/>
                  </w:tcBorders>
                  <w:vAlign w:val="center"/>
                </w:tcPr>
                <w:p w14:paraId="4ED649E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692" w:type="pct"/>
                  <w:tcBorders>
                    <w:tl2br w:val="nil"/>
                    <w:tr2bl w:val="nil"/>
                  </w:tcBorders>
                  <w:vAlign w:val="center"/>
                </w:tcPr>
                <w:p w14:paraId="0DDDD96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0.023</w:t>
                  </w:r>
                </w:p>
              </w:tc>
              <w:tc>
                <w:tcPr>
                  <w:tcW w:w="692" w:type="pct"/>
                  <w:tcBorders>
                    <w:tl2br w:val="nil"/>
                    <w:tr2bl w:val="nil"/>
                  </w:tcBorders>
                  <w:vAlign w:val="center"/>
                </w:tcPr>
                <w:p w14:paraId="12E9AD31">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0.012</w:t>
                  </w:r>
                </w:p>
              </w:tc>
              <w:tc>
                <w:tcPr>
                  <w:tcW w:w="586" w:type="pct"/>
                  <w:tcBorders>
                    <w:tl2br w:val="nil"/>
                    <w:tr2bl w:val="nil"/>
                  </w:tcBorders>
                  <w:vAlign w:val="center"/>
                </w:tcPr>
                <w:p w14:paraId="29A5FEC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c>
                <w:tcPr>
                  <w:tcW w:w="694" w:type="pct"/>
                  <w:tcBorders>
                    <w:tl2br w:val="nil"/>
                    <w:tr2bl w:val="nil"/>
                  </w:tcBorders>
                  <w:vAlign w:val="center"/>
                </w:tcPr>
                <w:p w14:paraId="602CDBAF">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r>
            <w:tr w14:paraId="69866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4ACE10C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2024年12月</w:t>
                  </w:r>
                </w:p>
              </w:tc>
              <w:tc>
                <w:tcPr>
                  <w:tcW w:w="691" w:type="pct"/>
                  <w:tcBorders>
                    <w:tl2br w:val="nil"/>
                    <w:tr2bl w:val="nil"/>
                  </w:tcBorders>
                  <w:vAlign w:val="center"/>
                </w:tcPr>
                <w:p w14:paraId="5E660E4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691" w:type="pct"/>
                  <w:tcBorders>
                    <w:tl2br w:val="nil"/>
                    <w:tr2bl w:val="nil"/>
                  </w:tcBorders>
                  <w:vAlign w:val="center"/>
                </w:tcPr>
                <w:p w14:paraId="0C3EF39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0.014</w:t>
                  </w:r>
                </w:p>
              </w:tc>
              <w:tc>
                <w:tcPr>
                  <w:tcW w:w="692" w:type="pct"/>
                  <w:tcBorders>
                    <w:tl2br w:val="nil"/>
                    <w:tr2bl w:val="nil"/>
                  </w:tcBorders>
                  <w:vAlign w:val="center"/>
                </w:tcPr>
                <w:p w14:paraId="6614B9D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c>
                <w:tcPr>
                  <w:tcW w:w="692" w:type="pct"/>
                  <w:tcBorders>
                    <w:tl2br w:val="nil"/>
                    <w:tr2bl w:val="nil"/>
                  </w:tcBorders>
                  <w:vAlign w:val="center"/>
                </w:tcPr>
                <w:p w14:paraId="442AEF0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0.019</w:t>
                  </w:r>
                </w:p>
              </w:tc>
              <w:tc>
                <w:tcPr>
                  <w:tcW w:w="586" w:type="pct"/>
                  <w:tcBorders>
                    <w:tl2br w:val="nil"/>
                    <w:tr2bl w:val="nil"/>
                  </w:tcBorders>
                  <w:vAlign w:val="center"/>
                </w:tcPr>
                <w:p w14:paraId="3E20018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w:t>
                  </w:r>
                </w:p>
              </w:tc>
              <w:tc>
                <w:tcPr>
                  <w:tcW w:w="694" w:type="pct"/>
                  <w:tcBorders>
                    <w:tl2br w:val="nil"/>
                    <w:tr2bl w:val="nil"/>
                  </w:tcBorders>
                  <w:vAlign w:val="center"/>
                </w:tcPr>
                <w:p w14:paraId="6CE6B3A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0.104</w:t>
                  </w:r>
                </w:p>
              </w:tc>
            </w:tr>
            <w:tr w14:paraId="0D159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63E2990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国家二级标准</w:t>
                  </w:r>
                </w:p>
              </w:tc>
              <w:tc>
                <w:tcPr>
                  <w:tcW w:w="691" w:type="pct"/>
                  <w:tcBorders>
                    <w:tl2br w:val="nil"/>
                    <w:tr2bl w:val="nil"/>
                  </w:tcBorders>
                  <w:vAlign w:val="center"/>
                </w:tcPr>
                <w:p w14:paraId="07147211">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w:t>
                  </w:r>
                </w:p>
              </w:tc>
              <w:tc>
                <w:tcPr>
                  <w:tcW w:w="691" w:type="pct"/>
                  <w:tcBorders>
                    <w:tl2br w:val="nil"/>
                    <w:tr2bl w:val="nil"/>
                  </w:tcBorders>
                  <w:vAlign w:val="center"/>
                </w:tcPr>
                <w:p w14:paraId="36689A3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w:t>
                  </w:r>
                </w:p>
              </w:tc>
              <w:tc>
                <w:tcPr>
                  <w:tcW w:w="692" w:type="pct"/>
                  <w:tcBorders>
                    <w:tl2br w:val="nil"/>
                    <w:tr2bl w:val="nil"/>
                  </w:tcBorders>
                  <w:vAlign w:val="center"/>
                </w:tcPr>
                <w:p w14:paraId="65F117F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w:t>
                  </w:r>
                </w:p>
              </w:tc>
              <w:tc>
                <w:tcPr>
                  <w:tcW w:w="692" w:type="pct"/>
                  <w:tcBorders>
                    <w:tl2br w:val="nil"/>
                    <w:tr2bl w:val="nil"/>
                  </w:tcBorders>
                  <w:vAlign w:val="center"/>
                </w:tcPr>
                <w:p w14:paraId="6D31D68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0.035</w:t>
                  </w:r>
                </w:p>
              </w:tc>
              <w:tc>
                <w:tcPr>
                  <w:tcW w:w="586" w:type="pct"/>
                  <w:tcBorders>
                    <w:tl2br w:val="nil"/>
                    <w:tr2bl w:val="nil"/>
                  </w:tcBorders>
                  <w:vAlign w:val="center"/>
                </w:tcPr>
                <w:p w14:paraId="2BFF7A1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94" w:type="pct"/>
                  <w:tcBorders>
                    <w:tl2br w:val="nil"/>
                    <w:tr2bl w:val="nil"/>
                  </w:tcBorders>
                  <w:vAlign w:val="center"/>
                </w:tcPr>
                <w:p w14:paraId="02FBB32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w:t>
                  </w:r>
                </w:p>
              </w:tc>
            </w:tr>
            <w:tr w14:paraId="1F043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0F807D8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c>
                <w:tcPr>
                  <w:tcW w:w="4048" w:type="pct"/>
                  <w:gridSpan w:val="6"/>
                  <w:tcBorders>
                    <w:tl2br w:val="nil"/>
                    <w:tr2bl w:val="nil"/>
                  </w:tcBorders>
                  <w:vAlign w:val="center"/>
                </w:tcPr>
                <w:p w14:paraId="4F5C325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C25A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00F7DA5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c>
                <w:tcPr>
                  <w:tcW w:w="4048" w:type="pct"/>
                  <w:gridSpan w:val="6"/>
                  <w:tcBorders>
                    <w:tl2br w:val="nil"/>
                    <w:tr2bl w:val="nil"/>
                  </w:tcBorders>
                  <w:vAlign w:val="center"/>
                </w:tcPr>
                <w:p w14:paraId="3F7F27C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CO为日均值第95百分位数，O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为日最大8小时值第90百分位数</w:t>
                  </w:r>
                </w:p>
              </w:tc>
            </w:tr>
          </w:tbl>
          <w:p w14:paraId="340AFB93">
            <w:pPr>
              <w:pStyle w:val="83"/>
              <w:keepNext w:val="0"/>
              <w:keepLines w:val="0"/>
              <w:pageBreakBefore w:val="0"/>
              <w:widowControl/>
              <w:kinsoku/>
              <w:wordWrap/>
              <w:overflowPunct/>
              <w:topLinePunct w:val="0"/>
              <w:autoSpaceDE/>
              <w:autoSpaceDN/>
              <w:bidi w:val="0"/>
              <w:adjustRightInd w:val="0"/>
              <w:snapToGrid w:val="0"/>
              <w:spacing w:before="157" w:beforeLines="50"/>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(2)引用资料可行性分析</w:t>
            </w:r>
          </w:p>
          <w:p w14:paraId="14FE0707">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szCs w:val="22"/>
                <w:lang w:eastAsia="zh-CN"/>
              </w:rPr>
            </w:pPr>
            <w:r>
              <w:rPr>
                <w:rFonts w:hint="default" w:ascii="Times New Roman" w:hAnsi="Times New Roman" w:cs="Times New Roman"/>
                <w:color w:val="auto"/>
                <w:sz w:val="24"/>
                <w:szCs w:val="22"/>
              </w:rPr>
              <w:t>根据《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cs="Times New Roman"/>
                <w:color w:val="auto"/>
                <w:sz w:val="24"/>
                <w:szCs w:val="22"/>
                <w:lang w:val="en-US" w:eastAsia="zh-CN"/>
              </w:rPr>
              <w:t>项目采用</w:t>
            </w:r>
            <w:r>
              <w:rPr>
                <w:rFonts w:hint="default" w:ascii="Times New Roman" w:hAnsi="Times New Roman" w:cs="Times New Roman"/>
                <w:color w:val="auto"/>
                <w:sz w:val="24"/>
                <w:szCs w:val="22"/>
              </w:rPr>
              <w:t>地方环境空气质量监测网数据或生态环境主管部门公开发布的质量数据</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rPr>
              <w:t>符合《建设项目环境影响报告表编制技术指南(污染影响类)(试行)》(环办环评〔2020〕33号)的要求</w:t>
            </w:r>
            <w:r>
              <w:rPr>
                <w:rFonts w:hint="default" w:ascii="Times New Roman" w:hAnsi="Times New Roman" w:cs="Times New Roman"/>
                <w:color w:val="auto"/>
                <w:sz w:val="24"/>
                <w:szCs w:val="22"/>
                <w:lang w:eastAsia="zh-CN"/>
              </w:rPr>
              <w:t>。</w:t>
            </w:r>
          </w:p>
          <w:p w14:paraId="1697BB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(3)其他</w:t>
            </w:r>
            <w:r>
              <w:rPr>
                <w:rFonts w:hint="default" w:ascii="Times New Roman" w:hAnsi="Times New Roman" w:eastAsia="宋体" w:cs="Times New Roman"/>
                <w:color w:val="auto"/>
                <w:sz w:val="24"/>
                <w:highlight w:val="none"/>
                <w:lang w:eastAsia="zh-CN"/>
              </w:rPr>
              <w:t>污染因子</w:t>
            </w:r>
          </w:p>
          <w:p w14:paraId="42B7978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根据环境影响评价网(</w:t>
            </w:r>
            <w:r>
              <w:rPr>
                <w:rFonts w:hint="default" w:ascii="Times New Roman" w:hAnsi="Times New Roman" w:eastAsia="宋体" w:cs="Times New Roman"/>
                <w:b/>
                <w:bCs/>
                <w:color w:val="auto"/>
                <w:sz w:val="24"/>
                <w:szCs w:val="22"/>
                <w:highlight w:val="none"/>
                <w:lang w:val="zh-CN" w:eastAsia="zh-CN"/>
              </w:rPr>
              <w:t>生态环境部环境工程评估中心</w:t>
            </w:r>
            <w:r>
              <w:rPr>
                <w:rFonts w:hint="default" w:ascii="Times New Roman" w:hAnsi="Times New Roman" w:eastAsia="宋体" w:cs="Times New Roman"/>
                <w:b/>
                <w:bCs/>
                <w:color w:val="auto"/>
                <w:sz w:val="24"/>
                <w:szCs w:val="22"/>
                <w:highlight w:val="none"/>
                <w:lang w:val="en-US" w:eastAsia="zh-CN"/>
              </w:rPr>
              <w:t>)关于</w:t>
            </w:r>
            <w:r>
              <w:rPr>
                <w:rFonts w:hint="default" w:ascii="Times New Roman" w:hAnsi="Times New Roman" w:eastAsia="宋体" w:cs="Times New Roman"/>
                <w:b/>
                <w:bCs/>
                <w:color w:val="auto"/>
                <w:sz w:val="24"/>
                <w:szCs w:val="22"/>
                <w:highlight w:val="none"/>
                <w:lang w:val="zh-CN" w:eastAsia="zh-CN"/>
              </w:rPr>
              <w:t>《建设项目环境影响报告表》内容、格式及编制技术指南常见问题解答：</w:t>
            </w:r>
            <w:r>
              <w:rPr>
                <w:rFonts w:hint="default"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技术指南中提到“排放国家、地方环境空气质量标准中有标准限值要求的特征污染物”，其中环境空气质量标准指《环境空气质量标准》(GB3095)和地方的环境空气质量标准，不包括《环境影响评价技术导则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w:t>
            </w:r>
            <w:r>
              <w:rPr>
                <w:rFonts w:hint="eastAsia" w:cs="Times New Roman"/>
                <w:color w:val="auto"/>
                <w:sz w:val="24"/>
                <w:szCs w:val="22"/>
                <w:highlight w:val="none"/>
                <w:lang w:val="en-US" w:eastAsia="zh-CN"/>
              </w:rPr>
              <w:t>且</w:t>
            </w:r>
            <w:r>
              <w:rPr>
                <w:rFonts w:hint="default" w:ascii="Times New Roman" w:hAnsi="Times New Roman" w:eastAsia="宋体" w:cs="Times New Roman"/>
                <w:color w:val="auto"/>
                <w:sz w:val="24"/>
                <w:szCs w:val="22"/>
                <w:highlight w:val="none"/>
                <w:lang w:val="en-US" w:eastAsia="zh-CN"/>
              </w:rPr>
              <w:t>优先引用现有监测数据</w:t>
            </w:r>
            <w:r>
              <w:rPr>
                <w:rFonts w:hint="default"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w:t>
            </w:r>
          </w:p>
          <w:p w14:paraId="614B616A">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eastAsia="宋体" w:cs="Times New Roman"/>
                <w:b w:val="0"/>
                <w:bCs w:val="0"/>
                <w:color w:val="auto"/>
                <w:kern w:val="2"/>
                <w:sz w:val="24"/>
                <w:szCs w:val="22"/>
                <w:highlight w:val="none"/>
                <w:lang w:val="en-US" w:eastAsia="zh-CN" w:bidi="ar-SA"/>
              </w:rPr>
            </w:pPr>
            <w:r>
              <w:rPr>
                <w:rFonts w:hint="default" w:ascii="Times New Roman" w:hAnsi="Times New Roman" w:eastAsia="宋体" w:cs="Times New Roman"/>
                <w:b w:val="0"/>
                <w:bCs w:val="0"/>
                <w:color w:val="auto"/>
                <w:kern w:val="2"/>
                <w:sz w:val="24"/>
                <w:szCs w:val="22"/>
                <w:highlight w:val="none"/>
                <w:lang w:val="en-US" w:eastAsia="zh-CN" w:bidi="ar-SA"/>
              </w:rPr>
              <w:t>本项目排放的其他污染物为</w:t>
            </w:r>
            <w:r>
              <w:rPr>
                <w:rFonts w:hint="eastAsia" w:ascii="Times New Roman" w:hAnsi="Times New Roman" w:eastAsia="宋体" w:cs="Times New Roman"/>
                <w:b w:val="0"/>
                <w:bCs w:val="0"/>
                <w:color w:val="auto"/>
                <w:kern w:val="2"/>
                <w:sz w:val="24"/>
                <w:szCs w:val="22"/>
                <w:highlight w:val="none"/>
                <w:lang w:val="en-US" w:eastAsia="zh-CN" w:bidi="ar-SA"/>
              </w:rPr>
              <w:t>臭气浓度、氨和硫化氢</w:t>
            </w:r>
            <w:r>
              <w:rPr>
                <w:rFonts w:hint="default" w:ascii="Times New Roman" w:hAnsi="Times New Roman" w:eastAsia="宋体" w:cs="Times New Roman"/>
                <w:b w:val="0"/>
                <w:bCs w:val="0"/>
                <w:color w:val="auto"/>
                <w:kern w:val="2"/>
                <w:sz w:val="24"/>
                <w:szCs w:val="22"/>
                <w:highlight w:val="none"/>
                <w:lang w:val="en-US" w:eastAsia="zh-CN" w:bidi="ar-SA"/>
              </w:rPr>
              <w:t>，不属于《环境空气质量标准》(GB3095-2012)和地方的环境空气质量中有标准限值要求的污染物，因此，不进行现状检测评价。</w:t>
            </w:r>
          </w:p>
          <w:p w14:paraId="0F1F0AF4">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3.2地表水环境质量现状</w:t>
            </w:r>
          </w:p>
          <w:p w14:paraId="78C43070">
            <w:pPr>
              <w:adjustRightInd w:val="0"/>
              <w:snapToGrid w:val="0"/>
              <w:spacing w:line="360" w:lineRule="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3.2.1地表水功能区划</w:t>
            </w:r>
          </w:p>
          <w:p w14:paraId="127B8AD5">
            <w:pPr>
              <w:pStyle w:val="94"/>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⑴水环境</w:t>
            </w:r>
          </w:p>
          <w:p w14:paraId="7252FD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项目所在区域涉及的水体为</w:t>
            </w:r>
            <w:r>
              <w:rPr>
                <w:rFonts w:hint="default" w:ascii="Times New Roman" w:hAnsi="Times New Roman" w:eastAsia="宋体" w:cs="Times New Roman"/>
                <w:color w:val="auto"/>
                <w:sz w:val="24"/>
                <w:szCs w:val="24"/>
                <w:lang w:eastAsia="zh-CN"/>
              </w:rPr>
              <w:t>蓝兴河及机河</w:t>
            </w:r>
            <w:r>
              <w:rPr>
                <w:rFonts w:hint="default" w:ascii="Times New Roman" w:hAnsi="Times New Roman" w:eastAsia="宋体" w:cs="Times New Roman"/>
                <w:color w:val="auto"/>
                <w:sz w:val="24"/>
                <w:szCs w:val="24"/>
              </w:rPr>
              <w:t>，根据《闽台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福州</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蓝色经济产业园总体规划修编</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2017</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2035年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环境影响报告书》，</w:t>
            </w:r>
            <w:r>
              <w:rPr>
                <w:rFonts w:hint="default" w:ascii="Times New Roman" w:hAnsi="Times New Roman" w:eastAsia="宋体" w:cs="Times New Roman"/>
                <w:color w:val="auto"/>
                <w:sz w:val="24"/>
                <w:szCs w:val="24"/>
                <w:lang w:eastAsia="zh-CN"/>
              </w:rPr>
              <w:t>蓝兴河、机河</w:t>
            </w:r>
            <w:r>
              <w:rPr>
                <w:rFonts w:hint="default" w:ascii="Times New Roman" w:hAnsi="Times New Roman" w:eastAsia="宋体" w:cs="Times New Roman"/>
                <w:color w:val="auto"/>
                <w:sz w:val="24"/>
                <w:szCs w:val="24"/>
              </w:rPr>
              <w:t>及其干流地表水功能区类别为Ⅴ类，执行《地表水环境质量标准》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GB3838-2002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中的Ⅴ类水质标准，详见表</w:t>
            </w:r>
            <w:r>
              <w:rPr>
                <w:rFonts w:hint="default"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rPr>
              <w:t>-1。</w:t>
            </w:r>
          </w:p>
          <w:p w14:paraId="2DB9AE47">
            <w:pPr>
              <w:spacing w:before="120" w:beforeLines="50"/>
              <w:jc w:val="both"/>
              <w:rPr>
                <w:rFonts w:hint="default" w:ascii="Times New Roman" w:hAnsi="Times New Roman" w:eastAsia="宋体" w:cs="Times New Roman"/>
                <w:color w:val="auto"/>
                <w:sz w:val="24"/>
                <w:szCs w:val="24"/>
              </w:rPr>
            </w:pPr>
            <w:r>
              <w:rPr>
                <w:rFonts w:hint="default" w:ascii="Times New Roman" w:hAnsi="Times New Roman" w:eastAsia="黑体" w:cs="Times New Roman"/>
                <w:color w:val="auto"/>
                <w:sz w:val="24"/>
                <w:szCs w:val="24"/>
              </w:rPr>
              <w:t>表3.</w:t>
            </w:r>
            <w:r>
              <w:rPr>
                <w:rFonts w:hint="default" w:ascii="Times New Roman" w:hAnsi="Times New Roman" w:eastAsia="黑体" w:cs="Times New Roman"/>
                <w:color w:val="auto"/>
                <w:sz w:val="24"/>
                <w:szCs w:val="24"/>
                <w:lang w:val="en-US" w:eastAsia="zh-CN"/>
              </w:rPr>
              <w:t>2</w:t>
            </w:r>
            <w:r>
              <w:rPr>
                <w:rFonts w:hint="default" w:ascii="Times New Roman" w:hAnsi="Times New Roman" w:eastAsia="黑体" w:cs="Times New Roman"/>
                <w:color w:val="auto"/>
                <w:sz w:val="24"/>
                <w:szCs w:val="24"/>
              </w:rPr>
              <w:t>-1《地表水环境质量标准》</w:t>
            </w:r>
            <w:r>
              <w:rPr>
                <w:rFonts w:hint="default" w:ascii="Times New Roman" w:hAnsi="Times New Roman" w:eastAsia="黑体" w:cs="Times New Roman"/>
                <w:color w:val="auto"/>
                <w:sz w:val="24"/>
                <w:szCs w:val="24"/>
                <w:lang w:eastAsia="zh-CN"/>
              </w:rPr>
              <w:t>(</w:t>
            </w:r>
            <w:r>
              <w:rPr>
                <w:rFonts w:hint="default" w:ascii="Times New Roman" w:hAnsi="Times New Roman" w:eastAsia="黑体" w:cs="Times New Roman"/>
                <w:color w:val="auto"/>
                <w:sz w:val="24"/>
                <w:szCs w:val="24"/>
              </w:rPr>
              <w:t>GB3838-2002)表1</w:t>
            </w:r>
            <w:r>
              <w:rPr>
                <w:rFonts w:hint="default"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单位：mg/L</w:t>
            </w:r>
            <w:r>
              <w:rPr>
                <w:rFonts w:hint="default" w:ascii="Times New Roman" w:hAnsi="Times New Roman" w:eastAsia="黑体" w:cs="Times New Roman"/>
                <w:b w:val="0"/>
                <w:bCs w:val="0"/>
                <w:color w:val="auto"/>
                <w:sz w:val="24"/>
                <w:szCs w:val="24"/>
                <w:lang w:val="en-US" w:eastAsia="zh-CN"/>
              </w:rPr>
              <w:t>(</w:t>
            </w:r>
            <w:r>
              <w:rPr>
                <w:rFonts w:hint="default" w:ascii="Times New Roman" w:hAnsi="Times New Roman" w:eastAsia="黑体" w:cs="Times New Roman"/>
                <w:b w:val="0"/>
                <w:bCs w:val="0"/>
                <w:color w:val="auto"/>
                <w:sz w:val="24"/>
                <w:szCs w:val="24"/>
              </w:rPr>
              <w:t>pH除外)</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3600"/>
              <w:gridCol w:w="1389"/>
              <w:gridCol w:w="1094"/>
              <w:gridCol w:w="1094"/>
              <w:gridCol w:w="1098"/>
            </w:tblGrid>
            <w:tr w14:paraId="14F059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5B676D6F">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839" w:type="pct"/>
                  <w:shd w:val="clear" w:color="auto" w:fill="auto"/>
                  <w:noWrap w:val="0"/>
                  <w:vAlign w:val="center"/>
                </w:tcPr>
                <w:p w14:paraId="13AC9071">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Ⅱ类</w:t>
                  </w:r>
                </w:p>
              </w:tc>
              <w:tc>
                <w:tcPr>
                  <w:tcW w:w="661" w:type="pct"/>
                  <w:shd w:val="clear" w:color="auto" w:fill="auto"/>
                  <w:noWrap w:val="0"/>
                  <w:vAlign w:val="center"/>
                </w:tcPr>
                <w:p w14:paraId="5ECA92E2">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Ⅲ类</w:t>
                  </w:r>
                </w:p>
              </w:tc>
              <w:tc>
                <w:tcPr>
                  <w:tcW w:w="661" w:type="pct"/>
                  <w:shd w:val="clear" w:color="auto" w:fill="auto"/>
                  <w:noWrap w:val="0"/>
                  <w:vAlign w:val="center"/>
                </w:tcPr>
                <w:p w14:paraId="1524452D">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Ⅳ类</w:t>
                  </w:r>
                </w:p>
              </w:tc>
              <w:tc>
                <w:tcPr>
                  <w:tcW w:w="661" w:type="pct"/>
                  <w:shd w:val="clear" w:color="auto" w:fill="BEBEBE"/>
                  <w:noWrap w:val="0"/>
                  <w:vAlign w:val="center"/>
                </w:tcPr>
                <w:p w14:paraId="4F524801">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Ⅴ类</w:t>
                  </w:r>
                </w:p>
              </w:tc>
            </w:tr>
            <w:tr w14:paraId="6ECFB9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2E316653">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pH</w:t>
                  </w:r>
                  <w:r>
                    <w:rPr>
                      <w:rFonts w:hint="default" w:ascii="Times New Roman" w:hAnsi="Times New Roman" w:eastAsia="宋体" w:cs="Times New Roman"/>
                      <w:snapToGrid w:val="0"/>
                      <w:color w:val="auto"/>
                      <w:kern w:val="18"/>
                      <w:szCs w:val="21"/>
                      <w:lang w:eastAsia="zh-CN"/>
                    </w:rPr>
                    <w:t>(</w:t>
                  </w:r>
                  <w:r>
                    <w:rPr>
                      <w:rFonts w:hint="default" w:ascii="Times New Roman" w:hAnsi="Times New Roman" w:eastAsia="宋体" w:cs="Times New Roman"/>
                      <w:snapToGrid w:val="0"/>
                      <w:color w:val="auto"/>
                      <w:kern w:val="18"/>
                      <w:szCs w:val="21"/>
                    </w:rPr>
                    <w:t>无量纲)</w:t>
                  </w:r>
                </w:p>
              </w:tc>
              <w:tc>
                <w:tcPr>
                  <w:tcW w:w="2824" w:type="pct"/>
                  <w:gridSpan w:val="4"/>
                  <w:shd w:val="clear" w:color="auto" w:fill="BEBEBE"/>
                  <w:noWrap w:val="0"/>
                  <w:vAlign w:val="center"/>
                </w:tcPr>
                <w:p w14:paraId="34A179C6">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r>
            <w:tr w14:paraId="755844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0C742DD2">
                  <w:pPr>
                    <w:pStyle w:val="89"/>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溶解氧</w:t>
                  </w:r>
                  <w:r>
                    <w:rPr>
                      <w:rFonts w:hint="default" w:ascii="Times New Roman" w:hAnsi="Times New Roman" w:eastAsia="宋体" w:cs="Times New Roman"/>
                      <w:snapToGrid w:val="0"/>
                      <w:color w:val="auto"/>
                      <w:kern w:val="18"/>
                      <w:szCs w:val="21"/>
                      <w:lang w:eastAsia="zh-CN"/>
                    </w:rPr>
                    <w:t>(</w:t>
                  </w:r>
                  <w:r>
                    <w:rPr>
                      <w:rFonts w:hint="default" w:ascii="Times New Roman" w:hAnsi="Times New Roman" w:eastAsia="宋体" w:cs="Times New Roman"/>
                      <w:snapToGrid w:val="0"/>
                      <w:color w:val="auto"/>
                      <w:kern w:val="18"/>
                      <w:szCs w:val="21"/>
                    </w:rPr>
                    <w:t xml:space="preserve">DO)        </w:t>
                  </w:r>
                  <w:r>
                    <w:rPr>
                      <w:rFonts w:hint="default" w:ascii="Times New Roman" w:hAnsi="Times New Roman" w:eastAsia="宋体" w:cs="Times New Roman"/>
                      <w:snapToGrid w:val="0"/>
                      <w:color w:val="auto"/>
                      <w:kern w:val="18"/>
                      <w:szCs w:val="21"/>
                      <w:lang w:val="en-US" w:eastAsia="zh-CN"/>
                    </w:rPr>
                    <w:t xml:space="preserve">   </w:t>
                  </w:r>
                  <w:r>
                    <w:rPr>
                      <w:rFonts w:hint="default" w:ascii="Times New Roman" w:hAnsi="Times New Roman" w:eastAsia="宋体" w:cs="Times New Roman"/>
                      <w:snapToGrid w:val="0"/>
                      <w:color w:val="auto"/>
                      <w:kern w:val="18"/>
                      <w:szCs w:val="21"/>
                    </w:rPr>
                    <w:t xml:space="preserve">  </w:t>
                  </w:r>
                  <w:r>
                    <w:rPr>
                      <w:rFonts w:hint="default" w:ascii="Times New Roman" w:hAnsi="Times New Roman" w:eastAsia="宋体" w:cs="Times New Roman"/>
                      <w:snapToGrid w:val="0"/>
                      <w:color w:val="auto"/>
                      <w:kern w:val="18"/>
                      <w:szCs w:val="21"/>
                      <w:lang w:val="en-US" w:eastAsia="zh-CN"/>
                    </w:rPr>
                    <w:t xml:space="preserve">   </w:t>
                  </w:r>
                  <w:r>
                    <w:rPr>
                      <w:rFonts w:hint="default" w:ascii="Times New Roman" w:hAnsi="Times New Roman" w:eastAsia="宋体" w:cs="Times New Roman"/>
                      <w:snapToGrid w:val="0"/>
                      <w:color w:val="auto"/>
                      <w:kern w:val="18"/>
                      <w:szCs w:val="21"/>
                    </w:rPr>
                    <w:t xml:space="preserve">  </w:t>
                  </w:r>
                  <w:r>
                    <w:rPr>
                      <w:rFonts w:hint="default" w:ascii="Times New Roman" w:hAnsi="Times New Roman" w:eastAsia="宋体" w:cs="Times New Roman"/>
                      <w:snapToGrid w:val="0"/>
                      <w:color w:val="auto"/>
                      <w:kern w:val="18"/>
                      <w:szCs w:val="21"/>
                      <w:lang w:val="en-US" w:eastAsia="zh-CN"/>
                    </w:rPr>
                    <w:t xml:space="preserve"> </w:t>
                  </w:r>
                  <w:r>
                    <w:rPr>
                      <w:rFonts w:hint="default" w:ascii="Times New Roman" w:hAnsi="Times New Roman" w:eastAsia="宋体" w:cs="Times New Roman"/>
                      <w:snapToGrid w:val="0"/>
                      <w:color w:val="auto"/>
                      <w:kern w:val="18"/>
                      <w:szCs w:val="21"/>
                    </w:rPr>
                    <w:t xml:space="preserve">  ≥</w:t>
                  </w:r>
                </w:p>
              </w:tc>
              <w:tc>
                <w:tcPr>
                  <w:tcW w:w="839" w:type="pct"/>
                  <w:shd w:val="clear" w:color="auto" w:fill="auto"/>
                  <w:noWrap w:val="0"/>
                  <w:vAlign w:val="center"/>
                </w:tcPr>
                <w:p w14:paraId="7208598A">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w:t>
                  </w:r>
                </w:p>
              </w:tc>
              <w:tc>
                <w:tcPr>
                  <w:tcW w:w="661" w:type="pct"/>
                  <w:shd w:val="clear" w:color="auto" w:fill="auto"/>
                  <w:noWrap w:val="0"/>
                  <w:vAlign w:val="center"/>
                </w:tcPr>
                <w:p w14:paraId="46B36847">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c>
                <w:tcPr>
                  <w:tcW w:w="661" w:type="pct"/>
                  <w:shd w:val="clear" w:color="auto" w:fill="auto"/>
                  <w:noWrap w:val="0"/>
                  <w:vAlign w:val="center"/>
                </w:tcPr>
                <w:p w14:paraId="11F63ED6">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661" w:type="pct"/>
                  <w:shd w:val="clear" w:color="auto" w:fill="BEBEBE"/>
                  <w:noWrap w:val="0"/>
                  <w:vAlign w:val="center"/>
                </w:tcPr>
                <w:p w14:paraId="65829F9E">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2</w:t>
                  </w:r>
                </w:p>
              </w:tc>
            </w:tr>
            <w:tr w14:paraId="7113C9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7F97F034">
                  <w:pPr>
                    <w:pStyle w:val="89"/>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 xml:space="preserve">高锰酸盐指数      </w:t>
                  </w:r>
                  <w:r>
                    <w:rPr>
                      <w:rFonts w:hint="default" w:ascii="Times New Roman" w:hAnsi="Times New Roman" w:eastAsia="宋体" w:cs="Times New Roman"/>
                      <w:snapToGrid w:val="0"/>
                      <w:color w:val="auto"/>
                      <w:kern w:val="18"/>
                      <w:szCs w:val="21"/>
                      <w:lang w:val="en-US" w:eastAsia="zh-CN"/>
                    </w:rPr>
                    <w:t xml:space="preserve">      </w:t>
                  </w:r>
                  <w:r>
                    <w:rPr>
                      <w:rFonts w:hint="default" w:ascii="Times New Roman" w:hAnsi="Times New Roman" w:eastAsia="宋体" w:cs="Times New Roman"/>
                      <w:snapToGrid w:val="0"/>
                      <w:color w:val="auto"/>
                      <w:kern w:val="18"/>
                      <w:szCs w:val="21"/>
                    </w:rPr>
                    <w:t xml:space="preserve">       ≤</w:t>
                  </w:r>
                </w:p>
              </w:tc>
              <w:tc>
                <w:tcPr>
                  <w:tcW w:w="839" w:type="pct"/>
                  <w:shd w:val="clear" w:color="auto" w:fill="auto"/>
                  <w:noWrap w:val="0"/>
                  <w:vAlign w:val="center"/>
                </w:tcPr>
                <w:p w14:paraId="26CDC349">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661" w:type="pct"/>
                  <w:shd w:val="clear" w:color="auto" w:fill="auto"/>
                  <w:noWrap w:val="0"/>
                  <w:vAlign w:val="center"/>
                </w:tcPr>
                <w:p w14:paraId="746755A0">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661" w:type="pct"/>
                  <w:shd w:val="clear" w:color="auto" w:fill="auto"/>
                  <w:noWrap w:val="0"/>
                  <w:vAlign w:val="center"/>
                </w:tcPr>
                <w:p w14:paraId="622F497F">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661" w:type="pct"/>
                  <w:shd w:val="clear" w:color="auto" w:fill="BEBEBE"/>
                  <w:noWrap w:val="0"/>
                  <w:vAlign w:val="center"/>
                </w:tcPr>
                <w:p w14:paraId="4B4D11D2">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15</w:t>
                  </w:r>
                </w:p>
              </w:tc>
            </w:tr>
            <w:tr w14:paraId="66E333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78A1BC54">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五日生化需氧量</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snapToGrid w:val="0"/>
                      <w:color w:val="auto"/>
                      <w:kern w:val="18"/>
                      <w:szCs w:val="21"/>
                    </w:rPr>
                    <w:t>≤</w:t>
                  </w:r>
                </w:p>
              </w:tc>
              <w:tc>
                <w:tcPr>
                  <w:tcW w:w="839" w:type="pct"/>
                  <w:shd w:val="clear" w:color="auto" w:fill="auto"/>
                  <w:noWrap w:val="0"/>
                  <w:vAlign w:val="center"/>
                </w:tcPr>
                <w:p w14:paraId="7ADA64D2">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661" w:type="pct"/>
                  <w:shd w:val="clear" w:color="auto" w:fill="auto"/>
                  <w:noWrap w:val="0"/>
                  <w:vAlign w:val="center"/>
                </w:tcPr>
                <w:p w14:paraId="691F0558">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661" w:type="pct"/>
                  <w:shd w:val="clear" w:color="auto" w:fill="auto"/>
                  <w:noWrap w:val="0"/>
                  <w:vAlign w:val="center"/>
                </w:tcPr>
                <w:p w14:paraId="67B187A7">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661" w:type="pct"/>
                  <w:shd w:val="clear" w:color="auto" w:fill="BEBEBE"/>
                  <w:noWrap w:val="0"/>
                  <w:vAlign w:val="center"/>
                </w:tcPr>
                <w:p w14:paraId="15596562">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10</w:t>
                  </w:r>
                </w:p>
              </w:tc>
            </w:tr>
            <w:tr w14:paraId="63E70C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25EF74BA">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化学需氧量</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COD)</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snapToGrid w:val="0"/>
                      <w:color w:val="auto"/>
                      <w:kern w:val="18"/>
                      <w:szCs w:val="21"/>
                    </w:rPr>
                    <w:t>≤</w:t>
                  </w:r>
                </w:p>
              </w:tc>
              <w:tc>
                <w:tcPr>
                  <w:tcW w:w="839" w:type="pct"/>
                  <w:shd w:val="clear" w:color="auto" w:fill="auto"/>
                  <w:noWrap w:val="0"/>
                  <w:vAlign w:val="center"/>
                </w:tcPr>
                <w:p w14:paraId="5C9B5574">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661" w:type="pct"/>
                  <w:shd w:val="clear" w:color="auto" w:fill="auto"/>
                  <w:noWrap w:val="0"/>
                  <w:vAlign w:val="center"/>
                </w:tcPr>
                <w:p w14:paraId="04FA8B12">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661" w:type="pct"/>
                  <w:shd w:val="clear" w:color="auto" w:fill="auto"/>
                  <w:noWrap w:val="0"/>
                  <w:vAlign w:val="center"/>
                </w:tcPr>
                <w:p w14:paraId="4978F08E">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661" w:type="pct"/>
                  <w:shd w:val="clear" w:color="auto" w:fill="BEBEBE"/>
                  <w:noWrap w:val="0"/>
                  <w:vAlign w:val="center"/>
                </w:tcPr>
                <w:p w14:paraId="10CD57A7">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40</w:t>
                  </w:r>
                </w:p>
              </w:tc>
            </w:tr>
            <w:tr w14:paraId="6E2A02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363B3970">
                  <w:pPr>
                    <w:pStyle w:val="89"/>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氨氮</w:t>
                  </w:r>
                  <w:r>
                    <w:rPr>
                      <w:rFonts w:hint="default" w:ascii="Times New Roman" w:hAnsi="Times New Roman" w:eastAsia="宋体" w:cs="Times New Roman"/>
                      <w:snapToGrid w:val="0"/>
                      <w:color w:val="auto"/>
                      <w:kern w:val="18"/>
                      <w:szCs w:val="21"/>
                      <w:lang w:eastAsia="zh-CN"/>
                    </w:rPr>
                    <w:t>(</w:t>
                  </w:r>
                  <w:r>
                    <w:rPr>
                      <w:rFonts w:hint="default" w:ascii="Times New Roman" w:hAnsi="Times New Roman" w:eastAsia="宋体" w:cs="Times New Roman"/>
                      <w:snapToGrid w:val="0"/>
                      <w:color w:val="auto"/>
                      <w:kern w:val="18"/>
                      <w:szCs w:val="21"/>
                    </w:rPr>
                    <w:t>NH</w:t>
                  </w:r>
                  <w:r>
                    <w:rPr>
                      <w:rFonts w:hint="default" w:ascii="Times New Roman" w:hAnsi="Times New Roman" w:eastAsia="宋体" w:cs="Times New Roman"/>
                      <w:snapToGrid w:val="0"/>
                      <w:color w:val="auto"/>
                      <w:kern w:val="18"/>
                      <w:szCs w:val="21"/>
                      <w:vertAlign w:val="subscript"/>
                    </w:rPr>
                    <w:t>3</w:t>
                  </w:r>
                  <w:r>
                    <w:rPr>
                      <w:rFonts w:hint="default" w:ascii="Times New Roman" w:hAnsi="Times New Roman" w:eastAsia="宋体" w:cs="Times New Roman"/>
                      <w:snapToGrid w:val="0"/>
                      <w:color w:val="auto"/>
                      <w:kern w:val="18"/>
                      <w:szCs w:val="21"/>
                    </w:rPr>
                    <w:t>-N)</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snapToGrid w:val="0"/>
                      <w:color w:val="auto"/>
                      <w:kern w:val="18"/>
                      <w:szCs w:val="21"/>
                    </w:rPr>
                    <w:t>≤</w:t>
                  </w:r>
                </w:p>
              </w:tc>
              <w:tc>
                <w:tcPr>
                  <w:tcW w:w="839" w:type="pct"/>
                  <w:shd w:val="clear" w:color="auto" w:fill="auto"/>
                  <w:noWrap w:val="0"/>
                  <w:vAlign w:val="center"/>
                </w:tcPr>
                <w:p w14:paraId="3CC612D1">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661" w:type="pct"/>
                  <w:shd w:val="clear" w:color="auto" w:fill="auto"/>
                  <w:noWrap w:val="0"/>
                  <w:vAlign w:val="center"/>
                </w:tcPr>
                <w:p w14:paraId="702D1442">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661" w:type="pct"/>
                  <w:shd w:val="clear" w:color="auto" w:fill="auto"/>
                  <w:noWrap w:val="0"/>
                  <w:vAlign w:val="center"/>
                </w:tcPr>
                <w:p w14:paraId="5C33DF64">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661" w:type="pct"/>
                  <w:shd w:val="clear" w:color="auto" w:fill="BEBEBE"/>
                  <w:noWrap w:val="0"/>
                  <w:vAlign w:val="center"/>
                </w:tcPr>
                <w:p w14:paraId="1CE20B4E">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2.0</w:t>
                  </w:r>
                </w:p>
              </w:tc>
            </w:tr>
            <w:tr w14:paraId="6DFC6F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542F8849">
                  <w:pPr>
                    <w:pStyle w:val="89"/>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总磷</w:t>
                  </w:r>
                  <w:r>
                    <w:rPr>
                      <w:rFonts w:hint="default" w:ascii="Times New Roman" w:hAnsi="Times New Roman" w:eastAsia="宋体" w:cs="Times New Roman"/>
                      <w:snapToGrid w:val="0"/>
                      <w:color w:val="auto"/>
                      <w:kern w:val="18"/>
                      <w:szCs w:val="21"/>
                      <w:lang w:eastAsia="zh-CN"/>
                    </w:rPr>
                    <w:t>(</w:t>
                  </w:r>
                  <w:r>
                    <w:rPr>
                      <w:rFonts w:hint="default" w:ascii="Times New Roman" w:hAnsi="Times New Roman" w:eastAsia="宋体" w:cs="Times New Roman"/>
                      <w:snapToGrid w:val="0"/>
                      <w:color w:val="auto"/>
                      <w:kern w:val="18"/>
                      <w:szCs w:val="21"/>
                    </w:rPr>
                    <w:t>TP)</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snapToGrid w:val="0"/>
                      <w:color w:val="auto"/>
                      <w:kern w:val="18"/>
                      <w:szCs w:val="21"/>
                    </w:rPr>
                    <w:t>≤</w:t>
                  </w:r>
                </w:p>
              </w:tc>
              <w:tc>
                <w:tcPr>
                  <w:tcW w:w="839" w:type="pct"/>
                  <w:shd w:val="clear" w:color="auto" w:fill="auto"/>
                  <w:noWrap w:val="0"/>
                  <w:vAlign w:val="center"/>
                </w:tcPr>
                <w:p w14:paraId="60B6FD0A">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w:t>
                  </w:r>
                </w:p>
              </w:tc>
              <w:tc>
                <w:tcPr>
                  <w:tcW w:w="661" w:type="pct"/>
                  <w:shd w:val="clear" w:color="auto" w:fill="auto"/>
                  <w:noWrap w:val="0"/>
                  <w:vAlign w:val="center"/>
                </w:tcPr>
                <w:p w14:paraId="0B344362">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0.2</w:t>
                  </w:r>
                </w:p>
              </w:tc>
              <w:tc>
                <w:tcPr>
                  <w:tcW w:w="661" w:type="pct"/>
                  <w:shd w:val="clear" w:color="auto" w:fill="auto"/>
                  <w:noWrap w:val="0"/>
                  <w:vAlign w:val="center"/>
                </w:tcPr>
                <w:p w14:paraId="54FCB94E">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c>
                <w:tcPr>
                  <w:tcW w:w="661" w:type="pct"/>
                  <w:shd w:val="clear" w:color="auto" w:fill="BEBEBE"/>
                  <w:noWrap w:val="0"/>
                  <w:vAlign w:val="center"/>
                </w:tcPr>
                <w:p w14:paraId="3AC96606">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18"/>
                      <w:szCs w:val="21"/>
                    </w:rPr>
                    <w:t>0.4</w:t>
                  </w:r>
                </w:p>
              </w:tc>
            </w:tr>
            <w:tr w14:paraId="3D38E8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6D382564">
                  <w:pPr>
                    <w:pStyle w:val="89"/>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snapToGrid w:val="0"/>
                      <w:color w:val="auto"/>
                      <w:kern w:val="18"/>
                      <w:szCs w:val="21"/>
                      <w:lang w:eastAsia="zh-CN"/>
                    </w:rPr>
                  </w:pPr>
                  <w:r>
                    <w:rPr>
                      <w:rFonts w:hint="default" w:ascii="Times New Roman" w:hAnsi="Times New Roman" w:eastAsia="宋体" w:cs="Times New Roman"/>
                      <w:snapToGrid w:val="0"/>
                      <w:color w:val="auto"/>
                      <w:kern w:val="18"/>
                      <w:szCs w:val="21"/>
                      <w:lang w:eastAsia="zh-CN"/>
                    </w:rPr>
                    <w:t>石油类</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 xml:space="preserve">  </w:t>
                  </w:r>
                  <w:r>
                    <w:rPr>
                      <w:rFonts w:hint="default" w:ascii="Times New Roman" w:hAnsi="Times New Roman" w:eastAsia="宋体" w:cs="Times New Roman"/>
                      <w:snapToGrid w:val="0"/>
                      <w:color w:val="auto"/>
                      <w:kern w:val="18"/>
                      <w:szCs w:val="21"/>
                    </w:rPr>
                    <w:t>≤</w:t>
                  </w:r>
                </w:p>
              </w:tc>
              <w:tc>
                <w:tcPr>
                  <w:tcW w:w="839" w:type="pct"/>
                  <w:shd w:val="clear" w:color="auto" w:fill="auto"/>
                  <w:noWrap w:val="0"/>
                  <w:vAlign w:val="center"/>
                </w:tcPr>
                <w:p w14:paraId="00B531C7">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0.05</w:t>
                  </w:r>
                </w:p>
              </w:tc>
              <w:tc>
                <w:tcPr>
                  <w:tcW w:w="661" w:type="pct"/>
                  <w:shd w:val="clear" w:color="auto" w:fill="auto"/>
                  <w:noWrap w:val="0"/>
                  <w:vAlign w:val="center"/>
                </w:tcPr>
                <w:p w14:paraId="25560BC4">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snapToGrid w:val="0"/>
                      <w:color w:val="auto"/>
                      <w:kern w:val="18"/>
                      <w:szCs w:val="21"/>
                      <w:lang w:val="en-US" w:eastAsia="zh-CN"/>
                    </w:rPr>
                  </w:pPr>
                  <w:r>
                    <w:rPr>
                      <w:rFonts w:hint="default" w:ascii="Times New Roman" w:hAnsi="Times New Roman" w:eastAsia="宋体" w:cs="Times New Roman"/>
                      <w:snapToGrid w:val="0"/>
                      <w:color w:val="auto"/>
                      <w:kern w:val="18"/>
                      <w:szCs w:val="21"/>
                      <w:lang w:val="en-US" w:eastAsia="zh-CN"/>
                    </w:rPr>
                    <w:t>0.05</w:t>
                  </w:r>
                </w:p>
              </w:tc>
              <w:tc>
                <w:tcPr>
                  <w:tcW w:w="661" w:type="pct"/>
                  <w:shd w:val="clear" w:color="auto" w:fill="auto"/>
                  <w:noWrap w:val="0"/>
                  <w:vAlign w:val="center"/>
                </w:tcPr>
                <w:p w14:paraId="4BCBAEEF">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w:t>
                  </w:r>
                </w:p>
              </w:tc>
              <w:tc>
                <w:tcPr>
                  <w:tcW w:w="661" w:type="pct"/>
                  <w:shd w:val="clear" w:color="auto" w:fill="BEBEBE"/>
                  <w:noWrap w:val="0"/>
                  <w:vAlign w:val="center"/>
                </w:tcPr>
                <w:p w14:paraId="41F9261F">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snapToGrid w:val="0"/>
                      <w:color w:val="auto"/>
                      <w:kern w:val="18"/>
                      <w:szCs w:val="21"/>
                      <w:lang w:val="en-US" w:eastAsia="zh-CN"/>
                    </w:rPr>
                  </w:pPr>
                  <w:r>
                    <w:rPr>
                      <w:rFonts w:hint="default" w:ascii="Times New Roman" w:hAnsi="Times New Roman" w:eastAsia="宋体" w:cs="Times New Roman"/>
                      <w:snapToGrid w:val="0"/>
                      <w:color w:val="auto"/>
                      <w:kern w:val="18"/>
                      <w:szCs w:val="21"/>
                      <w:lang w:val="en-US" w:eastAsia="zh-CN"/>
                    </w:rPr>
                    <w:t>1.0</w:t>
                  </w:r>
                </w:p>
              </w:tc>
            </w:tr>
          </w:tbl>
          <w:p w14:paraId="11887841">
            <w:pPr>
              <w:keepNext w:val="0"/>
              <w:keepLines w:val="0"/>
              <w:pageBreakBefore w:val="0"/>
              <w:widowControl w:val="0"/>
              <w:kinsoku/>
              <w:wordWrap/>
              <w:overflowPunct/>
              <w:topLinePunct w:val="0"/>
              <w:autoSpaceDE/>
              <w:autoSpaceDN/>
              <w:bidi w:val="0"/>
              <w:adjustRightInd/>
              <w:snapToGrid/>
              <w:spacing w:before="191" w:beforeLines="5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②海域</w:t>
            </w:r>
          </w:p>
          <w:p w14:paraId="65641B73">
            <w:pPr>
              <w:pStyle w:val="94"/>
              <w:spacing w:before="0" w:before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项目周边的海域为兴化湾，根据《福建省近岸海域环境功能区划</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修编</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2011~2020</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，海域功能区划图见</w:t>
            </w:r>
            <w:r>
              <w:rPr>
                <w:rFonts w:hint="default" w:ascii="Times New Roman" w:hAnsi="Times New Roman" w:eastAsia="宋体" w:cs="Times New Roman"/>
                <w:color w:val="auto"/>
                <w:sz w:val="24"/>
                <w:lang w:eastAsia="zh-CN"/>
              </w:rPr>
              <w:t>附图</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。兴化湾前薛三类区定位为第三类环境功能区，主导功能为一般工业用水，水质执行《海水水质标准》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GB3097-1997</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第三类海水水质标准；兴化湾江阴</w:t>
            </w:r>
            <w:r>
              <w:rPr>
                <w:rFonts w:hint="default" w:ascii="Times New Roman" w:hAnsi="Times New Roman" w:eastAsia="宋体" w:cs="Times New Roman"/>
                <w:color w:val="auto"/>
                <w:sz w:val="24"/>
                <w:lang w:eastAsia="zh-CN"/>
              </w:rPr>
              <w:t>半岛</w:t>
            </w:r>
            <w:r>
              <w:rPr>
                <w:rFonts w:hint="default" w:ascii="Times New Roman" w:hAnsi="Times New Roman" w:eastAsia="宋体" w:cs="Times New Roman"/>
                <w:color w:val="auto"/>
                <w:sz w:val="24"/>
              </w:rPr>
              <w:t>西部海域二类区主导功能为养殖，水质执行《海水水质标准》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GB3097-1997</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第二类海水水质标准。主要指标见</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3.2-2</w:t>
            </w:r>
            <w:r>
              <w:rPr>
                <w:rFonts w:hint="default" w:ascii="Times New Roman" w:hAnsi="Times New Roman" w:eastAsia="宋体" w:cs="Times New Roman"/>
                <w:color w:val="auto"/>
                <w:sz w:val="24"/>
              </w:rPr>
              <w:t>。</w:t>
            </w:r>
          </w:p>
          <w:p w14:paraId="35AE2265">
            <w:pPr>
              <w:pStyle w:val="9"/>
              <w:keepNext w:val="0"/>
              <w:keepLines w:val="0"/>
              <w:pageBreakBefore w:val="0"/>
              <w:widowControl w:val="0"/>
              <w:kinsoku/>
              <w:wordWrap/>
              <w:overflowPunct/>
              <w:topLinePunct w:val="0"/>
              <w:autoSpaceDE/>
              <w:autoSpaceDN/>
              <w:bidi w:val="0"/>
              <w:adjustRightInd/>
              <w:snapToGrid/>
              <w:spacing w:before="191" w:beforeLines="50" w:after="0" w:line="240" w:lineRule="auto"/>
              <w:ind w:firstLine="0" w:firstLineChars="0"/>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表</w:t>
            </w:r>
            <w:r>
              <w:rPr>
                <w:rFonts w:hint="default" w:ascii="Times New Roman" w:hAnsi="Times New Roman" w:eastAsia="黑体" w:cs="Times New Roman"/>
                <w:b w:val="0"/>
                <w:bCs w:val="0"/>
                <w:color w:val="auto"/>
                <w:sz w:val="24"/>
                <w:szCs w:val="24"/>
                <w:lang w:val="en-US" w:eastAsia="zh-CN"/>
              </w:rPr>
              <w:t>3.2-2</w:t>
            </w:r>
            <w:r>
              <w:rPr>
                <w:rFonts w:hint="default" w:ascii="Times New Roman" w:hAnsi="Times New Roman" w:eastAsia="黑体" w:cs="Times New Roman"/>
                <w:b w:val="0"/>
                <w:bCs w:val="0"/>
                <w:color w:val="auto"/>
                <w:sz w:val="24"/>
                <w:szCs w:val="24"/>
              </w:rPr>
              <w:t xml:space="preserve"> 《海水水质标准》</w:t>
            </w:r>
            <w:r>
              <w:rPr>
                <w:rFonts w:hint="default" w:ascii="Times New Roman" w:hAnsi="Times New Roman" w:eastAsia="黑体" w:cs="Times New Roman"/>
                <w:b w:val="0"/>
                <w:bCs w:val="0"/>
                <w:color w:val="auto"/>
                <w:sz w:val="24"/>
                <w:szCs w:val="24"/>
                <w:lang w:eastAsia="zh-CN"/>
              </w:rPr>
              <w:t>(</w:t>
            </w:r>
            <w:r>
              <w:rPr>
                <w:rFonts w:hint="default" w:ascii="Times New Roman" w:hAnsi="Times New Roman" w:eastAsia="黑体" w:cs="Times New Roman"/>
                <w:b w:val="0"/>
                <w:bCs w:val="0"/>
                <w:color w:val="auto"/>
                <w:sz w:val="24"/>
                <w:szCs w:val="24"/>
              </w:rPr>
              <w:t>GB3097-1997</w:t>
            </w:r>
            <w:r>
              <w:rPr>
                <w:rFonts w:hint="default" w:ascii="Times New Roman" w:hAnsi="Times New Roman" w:eastAsia="黑体" w:cs="Times New Roman"/>
                <w:b w:val="0"/>
                <w:bCs w:val="0"/>
                <w:color w:val="auto"/>
                <w:sz w:val="24"/>
                <w:szCs w:val="24"/>
                <w:lang w:eastAsia="zh-CN"/>
              </w:rPr>
              <w:t>)</w:t>
            </w:r>
            <w:r>
              <w:rPr>
                <w:rFonts w:hint="default" w:ascii="Times New Roman" w:hAnsi="Times New Roman" w:eastAsia="黑体" w:cs="Times New Roman"/>
                <w:b w:val="0"/>
                <w:bCs w:val="0"/>
                <w:color w:val="auto"/>
                <w:sz w:val="24"/>
                <w:szCs w:val="24"/>
              </w:rPr>
              <w:t>表1</w:t>
            </w:r>
            <w:r>
              <w:rPr>
                <w:rFonts w:hint="default" w:ascii="Times New Roman" w:hAnsi="Times New Roman" w:eastAsia="黑体" w:cs="Times New Roman"/>
                <w:b w:val="0"/>
                <w:bCs w:val="0"/>
                <w:color w:val="auto"/>
                <w:sz w:val="24"/>
                <w:szCs w:val="24"/>
                <w:lang w:eastAsia="zh-CN"/>
              </w:rPr>
              <w:t>(</w:t>
            </w:r>
            <w:r>
              <w:rPr>
                <w:rFonts w:hint="default" w:ascii="Times New Roman" w:hAnsi="Times New Roman" w:eastAsia="黑体" w:cs="Times New Roman"/>
                <w:b w:val="0"/>
                <w:bCs w:val="0"/>
                <w:color w:val="auto"/>
                <w:sz w:val="24"/>
                <w:szCs w:val="24"/>
              </w:rPr>
              <w:t xml:space="preserve">摘录) </w:t>
            </w:r>
            <w:r>
              <w:rPr>
                <w:rFonts w:hint="default"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eastAsia="zh-CN"/>
              </w:rPr>
              <w:t>单位：</w:t>
            </w:r>
            <w:r>
              <w:rPr>
                <w:rFonts w:hint="default" w:ascii="Times New Roman" w:hAnsi="Times New Roman" w:eastAsia="黑体" w:cs="Times New Roman"/>
                <w:b w:val="0"/>
                <w:bCs w:val="0"/>
                <w:color w:val="auto"/>
                <w:sz w:val="24"/>
                <w:szCs w:val="24"/>
              </w:rPr>
              <w:t>mg/L</w:t>
            </w:r>
            <w:r>
              <w:rPr>
                <w:rFonts w:hint="default" w:ascii="Times New Roman" w:hAnsi="Times New Roman" w:eastAsia="黑体" w:cs="Times New Roman"/>
                <w:b w:val="0"/>
                <w:bCs w:val="0"/>
                <w:color w:val="auto"/>
                <w:sz w:val="24"/>
                <w:szCs w:val="24"/>
                <w:lang w:val="en-US" w:eastAsia="zh-CN"/>
              </w:rPr>
              <w:t>(</w:t>
            </w:r>
            <w:r>
              <w:rPr>
                <w:rFonts w:hint="default" w:ascii="Times New Roman" w:hAnsi="Times New Roman" w:eastAsia="黑体" w:cs="Times New Roman"/>
                <w:b w:val="0"/>
                <w:bCs w:val="0"/>
                <w:color w:val="auto"/>
                <w:sz w:val="24"/>
                <w:szCs w:val="24"/>
              </w:rPr>
              <w:t>pH除外)</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49"/>
              <w:gridCol w:w="2107"/>
              <w:gridCol w:w="2377"/>
              <w:gridCol w:w="2647"/>
            </w:tblGrid>
            <w:tr w14:paraId="08AEA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5A3B213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72" w:type="pct"/>
                  <w:noWrap w:val="0"/>
                  <w:vAlign w:val="center"/>
                </w:tcPr>
                <w:p w14:paraId="1FCA24E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  目</w:t>
                  </w:r>
                </w:p>
              </w:tc>
              <w:tc>
                <w:tcPr>
                  <w:tcW w:w="1435" w:type="pct"/>
                  <w:noWrap w:val="0"/>
                  <w:vAlign w:val="center"/>
                </w:tcPr>
                <w:p w14:paraId="3853DCB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第二类标准</w:t>
                  </w:r>
                </w:p>
              </w:tc>
              <w:tc>
                <w:tcPr>
                  <w:tcW w:w="1598" w:type="pct"/>
                  <w:noWrap w:val="0"/>
                  <w:vAlign w:val="center"/>
                </w:tcPr>
                <w:p w14:paraId="5FAE0B3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第三类标准</w:t>
                  </w:r>
                </w:p>
              </w:tc>
            </w:tr>
            <w:tr w14:paraId="1FBEF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117862E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72" w:type="pct"/>
                  <w:noWrap w:val="0"/>
                  <w:vAlign w:val="center"/>
                </w:tcPr>
                <w:p w14:paraId="60860ED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1435" w:type="pct"/>
                  <w:noWrap w:val="0"/>
                  <w:vAlign w:val="center"/>
                </w:tcPr>
                <w:p w14:paraId="5B3FFD9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7.5~8.5</w:t>
                  </w:r>
                </w:p>
              </w:tc>
              <w:tc>
                <w:tcPr>
                  <w:tcW w:w="1598" w:type="pct"/>
                  <w:noWrap w:val="0"/>
                  <w:vAlign w:val="center"/>
                </w:tcPr>
                <w:p w14:paraId="18DBC44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6.8~8.8</w:t>
                  </w:r>
                </w:p>
              </w:tc>
            </w:tr>
            <w:tr w14:paraId="1DBD4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1A3D29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72" w:type="pct"/>
                  <w:noWrap w:val="0"/>
                  <w:vAlign w:val="center"/>
                </w:tcPr>
                <w:p w14:paraId="5C36302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435" w:type="pct"/>
                  <w:noWrap w:val="0"/>
                  <w:vAlign w:val="center"/>
                </w:tcPr>
                <w:p w14:paraId="5358D2C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598" w:type="pct"/>
                  <w:noWrap w:val="0"/>
                  <w:vAlign w:val="center"/>
                </w:tcPr>
                <w:p w14:paraId="4E31634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14:paraId="661DE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440B0A7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72" w:type="pct"/>
                  <w:noWrap w:val="0"/>
                  <w:vAlign w:val="center"/>
                </w:tcPr>
                <w:p w14:paraId="371EEF0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DO≥</w:t>
                  </w:r>
                </w:p>
              </w:tc>
              <w:tc>
                <w:tcPr>
                  <w:tcW w:w="1435" w:type="pct"/>
                  <w:noWrap w:val="0"/>
                  <w:vAlign w:val="center"/>
                </w:tcPr>
                <w:p w14:paraId="68702EA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598" w:type="pct"/>
                  <w:noWrap w:val="0"/>
                  <w:vAlign w:val="center"/>
                </w:tcPr>
                <w:p w14:paraId="4B63351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14:paraId="4EC32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572F553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72" w:type="pct"/>
                  <w:noWrap w:val="0"/>
                  <w:vAlign w:val="center"/>
                </w:tcPr>
                <w:p w14:paraId="397C19B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w:t>
                  </w:r>
                </w:p>
              </w:tc>
              <w:tc>
                <w:tcPr>
                  <w:tcW w:w="1435" w:type="pct"/>
                  <w:noWrap w:val="0"/>
                  <w:vAlign w:val="center"/>
                </w:tcPr>
                <w:p w14:paraId="54B1302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598" w:type="pct"/>
                  <w:noWrap w:val="0"/>
                  <w:vAlign w:val="center"/>
                </w:tcPr>
                <w:p w14:paraId="276D8B7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14:paraId="28A95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1DEBCF9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72" w:type="pct"/>
                  <w:noWrap w:val="0"/>
                  <w:vAlign w:val="center"/>
                </w:tcPr>
                <w:p w14:paraId="5F4C358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435" w:type="pct"/>
                  <w:noWrap w:val="0"/>
                  <w:vAlign w:val="center"/>
                </w:tcPr>
                <w:p w14:paraId="275ED91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人为增加量≤10</w:t>
                  </w:r>
                </w:p>
              </w:tc>
              <w:tc>
                <w:tcPr>
                  <w:tcW w:w="1598" w:type="pct"/>
                  <w:noWrap w:val="0"/>
                  <w:vAlign w:val="center"/>
                </w:tcPr>
                <w:p w14:paraId="7909C33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人为增加量≤100</w:t>
                  </w:r>
                </w:p>
              </w:tc>
            </w:tr>
            <w:tr w14:paraId="6699E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3279097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72" w:type="pct"/>
                  <w:noWrap w:val="0"/>
                  <w:vAlign w:val="center"/>
                </w:tcPr>
                <w:p w14:paraId="229F3CF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无机氮≤</w:t>
                  </w:r>
                </w:p>
              </w:tc>
              <w:tc>
                <w:tcPr>
                  <w:tcW w:w="1435" w:type="pct"/>
                  <w:noWrap w:val="0"/>
                  <w:vAlign w:val="center"/>
                </w:tcPr>
                <w:p w14:paraId="4248889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c>
                <w:tcPr>
                  <w:tcW w:w="1598" w:type="pct"/>
                  <w:noWrap w:val="0"/>
                  <w:vAlign w:val="center"/>
                </w:tcPr>
                <w:p w14:paraId="68E3AB9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0.40</w:t>
                  </w:r>
                </w:p>
              </w:tc>
            </w:tr>
            <w:tr w14:paraId="00FBA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325D136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272" w:type="pct"/>
                  <w:noWrap w:val="0"/>
                  <w:vAlign w:val="center"/>
                </w:tcPr>
                <w:p w14:paraId="699C0E3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活性磷酸盐≤</w:t>
                  </w:r>
                </w:p>
              </w:tc>
              <w:tc>
                <w:tcPr>
                  <w:tcW w:w="3033" w:type="pct"/>
                  <w:gridSpan w:val="2"/>
                  <w:noWrap w:val="0"/>
                  <w:vAlign w:val="center"/>
                </w:tcPr>
                <w:p w14:paraId="6229467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w:t>
                  </w:r>
                </w:p>
              </w:tc>
            </w:tr>
            <w:tr w14:paraId="79437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11DB327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272" w:type="pct"/>
                  <w:noWrap w:val="0"/>
                  <w:vAlign w:val="center"/>
                </w:tcPr>
                <w:p w14:paraId="3AA7A97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435" w:type="pct"/>
                  <w:noWrap w:val="0"/>
                  <w:vAlign w:val="center"/>
                </w:tcPr>
                <w:p w14:paraId="3FDD344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598" w:type="pct"/>
                  <w:noWrap w:val="0"/>
                  <w:vAlign w:val="center"/>
                </w:tcPr>
                <w:p w14:paraId="690FBC3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r>
            <w:tr w14:paraId="36333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637948C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272" w:type="pct"/>
                  <w:noWrap w:val="0"/>
                  <w:vAlign w:val="center"/>
                </w:tcPr>
                <w:p w14:paraId="487D9F3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3033" w:type="pct"/>
                  <w:gridSpan w:val="2"/>
                  <w:noWrap w:val="0"/>
                  <w:vAlign w:val="center"/>
                </w:tcPr>
                <w:p w14:paraId="3C16602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r>
            <w:tr w14:paraId="2C10F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3A85D02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72" w:type="pct"/>
                  <w:noWrap w:val="0"/>
                  <w:vAlign w:val="center"/>
                </w:tcPr>
                <w:p w14:paraId="4FC7F00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总铬≤</w:t>
                  </w:r>
                </w:p>
              </w:tc>
              <w:tc>
                <w:tcPr>
                  <w:tcW w:w="1435" w:type="pct"/>
                  <w:noWrap w:val="0"/>
                  <w:vAlign w:val="center"/>
                </w:tcPr>
                <w:p w14:paraId="1293DC2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1598" w:type="pct"/>
                  <w:noWrap w:val="0"/>
                  <w:vAlign w:val="center"/>
                </w:tcPr>
                <w:p w14:paraId="209C679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r>
          </w:tbl>
          <w:p w14:paraId="40B6BF2C">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3.2.</w:t>
            </w:r>
            <w:r>
              <w:rPr>
                <w:rFonts w:hint="default" w:ascii="Times New Roman" w:hAnsi="Times New Roman" w:eastAsia="宋体" w:cs="Times New Roman"/>
                <w:b/>
                <w:bCs/>
                <w:color w:val="auto"/>
                <w:kern w:val="0"/>
                <w:sz w:val="24"/>
                <w:lang w:val="en-US" w:eastAsia="zh-CN"/>
              </w:rPr>
              <w:t xml:space="preserve">2 </w:t>
            </w:r>
            <w:r>
              <w:rPr>
                <w:rFonts w:hint="default" w:ascii="Times New Roman" w:hAnsi="Times New Roman" w:eastAsia="宋体" w:cs="Times New Roman"/>
                <w:b/>
                <w:bCs/>
                <w:color w:val="auto"/>
                <w:kern w:val="0"/>
                <w:sz w:val="24"/>
              </w:rPr>
              <w:t>地表水环境质量现状</w:t>
            </w:r>
          </w:p>
          <w:p w14:paraId="0472F94F">
            <w:pPr>
              <w:pStyle w:val="48"/>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(1)地表水水质现状调查</w:t>
            </w:r>
          </w:p>
          <w:p w14:paraId="3F3ED59F">
            <w:pPr>
              <w:pStyle w:val="48"/>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根据福建省生态环境厅网站发布的2025年夏季福建省近岸海域235个国省控监测数据(https://sthjt.fujian.gov.cn/zwgk/sjfb/hjsj/jahysz_1/202510/t20251010_7019</w:t>
            </w:r>
          </w:p>
          <w:p w14:paraId="332F7BAF">
            <w:pPr>
              <w:pStyle w:val="48"/>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217.htm，见附图10)，项目南侧兴化湾FJD01024国控点位水质达二类标准。</w:t>
            </w:r>
          </w:p>
          <w:p w14:paraId="4FDF29C3">
            <w:pPr>
              <w:pStyle w:val="48"/>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firstLine="480" w:firstLineChars="200"/>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2)引用资料的有效性分析</w:t>
            </w:r>
          </w:p>
          <w:p w14:paraId="738E78E9">
            <w:pPr>
              <w:pStyle w:val="94"/>
              <w:keepNext w:val="0"/>
              <w:keepLines w:val="0"/>
              <w:pageBreakBefore w:val="0"/>
              <w:widowControl w:val="0"/>
              <w:kinsoku/>
              <w:wordWrap/>
              <w:overflowPunct/>
              <w:topLinePunct w:val="0"/>
              <w:bidi w:val="0"/>
              <w:snapToGrid/>
              <w:spacing w:line="360" w:lineRule="auto"/>
              <w:ind w:left="0" w:leftChars="0"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szCs w:val="22"/>
                <w:lang w:eastAsia="zh-CN"/>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w:t>
            </w:r>
            <w:r>
              <w:rPr>
                <w:rFonts w:hint="default" w:ascii="Times New Roman" w:hAnsi="Times New Roman" w:eastAsia="宋体" w:cs="Times New Roman"/>
                <w:color w:val="auto"/>
                <w:sz w:val="24"/>
                <w:szCs w:val="22"/>
                <w:highlight w:val="none"/>
                <w:lang w:eastAsia="zh-CN"/>
              </w:rPr>
              <w:t>监测数据，生态环境主管部门发布的水环境质量数据或地表水达标情况的结论”</w:t>
            </w:r>
            <w:r>
              <w:rPr>
                <w:rFonts w:hint="default" w:ascii="Times New Roman" w:hAnsi="Times New Roman" w:eastAsia="宋体" w:cs="Times New Roman"/>
                <w:color w:val="auto"/>
                <w:sz w:val="24"/>
                <w:highlight w:val="none"/>
              </w:rPr>
              <w:t>本</w:t>
            </w:r>
            <w:r>
              <w:rPr>
                <w:rFonts w:hint="default" w:ascii="Times New Roman" w:hAnsi="Times New Roman" w:cs="Times New Roman"/>
                <w:color w:val="auto"/>
                <w:sz w:val="24"/>
                <w:highlight w:val="none"/>
                <w:lang w:eastAsia="zh-CN"/>
              </w:rPr>
              <w:t>次</w:t>
            </w:r>
            <w:r>
              <w:rPr>
                <w:rFonts w:hint="default" w:ascii="Times New Roman" w:hAnsi="Times New Roman" w:eastAsia="宋体" w:cs="Times New Roman"/>
                <w:color w:val="auto"/>
                <w:sz w:val="24"/>
                <w:highlight w:val="none"/>
              </w:rPr>
              <w:t>评价选取福建省生态环境厅网站发布海水水质</w:t>
            </w:r>
            <w:r>
              <w:rPr>
                <w:rFonts w:hint="default" w:ascii="Times New Roman" w:hAnsi="Times New Roman" w:eastAsia="宋体" w:cs="Times New Roman"/>
                <w:color w:val="auto"/>
                <w:sz w:val="24"/>
                <w:highlight w:val="none"/>
                <w:lang w:eastAsia="zh-CN"/>
              </w:rPr>
              <w:t>监测</w:t>
            </w:r>
            <w:r>
              <w:rPr>
                <w:rFonts w:hint="default" w:ascii="Times New Roman" w:hAnsi="Times New Roman" w:eastAsia="宋体" w:cs="Times New Roman"/>
                <w:color w:val="auto"/>
                <w:sz w:val="24"/>
                <w:highlight w:val="none"/>
              </w:rPr>
              <w:t>信息，符合《建设项目环境影响报告表编制技术指南(污染影响类)(试行)》(环办环评〔2020〕33号)的要求。</w:t>
            </w:r>
          </w:p>
          <w:p w14:paraId="5E663485">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3.3声环境质量现状</w:t>
            </w:r>
          </w:p>
          <w:p w14:paraId="207E1DA7">
            <w:pPr>
              <w:adjustRightInd w:val="0"/>
              <w:snapToGrid w:val="0"/>
              <w:spacing w:line="360" w:lineRule="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3.3.1声环境功能区</w:t>
            </w:r>
          </w:p>
          <w:p w14:paraId="79E99E6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根据《闽台</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福州</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蓝色经济产业园总体规划环境影响报告书》的声环境功能区划，</w:t>
            </w:r>
            <w:r>
              <w:rPr>
                <w:rFonts w:hint="default" w:ascii="Times New Roman" w:hAnsi="Times New Roman" w:eastAsia="宋体" w:cs="Times New Roman"/>
                <w:color w:val="auto"/>
                <w:sz w:val="24"/>
                <w:lang w:val="en-US" w:eastAsia="zh-CN"/>
              </w:rPr>
              <w:t>项目</w:t>
            </w:r>
            <w:r>
              <w:rPr>
                <w:rFonts w:hint="default" w:ascii="Times New Roman" w:hAnsi="Times New Roman" w:eastAsia="宋体" w:cs="Times New Roman"/>
                <w:color w:val="auto"/>
                <w:sz w:val="24"/>
              </w:rPr>
              <w:t>所在区域噪声执行《声环境质量标准》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GB3096-2008</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3类区标准，详见表3.</w:t>
            </w:r>
            <w:r>
              <w:rPr>
                <w:rFonts w:hint="default" w:ascii="Times New Roman" w:hAnsi="Times New Roman" w:eastAsia="宋体" w:cs="Times New Roman"/>
                <w:color w:val="auto"/>
                <w:sz w:val="24"/>
                <w:lang w:val="en-US" w:eastAsia="zh-CN"/>
              </w:rPr>
              <w:t>3-1</w:t>
            </w:r>
            <w:r>
              <w:rPr>
                <w:rFonts w:hint="default" w:ascii="Times New Roman" w:hAnsi="Times New Roman" w:eastAsia="宋体" w:cs="Times New Roman"/>
                <w:color w:val="auto"/>
                <w:sz w:val="24"/>
              </w:rPr>
              <w:t>。</w:t>
            </w:r>
          </w:p>
          <w:p w14:paraId="60DD4063">
            <w:pPr>
              <w:adjustRightInd w:val="0"/>
              <w:snapToGrid w:val="0"/>
              <w:spacing w:before="120" w:beforeLines="50"/>
              <w:jc w:val="center"/>
              <w:rPr>
                <w:rFonts w:hint="default" w:ascii="Times New Roman" w:hAnsi="Times New Roman" w:eastAsia="宋体" w:cs="Times New Roman"/>
                <w:color w:val="auto"/>
                <w:sz w:val="24"/>
              </w:rPr>
            </w:pPr>
            <w:r>
              <w:rPr>
                <w:rFonts w:hint="default" w:ascii="Times New Roman" w:hAnsi="Times New Roman" w:eastAsia="黑体" w:cs="Times New Roman"/>
                <w:color w:val="auto"/>
                <w:sz w:val="24"/>
              </w:rPr>
              <w:t>表3.</w:t>
            </w:r>
            <w:r>
              <w:rPr>
                <w:rFonts w:hint="default" w:ascii="Times New Roman" w:hAnsi="Times New Roman" w:eastAsia="黑体" w:cs="Times New Roman"/>
                <w:color w:val="auto"/>
                <w:sz w:val="24"/>
                <w:lang w:val="en-US" w:eastAsia="zh-CN"/>
              </w:rPr>
              <w:t>3-1</w:t>
            </w:r>
            <w:r>
              <w:rPr>
                <w:rFonts w:hint="default" w:ascii="Times New Roman" w:hAnsi="Times New Roman" w:eastAsia="黑体" w:cs="Times New Roman"/>
                <w:color w:val="auto"/>
                <w:sz w:val="24"/>
              </w:rPr>
              <w:t xml:space="preserve">  《声环境质量</w:t>
            </w:r>
            <w:r>
              <w:rPr>
                <w:rFonts w:hint="default" w:ascii="Times New Roman" w:hAnsi="Times New Roman" w:eastAsia="黑体" w:cs="Times New Roman"/>
                <w:color w:val="auto"/>
                <w:sz w:val="24"/>
              </w:rPr>
              <w:tab/>
            </w:r>
            <w:r>
              <w:rPr>
                <w:rFonts w:hint="default" w:ascii="Times New Roman" w:hAnsi="Times New Roman" w:eastAsia="黑体" w:cs="Times New Roman"/>
                <w:color w:val="auto"/>
                <w:sz w:val="24"/>
              </w:rPr>
              <w:t>标准》(GB3096-2008)(摘录)</w:t>
            </w:r>
          </w:p>
          <w:tbl>
            <w:tblPr>
              <w:tblStyle w:val="28"/>
              <w:tblW w:w="81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4575"/>
              <w:gridCol w:w="1178"/>
              <w:gridCol w:w="1179"/>
            </w:tblGrid>
            <w:tr w14:paraId="705B1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5" w:type="dxa"/>
                  <w:tcBorders>
                    <w:tl2br w:val="nil"/>
                    <w:tr2bl w:val="nil"/>
                  </w:tcBorders>
                  <w:noWrap w:val="0"/>
                  <w:vAlign w:val="center"/>
                </w:tcPr>
                <w:p w14:paraId="107C4A92">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auto"/>
                      <w:sz w:val="24"/>
                      <w:vertAlign w:val="baseline"/>
                    </w:rPr>
                  </w:pPr>
                  <w:r>
                    <w:rPr>
                      <w:rFonts w:hint="default" w:ascii="Times New Roman" w:hAnsi="Times New Roman" w:eastAsia="宋体" w:cs="Times New Roman"/>
                      <w:color w:val="auto"/>
                      <w:sz w:val="21"/>
                      <w:szCs w:val="21"/>
                    </w:rPr>
                    <w:t>标准类别</w:t>
                  </w:r>
                </w:p>
              </w:tc>
              <w:tc>
                <w:tcPr>
                  <w:tcW w:w="4575" w:type="dxa"/>
                  <w:tcBorders>
                    <w:tl2br w:val="nil"/>
                    <w:tr2bl w:val="nil"/>
                  </w:tcBorders>
                  <w:noWrap w:val="0"/>
                  <w:vAlign w:val="center"/>
                </w:tcPr>
                <w:p w14:paraId="0665B3B9">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auto"/>
                      <w:sz w:val="24"/>
                      <w:vertAlign w:val="baseline"/>
                    </w:rPr>
                  </w:pPr>
                  <w:r>
                    <w:rPr>
                      <w:rFonts w:hint="default" w:ascii="Times New Roman" w:hAnsi="Times New Roman" w:eastAsia="宋体" w:cs="Times New Roman"/>
                      <w:color w:val="auto"/>
                      <w:sz w:val="21"/>
                      <w:szCs w:val="21"/>
                    </w:rPr>
                    <w:t>适用区域</w:t>
                  </w:r>
                </w:p>
              </w:tc>
              <w:tc>
                <w:tcPr>
                  <w:tcW w:w="2357" w:type="dxa"/>
                  <w:gridSpan w:val="2"/>
                  <w:tcBorders>
                    <w:tl2br w:val="nil"/>
                    <w:tr2bl w:val="nil"/>
                  </w:tcBorders>
                  <w:noWrap w:val="0"/>
                  <w:vAlign w:val="center"/>
                </w:tcPr>
                <w:p w14:paraId="3DEBB30E">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auto"/>
                      <w:sz w:val="24"/>
                      <w:vertAlign w:val="baseline"/>
                    </w:rPr>
                  </w:pPr>
                  <w:r>
                    <w:rPr>
                      <w:rFonts w:hint="default" w:ascii="Times New Roman" w:hAnsi="Times New Roman" w:eastAsia="宋体" w:cs="Times New Roman"/>
                      <w:color w:val="auto"/>
                      <w:sz w:val="21"/>
                      <w:szCs w:val="21"/>
                    </w:rPr>
                    <w:t>等效声级Leq(dB(A))</w:t>
                  </w:r>
                </w:p>
              </w:tc>
            </w:tr>
            <w:tr w14:paraId="09C4C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5" w:type="dxa"/>
                  <w:vMerge w:val="restart"/>
                  <w:tcBorders>
                    <w:tl2br w:val="nil"/>
                    <w:tr2bl w:val="nil"/>
                  </w:tcBorders>
                  <w:noWrap w:val="0"/>
                  <w:vAlign w:val="center"/>
                </w:tcPr>
                <w:p w14:paraId="1F58EEDD">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auto"/>
                      <w:sz w:val="24"/>
                      <w:vertAlign w:val="baseline"/>
                    </w:rPr>
                  </w:pPr>
                  <w:r>
                    <w:rPr>
                      <w:rFonts w:hint="default" w:ascii="Times New Roman" w:hAnsi="Times New Roman" w:eastAsia="宋体" w:cs="Times New Roman"/>
                      <w:color w:val="auto"/>
                      <w:sz w:val="21"/>
                      <w:szCs w:val="21"/>
                    </w:rPr>
                    <w:t>3</w:t>
                  </w:r>
                </w:p>
              </w:tc>
              <w:tc>
                <w:tcPr>
                  <w:tcW w:w="4575" w:type="dxa"/>
                  <w:vMerge w:val="restart"/>
                  <w:tcBorders>
                    <w:tl2br w:val="nil"/>
                    <w:tr2bl w:val="nil"/>
                  </w:tcBorders>
                  <w:noWrap w:val="0"/>
                  <w:vAlign w:val="center"/>
                </w:tcPr>
                <w:p w14:paraId="676F4818">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auto"/>
                      <w:sz w:val="24"/>
                      <w:vertAlign w:val="baseline"/>
                    </w:rPr>
                  </w:pPr>
                  <w:r>
                    <w:rPr>
                      <w:rFonts w:hint="default" w:ascii="Times New Roman" w:hAnsi="Times New Roman" w:eastAsia="宋体" w:cs="Times New Roman"/>
                      <w:color w:val="auto"/>
                      <w:sz w:val="21"/>
                      <w:szCs w:val="21"/>
                    </w:rPr>
                    <w:t>工业生产、仓储物流为主要功能，需要防止工业噪声对周围环境产生严重影响的区域</w:t>
                  </w:r>
                </w:p>
              </w:tc>
              <w:tc>
                <w:tcPr>
                  <w:tcW w:w="1178" w:type="dxa"/>
                  <w:tcBorders>
                    <w:tl2br w:val="nil"/>
                    <w:tr2bl w:val="nil"/>
                  </w:tcBorders>
                  <w:noWrap w:val="0"/>
                  <w:vAlign w:val="center"/>
                </w:tcPr>
                <w:p w14:paraId="4FB3EC08">
                  <w:pPr>
                    <w:pStyle w:val="90"/>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sz w:val="21"/>
                      <w:szCs w:val="21"/>
                    </w:rPr>
                    <w:t>昼间</w:t>
                  </w:r>
                </w:p>
              </w:tc>
              <w:tc>
                <w:tcPr>
                  <w:tcW w:w="1179" w:type="dxa"/>
                  <w:tcBorders>
                    <w:tl2br w:val="nil"/>
                    <w:tr2bl w:val="nil"/>
                  </w:tcBorders>
                  <w:noWrap w:val="0"/>
                  <w:vAlign w:val="center"/>
                </w:tcPr>
                <w:p w14:paraId="39AA94E0">
                  <w:pPr>
                    <w:pStyle w:val="90"/>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sz w:val="21"/>
                      <w:szCs w:val="21"/>
                    </w:rPr>
                    <w:t>夜间</w:t>
                  </w:r>
                </w:p>
              </w:tc>
            </w:tr>
            <w:tr w14:paraId="0781A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5" w:type="dxa"/>
                  <w:vMerge w:val="continue"/>
                  <w:tcBorders>
                    <w:tl2br w:val="nil"/>
                    <w:tr2bl w:val="nil"/>
                  </w:tcBorders>
                  <w:noWrap w:val="0"/>
                  <w:vAlign w:val="center"/>
                </w:tcPr>
                <w:p w14:paraId="7AAECBAC">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auto"/>
                      <w:sz w:val="24"/>
                      <w:vertAlign w:val="baseline"/>
                    </w:rPr>
                  </w:pPr>
                </w:p>
              </w:tc>
              <w:tc>
                <w:tcPr>
                  <w:tcW w:w="4575" w:type="dxa"/>
                  <w:vMerge w:val="continue"/>
                  <w:tcBorders>
                    <w:tl2br w:val="nil"/>
                    <w:tr2bl w:val="nil"/>
                  </w:tcBorders>
                  <w:noWrap w:val="0"/>
                  <w:vAlign w:val="center"/>
                </w:tcPr>
                <w:p w14:paraId="659FCA8B">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auto"/>
                      <w:sz w:val="24"/>
                      <w:vertAlign w:val="baseline"/>
                    </w:rPr>
                  </w:pPr>
                </w:p>
              </w:tc>
              <w:tc>
                <w:tcPr>
                  <w:tcW w:w="1178" w:type="dxa"/>
                  <w:tcBorders>
                    <w:tl2br w:val="nil"/>
                    <w:tr2bl w:val="nil"/>
                  </w:tcBorders>
                  <w:noWrap w:val="0"/>
                  <w:vAlign w:val="center"/>
                </w:tcPr>
                <w:p w14:paraId="59DEAA83">
                  <w:pPr>
                    <w:pStyle w:val="90"/>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sz w:val="21"/>
                      <w:szCs w:val="21"/>
                    </w:rPr>
                    <w:t>≤65</w:t>
                  </w:r>
                </w:p>
              </w:tc>
              <w:tc>
                <w:tcPr>
                  <w:tcW w:w="1179" w:type="dxa"/>
                  <w:tcBorders>
                    <w:tl2br w:val="nil"/>
                    <w:tr2bl w:val="nil"/>
                  </w:tcBorders>
                  <w:noWrap w:val="0"/>
                  <w:vAlign w:val="center"/>
                </w:tcPr>
                <w:p w14:paraId="70F1079E">
                  <w:pPr>
                    <w:pStyle w:val="90"/>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sz w:val="21"/>
                      <w:szCs w:val="21"/>
                    </w:rPr>
                    <w:t>≤55</w:t>
                  </w:r>
                </w:p>
              </w:tc>
            </w:tr>
          </w:tbl>
          <w:p w14:paraId="731D396F">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3.3.2声环境质量现状</w:t>
            </w:r>
          </w:p>
          <w:p w14:paraId="05B98735">
            <w:pPr>
              <w:pStyle w:val="12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建设项目环境影响报告表编制技术指南(污染影响类)(试行)》(环办环评〔2020〕33号)中要求：“厂界外周边50米范围内存在声环境保护目标的建设项目，应监测保护目标声环境质量现状并评价达标情况。各点位应监测昼夜间噪声，监测时间不少于1天，项目夜间不生产则仅监测昼间噪声”。</w:t>
            </w:r>
          </w:p>
          <w:p w14:paraId="2ADAB03E">
            <w:pPr>
              <w:pStyle w:val="48"/>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根据全国环评技术评估服务咨询平台公开端的回复“按照《声环境质量标准》（GB3096-2008）和《工业企业厂界环境噪声排放标准》（GB 12348—2008），敏感建筑物指医院、学校、机关、科研单位、住宅等需要保持安静的建筑物。工业园区以生产为主，园区内建筑一般不属于噪声敏感建筑物。……工业园区内的非工业用途的……建筑是否可以作为敏感建筑物，需结合工业园区关于该建筑物最新的规划与用途以及当地管理部门的声环境管理要求判断，如无相关的依据，一般不判断为噪声敏感建筑物。”因此，项目南侧为园区配套的办公楼（详见附件七厂区总平面图），不属于噪声敏感建筑物。</w:t>
            </w:r>
          </w:p>
          <w:p w14:paraId="60157026">
            <w:pPr>
              <w:pStyle w:val="48"/>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本项目周边50m范围内无声环境保护目标，因此本项目无需提供声环境质量现状监测数据。</w:t>
            </w:r>
          </w:p>
          <w:p w14:paraId="0E2EA8BC">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3.</w:t>
            </w:r>
            <w:r>
              <w:rPr>
                <w:rFonts w:hint="default" w:ascii="Times New Roman" w:hAnsi="Times New Roman" w:eastAsia="宋体" w:cs="Times New Roman"/>
                <w:b/>
                <w:bCs w:val="0"/>
                <w:color w:val="auto"/>
                <w:sz w:val="28"/>
                <w:szCs w:val="28"/>
                <w:lang w:val="en-US" w:eastAsia="zh-CN"/>
              </w:rPr>
              <w:t>4</w:t>
            </w:r>
            <w:r>
              <w:rPr>
                <w:rFonts w:hint="default" w:ascii="Times New Roman" w:hAnsi="Times New Roman" w:eastAsia="宋体" w:cs="Times New Roman"/>
                <w:b/>
                <w:bCs w:val="0"/>
                <w:color w:val="auto"/>
                <w:sz w:val="28"/>
                <w:szCs w:val="28"/>
              </w:rPr>
              <w:t xml:space="preserve"> 生态环境现状调查</w:t>
            </w:r>
          </w:p>
          <w:p w14:paraId="5A30B14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color w:val="auto"/>
                <w:sz w:val="24"/>
                <w:szCs w:val="22"/>
                <w:highlight w:val="none"/>
                <w:lang w:val="zh-CN"/>
              </w:rPr>
            </w:pPr>
            <w:r>
              <w:rPr>
                <w:rFonts w:hint="default" w:ascii="Times New Roman" w:hAnsi="Times New Roman" w:eastAsia="宋体" w:cs="Times New Roman"/>
                <w:color w:val="auto"/>
                <w:sz w:val="24"/>
                <w:lang w:eastAsia="zh-CN"/>
              </w:rPr>
              <w:t>根据现场勘查，</w:t>
            </w:r>
            <w:r>
              <w:rPr>
                <w:rFonts w:hint="default" w:ascii="Times New Roman" w:hAnsi="Times New Roman" w:eastAsia="宋体" w:cs="Times New Roman"/>
                <w:color w:val="auto"/>
                <w:kern w:val="0"/>
                <w:sz w:val="24"/>
                <w:szCs w:val="24"/>
                <w:lang w:eastAsia="zh-CN"/>
              </w:rPr>
              <w:t>目前厂房已经建设完成，</w:t>
            </w:r>
            <w:r>
              <w:rPr>
                <w:rFonts w:hint="default" w:ascii="Times New Roman" w:hAnsi="Times New Roman" w:eastAsia="宋体" w:cs="Times New Roman"/>
                <w:color w:val="auto"/>
                <w:sz w:val="24"/>
                <w:lang w:val="zh-CN"/>
              </w:rPr>
              <w:t>项目用地</w:t>
            </w:r>
            <w:r>
              <w:rPr>
                <w:rFonts w:hint="default" w:ascii="Times New Roman" w:hAnsi="Times New Roman" w:eastAsia="宋体" w:cs="Times New Roman"/>
                <w:color w:val="auto"/>
                <w:sz w:val="24"/>
                <w:szCs w:val="22"/>
                <w:lang w:val="zh-CN"/>
              </w:rPr>
              <w:t>周边为城市道路、其他企业及居住用地</w:t>
            </w:r>
            <w:r>
              <w:rPr>
                <w:rFonts w:hint="default" w:ascii="Times New Roman" w:hAnsi="Times New Roman" w:eastAsia="宋体" w:cs="Times New Roman"/>
                <w:color w:val="auto"/>
                <w:sz w:val="24"/>
                <w:szCs w:val="22"/>
                <w:lang w:val="zh-CN" w:eastAsia="zh-CN"/>
              </w:rPr>
              <w:t>等，</w:t>
            </w:r>
            <w:r>
              <w:rPr>
                <w:rFonts w:hint="default" w:ascii="Times New Roman" w:hAnsi="Times New Roman" w:eastAsia="宋体" w:cs="Times New Roman"/>
                <w:color w:val="auto"/>
                <w:sz w:val="24"/>
                <w:szCs w:val="22"/>
                <w:lang w:val="zh-CN"/>
              </w:rPr>
              <w:t>项目评价区域主要植被为草坪、行道树等景观树种</w:t>
            </w:r>
            <w:r>
              <w:rPr>
                <w:rFonts w:hint="default" w:ascii="Times New Roman" w:hAnsi="Times New Roman" w:eastAsia="宋体" w:cs="Times New Roman"/>
                <w:color w:val="auto"/>
                <w:sz w:val="24"/>
                <w:szCs w:val="22"/>
                <w:lang w:val="zh-CN" w:eastAsia="zh-CN"/>
              </w:rPr>
              <w:t>，</w:t>
            </w:r>
            <w:r>
              <w:rPr>
                <w:rFonts w:hint="default" w:ascii="Times New Roman" w:hAnsi="Times New Roman" w:eastAsia="宋体" w:cs="Times New Roman"/>
                <w:color w:val="auto"/>
                <w:sz w:val="24"/>
                <w:szCs w:val="22"/>
                <w:lang w:val="zh-CN"/>
              </w:rPr>
              <w:t>主要动物为常见的蛙类、鸟类和昆虫类等，评价区域内无珍稀濒危物种、自然保护区、风景名胜区等生态敏感目标。调查区域也未发现国家重点保护的野生动植物等</w:t>
            </w:r>
            <w:r>
              <w:rPr>
                <w:rFonts w:hint="default" w:ascii="Times New Roman" w:hAnsi="Times New Roman" w:eastAsia="宋体" w:cs="Times New Roman"/>
                <w:color w:val="auto"/>
                <w:sz w:val="24"/>
                <w:szCs w:val="22"/>
                <w:lang w:val="zh-CN" w:eastAsia="zh-CN"/>
              </w:rPr>
              <w:t>，因此，</w:t>
            </w:r>
            <w:r>
              <w:rPr>
                <w:rFonts w:hint="default" w:ascii="Times New Roman" w:hAnsi="Times New Roman" w:eastAsia="宋体" w:cs="Times New Roman"/>
                <w:color w:val="auto"/>
                <w:sz w:val="24"/>
                <w:szCs w:val="22"/>
                <w:lang w:val="zh-CN"/>
              </w:rPr>
              <w:t>本环</w:t>
            </w:r>
            <w:r>
              <w:rPr>
                <w:rFonts w:hint="default" w:ascii="Times New Roman" w:hAnsi="Times New Roman" w:eastAsia="宋体" w:cs="Times New Roman"/>
                <w:color w:val="auto"/>
                <w:sz w:val="24"/>
                <w:szCs w:val="22"/>
                <w:highlight w:val="none"/>
                <w:lang w:val="zh-CN"/>
              </w:rPr>
              <w:t>评</w:t>
            </w:r>
            <w:r>
              <w:rPr>
                <w:rFonts w:hint="default" w:ascii="Times New Roman" w:hAnsi="Times New Roman" w:eastAsia="宋体" w:cs="Times New Roman"/>
                <w:color w:val="auto"/>
                <w:sz w:val="24"/>
                <w:szCs w:val="22"/>
                <w:highlight w:val="none"/>
                <w:lang w:val="zh-CN" w:eastAsia="zh-CN"/>
              </w:rPr>
              <w:t>不对</w:t>
            </w:r>
            <w:r>
              <w:rPr>
                <w:rFonts w:hint="default" w:ascii="Times New Roman" w:hAnsi="Times New Roman" w:eastAsia="宋体" w:cs="Times New Roman"/>
                <w:color w:val="auto"/>
                <w:sz w:val="24"/>
                <w:szCs w:val="22"/>
                <w:highlight w:val="none"/>
                <w:lang w:val="zh-CN"/>
              </w:rPr>
              <w:t>生态环境现状进行评价</w:t>
            </w:r>
            <w:r>
              <w:rPr>
                <w:rFonts w:hint="default" w:ascii="Times New Roman" w:hAnsi="Times New Roman" w:eastAsia="宋体" w:cs="Times New Roman"/>
                <w:color w:val="auto"/>
                <w:sz w:val="24"/>
                <w:highlight w:val="none"/>
                <w:lang w:eastAsia="zh-CN"/>
              </w:rPr>
              <w:t>。</w:t>
            </w:r>
          </w:p>
          <w:p w14:paraId="61F79379">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3.5</w:t>
            </w:r>
            <w:r>
              <w:rPr>
                <w:rFonts w:hint="default" w:ascii="Times New Roman" w:hAnsi="Times New Roman" w:eastAsia="宋体" w:cs="Times New Roman"/>
                <w:b/>
                <w:bCs w:val="0"/>
                <w:color w:val="auto"/>
                <w:sz w:val="28"/>
                <w:szCs w:val="28"/>
                <w:lang w:val="en-US" w:eastAsia="zh-CN"/>
              </w:rPr>
              <w:t xml:space="preserve"> </w:t>
            </w:r>
            <w:r>
              <w:rPr>
                <w:rFonts w:hint="default" w:ascii="Times New Roman" w:hAnsi="Times New Roman" w:eastAsia="宋体" w:cs="Times New Roman"/>
                <w:b/>
                <w:bCs w:val="0"/>
                <w:color w:val="auto"/>
                <w:sz w:val="28"/>
                <w:szCs w:val="28"/>
              </w:rPr>
              <w:t>地下水</w:t>
            </w:r>
            <w:r>
              <w:rPr>
                <w:rFonts w:hint="default" w:ascii="Times New Roman" w:hAnsi="Times New Roman" w:eastAsia="宋体" w:cs="Times New Roman"/>
                <w:b/>
                <w:bCs w:val="0"/>
                <w:color w:val="auto"/>
                <w:sz w:val="28"/>
                <w:szCs w:val="28"/>
                <w:lang w:eastAsia="zh-CN"/>
              </w:rPr>
              <w:t>、土壤</w:t>
            </w:r>
            <w:r>
              <w:rPr>
                <w:rFonts w:hint="default" w:ascii="Times New Roman" w:hAnsi="Times New Roman" w:eastAsia="宋体" w:cs="Times New Roman"/>
                <w:b/>
                <w:bCs w:val="0"/>
                <w:color w:val="auto"/>
                <w:sz w:val="28"/>
                <w:szCs w:val="28"/>
              </w:rPr>
              <w:t>环境质量现状</w:t>
            </w:r>
          </w:p>
          <w:p w14:paraId="1007D8C6">
            <w:pPr>
              <w:adjustRightInd w:val="0"/>
              <w:snapToGrid w:val="0"/>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根据《建设项目环境影响报告表编制技术指南</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污染影响类</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试行</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环办环评〔2020〕33号</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eastAsia="zh-CN"/>
              </w:rPr>
              <w:t>规定，“原则上不开展环境质量现状调查。建设项目存在土壤、地下水环境污染途径的，应结合污染源、保护目标分布情况开展现状调查以留作背景值。</w:t>
            </w:r>
          </w:p>
          <w:p w14:paraId="4E5A538A">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sz w:val="24"/>
                <w:szCs w:val="24"/>
                <w:highlight w:val="none"/>
                <w:lang w:val="en-US" w:eastAsia="zh-CN"/>
              </w:rPr>
              <w:t>项目位于闽台（福州）蓝色经济产业园（租赁</w:t>
            </w:r>
            <w:r>
              <w:rPr>
                <w:rFonts w:hint="default" w:ascii="Times New Roman" w:hAnsi="Times New Roman" w:cs="Times New Roman"/>
                <w:color w:val="auto"/>
                <w:spacing w:val="0"/>
                <w:sz w:val="24"/>
                <w:szCs w:val="24"/>
                <w:highlight w:val="none"/>
                <w:lang w:val="en-US" w:eastAsia="zh-CN"/>
              </w:rPr>
              <w:t>福州锦佳商贸有限公司B37栋厂房（二期）</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根据现场勘查，</w:t>
            </w:r>
            <w:r>
              <w:rPr>
                <w:rFonts w:hint="default" w:ascii="Times New Roman" w:hAnsi="Times New Roman" w:eastAsia="宋体" w:cs="Times New Roman"/>
                <w:color w:val="auto"/>
                <w:spacing w:val="0"/>
                <w:sz w:val="24"/>
                <w:szCs w:val="24"/>
                <w:highlight w:val="none"/>
                <w:lang w:eastAsia="zh-CN"/>
              </w:rPr>
              <w:t>周边以工业企业为主</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项目周边地下水、土壤环境相对不敏感，采取有效的防渗措施后，项目对地下水、土壤环境影响很小，基本不存在</w:t>
            </w:r>
            <w:r>
              <w:rPr>
                <w:rFonts w:hint="default" w:ascii="Times New Roman" w:hAnsi="Times New Roman" w:eastAsia="宋体" w:cs="Times New Roman"/>
                <w:color w:val="auto"/>
                <w:kern w:val="0"/>
                <w:sz w:val="24"/>
                <w:lang w:eastAsia="zh-CN"/>
              </w:rPr>
              <w:t>土壤、地下水环境污染途径，因此，</w:t>
            </w:r>
            <w:r>
              <w:rPr>
                <w:rFonts w:hint="default" w:ascii="Times New Roman" w:hAnsi="Times New Roman" w:eastAsia="宋体" w:cs="Times New Roman"/>
                <w:color w:val="auto"/>
                <w:sz w:val="24"/>
                <w:szCs w:val="24"/>
                <w:highlight w:val="none"/>
                <w:lang w:val="en-US" w:eastAsia="zh-CN"/>
              </w:rPr>
              <w:t>本评价不对项目地下水、土壤环境质量进行补充监测。</w:t>
            </w:r>
          </w:p>
        </w:tc>
      </w:tr>
      <w:tr w14:paraId="21BBFB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5" w:type="dxa"/>
            <w:noWrap w:val="0"/>
            <w:vAlign w:val="center"/>
          </w:tcPr>
          <w:p w14:paraId="1C2B99CB">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542BF28F">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保护</w:t>
            </w:r>
          </w:p>
          <w:p w14:paraId="5241008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目标</w:t>
            </w:r>
          </w:p>
        </w:tc>
        <w:tc>
          <w:tcPr>
            <w:tcW w:w="8496" w:type="dxa"/>
            <w:noWrap w:val="0"/>
            <w:vAlign w:val="center"/>
          </w:tcPr>
          <w:p w14:paraId="742465B1">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lang w:val="en-US" w:eastAsia="zh-CN"/>
              </w:rPr>
              <w:t xml:space="preserve">3.6 </w:t>
            </w:r>
            <w:r>
              <w:rPr>
                <w:rFonts w:hint="default" w:ascii="Times New Roman" w:hAnsi="Times New Roman" w:eastAsia="宋体" w:cs="Times New Roman"/>
                <w:b/>
                <w:bCs w:val="0"/>
                <w:color w:val="auto"/>
                <w:sz w:val="28"/>
                <w:szCs w:val="28"/>
              </w:rPr>
              <w:t>环境保护目标</w:t>
            </w:r>
          </w:p>
          <w:p w14:paraId="6F2026C3">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根据《建设项目环境影响报告表编制技术指南</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污染影响类</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试行</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环办环评〔2020〕33号</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要求以及对项目周边环境的调查，本项目</w:t>
            </w:r>
            <w:r>
              <w:rPr>
                <w:rFonts w:hint="default" w:ascii="Times New Roman" w:hAnsi="Times New Roman" w:eastAsia="宋体" w:cs="Times New Roman"/>
                <w:color w:val="auto"/>
                <w:kern w:val="0"/>
                <w:sz w:val="24"/>
                <w:lang w:val="en-US" w:eastAsia="zh-CN"/>
              </w:rPr>
              <w:t>大气环境(厂界外500m)、地表水环境、声环境(厂界外50m)</w:t>
            </w:r>
            <w:r>
              <w:rPr>
                <w:rFonts w:hint="default" w:ascii="Times New Roman" w:hAnsi="Times New Roman" w:eastAsia="宋体" w:cs="Times New Roman"/>
                <w:color w:val="auto"/>
                <w:kern w:val="0"/>
                <w:sz w:val="24"/>
              </w:rPr>
              <w:t>见表3.</w:t>
            </w:r>
            <w:r>
              <w:rPr>
                <w:rFonts w:hint="default" w:ascii="Times New Roman" w:hAnsi="Times New Roman" w:eastAsia="宋体" w:cs="Times New Roman"/>
                <w:color w:val="auto"/>
                <w:kern w:val="0"/>
                <w:sz w:val="24"/>
                <w:lang w:val="en-US" w:eastAsia="zh-CN"/>
              </w:rPr>
              <w:t>6-1</w:t>
            </w:r>
            <w:r>
              <w:rPr>
                <w:rFonts w:hint="default" w:ascii="Times New Roman" w:hAnsi="Times New Roman" w:eastAsia="宋体" w:cs="Times New Roman"/>
                <w:color w:val="auto"/>
                <w:kern w:val="0"/>
                <w:sz w:val="24"/>
              </w:rPr>
              <w:t>和附图</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w:t>
            </w:r>
          </w:p>
          <w:p w14:paraId="25FC2648">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b w:val="0"/>
                <w:bCs w:val="0"/>
                <w:color w:val="auto"/>
                <w:kern w:val="0"/>
                <w:sz w:val="24"/>
              </w:rPr>
            </w:pPr>
          </w:p>
          <w:p w14:paraId="02A2558E">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b w:val="0"/>
                <w:bCs w:val="0"/>
                <w:color w:val="auto"/>
                <w:kern w:val="0"/>
                <w:sz w:val="24"/>
              </w:rPr>
            </w:pPr>
          </w:p>
          <w:p w14:paraId="11F8207A">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b w:val="0"/>
                <w:bCs w:val="0"/>
                <w:color w:val="auto"/>
                <w:kern w:val="0"/>
                <w:sz w:val="24"/>
              </w:rPr>
            </w:pPr>
          </w:p>
          <w:p w14:paraId="0246D472">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b w:val="0"/>
                <w:bCs w:val="0"/>
                <w:color w:val="auto"/>
                <w:kern w:val="0"/>
                <w:sz w:val="24"/>
              </w:rPr>
            </w:pPr>
          </w:p>
          <w:p w14:paraId="6CD8EBF5">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宋体" w:cs="Times New Roman"/>
                <w:b w:val="0"/>
                <w:bCs w:val="0"/>
                <w:color w:val="auto"/>
                <w:kern w:val="0"/>
                <w:sz w:val="24"/>
              </w:rPr>
            </w:pPr>
            <w:r>
              <w:rPr>
                <w:rFonts w:hint="default" w:ascii="Times New Roman" w:hAnsi="Times New Roman" w:eastAsia="黑体" w:cs="Times New Roman"/>
                <w:b w:val="0"/>
                <w:bCs w:val="0"/>
                <w:color w:val="auto"/>
                <w:kern w:val="0"/>
                <w:sz w:val="24"/>
              </w:rPr>
              <w:t>表</w:t>
            </w:r>
            <w:r>
              <w:rPr>
                <w:rFonts w:hint="default" w:ascii="Times New Roman" w:hAnsi="Times New Roman" w:eastAsia="黑体" w:cs="Times New Roman"/>
                <w:b w:val="0"/>
                <w:bCs w:val="0"/>
                <w:color w:val="auto"/>
                <w:kern w:val="0"/>
                <w:sz w:val="24"/>
                <w:lang w:val="en-US" w:eastAsia="zh-CN"/>
              </w:rPr>
              <w:t xml:space="preserve">3.6-1 </w:t>
            </w:r>
            <w:r>
              <w:rPr>
                <w:rFonts w:hint="default" w:ascii="Times New Roman" w:hAnsi="Times New Roman" w:eastAsia="黑体" w:cs="Times New Roman"/>
                <w:b w:val="0"/>
                <w:bCs w:val="0"/>
                <w:color w:val="auto"/>
                <w:kern w:val="0"/>
                <w:sz w:val="24"/>
              </w:rPr>
              <w:t>环境保护目标一览表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46"/>
              <w:gridCol w:w="921"/>
              <w:gridCol w:w="1313"/>
              <w:gridCol w:w="1550"/>
              <w:gridCol w:w="2245"/>
            </w:tblGrid>
            <w:tr w14:paraId="524ED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noWrap w:val="0"/>
                  <w:vAlign w:val="center"/>
                </w:tcPr>
                <w:p w14:paraId="3FCFB5DB">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环境要素</w:t>
                  </w:r>
                </w:p>
              </w:tc>
              <w:tc>
                <w:tcPr>
                  <w:tcW w:w="692" w:type="pct"/>
                  <w:noWrap w:val="0"/>
                  <w:vAlign w:val="center"/>
                </w:tcPr>
                <w:p w14:paraId="55C7B59E">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环境保护</w:t>
                  </w:r>
                </w:p>
                <w:p w14:paraId="29C89E05">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目标名称</w:t>
                  </w:r>
                </w:p>
              </w:tc>
              <w:tc>
                <w:tcPr>
                  <w:tcW w:w="556" w:type="pct"/>
                  <w:noWrap w:val="0"/>
                  <w:vAlign w:val="center"/>
                </w:tcPr>
                <w:p w14:paraId="0EB5A572">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方位</w:t>
                  </w:r>
                </w:p>
              </w:tc>
              <w:tc>
                <w:tcPr>
                  <w:tcW w:w="793" w:type="pct"/>
                  <w:noWrap w:val="0"/>
                  <w:vAlign w:val="center"/>
                </w:tcPr>
                <w:p w14:paraId="3548074C">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距离项目厂界最近距离</w:t>
                  </w:r>
                </w:p>
              </w:tc>
              <w:tc>
                <w:tcPr>
                  <w:tcW w:w="936" w:type="pct"/>
                  <w:noWrap w:val="0"/>
                  <w:vAlign w:val="center"/>
                </w:tcPr>
                <w:p w14:paraId="2E6F700C">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环境基本特征</w:t>
                  </w:r>
                </w:p>
              </w:tc>
              <w:tc>
                <w:tcPr>
                  <w:tcW w:w="1355" w:type="pct"/>
                  <w:noWrap w:val="0"/>
                  <w:vAlign w:val="center"/>
                </w:tcPr>
                <w:p w14:paraId="1C6A80FE">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环境保护功能级别</w:t>
                  </w:r>
                </w:p>
              </w:tc>
            </w:tr>
            <w:tr w14:paraId="7BD26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noWrap w:val="0"/>
                  <w:vAlign w:val="center"/>
                </w:tcPr>
                <w:p w14:paraId="1FD329CE">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环境空气</w:t>
                  </w:r>
                </w:p>
              </w:tc>
              <w:tc>
                <w:tcPr>
                  <w:tcW w:w="692" w:type="pct"/>
                  <w:noWrap w:val="0"/>
                  <w:vAlign w:val="center"/>
                </w:tcPr>
                <w:p w14:paraId="6B334C4A">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前华村</w:t>
                  </w:r>
                </w:p>
              </w:tc>
              <w:tc>
                <w:tcPr>
                  <w:tcW w:w="556" w:type="pct"/>
                  <w:noWrap w:val="0"/>
                  <w:vAlign w:val="center"/>
                </w:tcPr>
                <w:p w14:paraId="6679B8DC">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西侧</w:t>
                  </w:r>
                </w:p>
              </w:tc>
              <w:tc>
                <w:tcPr>
                  <w:tcW w:w="793" w:type="pct"/>
                  <w:noWrap w:val="0"/>
                  <w:vAlign w:val="center"/>
                </w:tcPr>
                <w:p w14:paraId="0C0BCA20">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r>
                    <w:rPr>
                      <w:rFonts w:hint="eastAsia" w:ascii="Times New Roman" w:hAnsi="Times New Roman" w:cs="Times New Roman"/>
                      <w:color w:val="auto"/>
                      <w:szCs w:val="21"/>
                      <w:highlight w:val="none"/>
                      <w:lang w:val="en-US" w:eastAsia="zh-CN"/>
                    </w:rPr>
                    <w:t>94</w:t>
                  </w:r>
                </w:p>
              </w:tc>
              <w:tc>
                <w:tcPr>
                  <w:tcW w:w="936" w:type="pct"/>
                  <w:noWrap w:val="0"/>
                  <w:vAlign w:val="center"/>
                </w:tcPr>
                <w:p w14:paraId="41DFF7DA">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cs="Times New Roman"/>
                      <w:color w:val="auto"/>
                    </w:rPr>
                    <w:t>300户/1050人</w:t>
                  </w:r>
                </w:p>
              </w:tc>
              <w:tc>
                <w:tcPr>
                  <w:tcW w:w="1355" w:type="pct"/>
                  <w:vMerge w:val="restart"/>
                  <w:noWrap w:val="0"/>
                  <w:vAlign w:val="center"/>
                </w:tcPr>
                <w:p w14:paraId="7A2CFC03">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cs="Times New Roman"/>
                      <w:color w:val="auto"/>
                      <w:lang w:eastAsia="zh-CN"/>
                    </w:rPr>
                    <w:t>《环境空气质量标准》(GB3095-2012)及其修改单二级标准</w:t>
                  </w:r>
                </w:p>
              </w:tc>
            </w:tr>
            <w:tr w14:paraId="67A5F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noWrap w:val="0"/>
                  <w:vAlign w:val="center"/>
                </w:tcPr>
                <w:p w14:paraId="0B5C6BAC">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p>
              </w:tc>
              <w:tc>
                <w:tcPr>
                  <w:tcW w:w="692" w:type="pct"/>
                  <w:noWrap w:val="0"/>
                  <w:vAlign w:val="center"/>
                </w:tcPr>
                <w:p w14:paraId="616355F9">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江侨新村</w:t>
                  </w:r>
                </w:p>
              </w:tc>
              <w:tc>
                <w:tcPr>
                  <w:tcW w:w="556" w:type="pct"/>
                  <w:noWrap w:val="0"/>
                  <w:vAlign w:val="center"/>
                </w:tcPr>
                <w:p w14:paraId="6286CD7D">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北</w:t>
                  </w:r>
                  <w:r>
                    <w:rPr>
                      <w:rFonts w:hint="eastAsia" w:cs="Times New Roman"/>
                      <w:color w:val="auto"/>
                      <w:szCs w:val="21"/>
                      <w:lang w:val="en-US" w:eastAsia="zh-CN"/>
                    </w:rPr>
                    <w:t>侧</w:t>
                  </w:r>
                </w:p>
              </w:tc>
              <w:tc>
                <w:tcPr>
                  <w:tcW w:w="793" w:type="pct"/>
                  <w:noWrap w:val="0"/>
                  <w:vAlign w:val="center"/>
                </w:tcPr>
                <w:p w14:paraId="1D4F2383">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723</w:t>
                  </w:r>
                </w:p>
              </w:tc>
              <w:tc>
                <w:tcPr>
                  <w:tcW w:w="936" w:type="pct"/>
                  <w:noWrap w:val="0"/>
                  <w:vAlign w:val="center"/>
                </w:tcPr>
                <w:p w14:paraId="13750B09">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40户/140人</w:t>
                  </w:r>
                </w:p>
              </w:tc>
              <w:tc>
                <w:tcPr>
                  <w:tcW w:w="1355" w:type="pct"/>
                  <w:vMerge w:val="continue"/>
                  <w:noWrap w:val="0"/>
                  <w:vAlign w:val="center"/>
                </w:tcPr>
                <w:p w14:paraId="7A1B1BE0">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p>
              </w:tc>
            </w:tr>
            <w:tr w14:paraId="49675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noWrap w:val="0"/>
                  <w:vAlign w:val="center"/>
                </w:tcPr>
                <w:p w14:paraId="6532FF86">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地表水</w:t>
                  </w:r>
                </w:p>
              </w:tc>
              <w:tc>
                <w:tcPr>
                  <w:tcW w:w="692" w:type="pct"/>
                  <w:noWrap w:val="0"/>
                  <w:vAlign w:val="center"/>
                </w:tcPr>
                <w:p w14:paraId="3A83983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新华河</w:t>
                  </w:r>
                </w:p>
              </w:tc>
              <w:tc>
                <w:tcPr>
                  <w:tcW w:w="556" w:type="pct"/>
                  <w:noWrap w:val="0"/>
                  <w:vAlign w:val="center"/>
                </w:tcPr>
                <w:p w14:paraId="605DBE2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南</w:t>
                  </w:r>
                  <w:r>
                    <w:rPr>
                      <w:rFonts w:hint="default" w:ascii="Times New Roman" w:hAnsi="Times New Roman" w:eastAsia="宋体" w:cs="Times New Roman"/>
                      <w:color w:val="auto"/>
                      <w:sz w:val="21"/>
                      <w:szCs w:val="21"/>
                    </w:rPr>
                    <w:t>侧</w:t>
                  </w:r>
                </w:p>
              </w:tc>
              <w:tc>
                <w:tcPr>
                  <w:tcW w:w="793" w:type="pct"/>
                  <w:noWrap w:val="0"/>
                  <w:vAlign w:val="center"/>
                </w:tcPr>
                <w:p w14:paraId="15CFA5A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约</w:t>
                  </w:r>
                  <w:r>
                    <w:rPr>
                      <w:rFonts w:hint="eastAsia" w:ascii="Times New Roman" w:hAnsi="Times New Roman"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rPr>
                    <w:t>m</w:t>
                  </w:r>
                </w:p>
              </w:tc>
              <w:tc>
                <w:tcPr>
                  <w:tcW w:w="936" w:type="pct"/>
                  <w:vMerge w:val="restart"/>
                  <w:noWrap w:val="0"/>
                  <w:vAlign w:val="center"/>
                </w:tcPr>
                <w:p w14:paraId="79A8816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小型河流</w:t>
                  </w:r>
                </w:p>
              </w:tc>
              <w:tc>
                <w:tcPr>
                  <w:tcW w:w="1355" w:type="pct"/>
                  <w:vMerge w:val="restart"/>
                  <w:noWrap w:val="0"/>
                  <w:vAlign w:val="center"/>
                </w:tcPr>
                <w:p w14:paraId="3EE4B45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《地表水环境质量标准》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GB3838-2002)Ⅴ类标准</w:t>
                  </w:r>
                </w:p>
              </w:tc>
            </w:tr>
            <w:tr w14:paraId="1C24A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noWrap w:val="0"/>
                  <w:vAlign w:val="center"/>
                </w:tcPr>
                <w:p w14:paraId="2DBAF7C9">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rPr>
                  </w:pPr>
                </w:p>
              </w:tc>
              <w:tc>
                <w:tcPr>
                  <w:tcW w:w="692" w:type="pct"/>
                  <w:noWrap w:val="0"/>
                  <w:vAlign w:val="center"/>
                </w:tcPr>
                <w:p w14:paraId="66B4DAA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蓝兴河</w:t>
                  </w:r>
                </w:p>
              </w:tc>
              <w:tc>
                <w:tcPr>
                  <w:tcW w:w="556" w:type="pct"/>
                  <w:noWrap w:val="0"/>
                  <w:vAlign w:val="center"/>
                </w:tcPr>
                <w:p w14:paraId="26F15BD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东侧</w:t>
                  </w:r>
                </w:p>
              </w:tc>
              <w:tc>
                <w:tcPr>
                  <w:tcW w:w="793" w:type="pct"/>
                  <w:noWrap w:val="0"/>
                  <w:vAlign w:val="center"/>
                </w:tcPr>
                <w:p w14:paraId="4C00951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eastAsia="zh-CN"/>
                    </w:rPr>
                    <w:t>约</w:t>
                  </w:r>
                  <w:r>
                    <w:rPr>
                      <w:rFonts w:hint="eastAsia" w:ascii="Times New Roman" w:hAnsi="Times New Roman" w:cs="Times New Roman"/>
                      <w:color w:val="auto"/>
                      <w:sz w:val="21"/>
                      <w:szCs w:val="21"/>
                      <w:highlight w:val="none"/>
                      <w:lang w:val="en-US" w:eastAsia="zh-CN"/>
                    </w:rPr>
                    <w:t>823</w:t>
                  </w:r>
                  <w:r>
                    <w:rPr>
                      <w:rFonts w:hint="default" w:ascii="Times New Roman" w:hAnsi="Times New Roman" w:eastAsia="宋体" w:cs="Times New Roman"/>
                      <w:color w:val="auto"/>
                      <w:sz w:val="21"/>
                      <w:szCs w:val="21"/>
                      <w:highlight w:val="none"/>
                      <w:lang w:val="en-US" w:eastAsia="zh-CN"/>
                    </w:rPr>
                    <w:t>m</w:t>
                  </w:r>
                </w:p>
              </w:tc>
              <w:tc>
                <w:tcPr>
                  <w:tcW w:w="936" w:type="pct"/>
                  <w:vMerge w:val="continue"/>
                  <w:noWrap w:val="0"/>
                  <w:vAlign w:val="center"/>
                </w:tcPr>
                <w:p w14:paraId="55674ED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1355" w:type="pct"/>
                  <w:vMerge w:val="continue"/>
                  <w:noWrap w:val="0"/>
                  <w:vAlign w:val="center"/>
                </w:tcPr>
                <w:p w14:paraId="34BECE5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2F44F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noWrap w:val="0"/>
                  <w:vAlign w:val="center"/>
                </w:tcPr>
                <w:p w14:paraId="553B3075">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rPr>
                  </w:pPr>
                </w:p>
              </w:tc>
              <w:tc>
                <w:tcPr>
                  <w:tcW w:w="692" w:type="pct"/>
                  <w:noWrap w:val="0"/>
                  <w:vAlign w:val="center"/>
                </w:tcPr>
                <w:p w14:paraId="0B05ED0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兴化湾前薛海域</w:t>
                  </w:r>
                </w:p>
              </w:tc>
              <w:tc>
                <w:tcPr>
                  <w:tcW w:w="556" w:type="pct"/>
                  <w:noWrap w:val="0"/>
                  <w:vAlign w:val="center"/>
                </w:tcPr>
                <w:p w14:paraId="196F809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东南侧</w:t>
                  </w:r>
                </w:p>
              </w:tc>
              <w:tc>
                <w:tcPr>
                  <w:tcW w:w="793" w:type="pct"/>
                  <w:noWrap w:val="0"/>
                  <w:vAlign w:val="center"/>
                </w:tcPr>
                <w:p w14:paraId="306991B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eastAsia="zh-CN"/>
                    </w:rPr>
                    <w:t>约</w:t>
                  </w:r>
                  <w:r>
                    <w:rPr>
                      <w:rFonts w:hint="eastAsia" w:ascii="Times New Roman" w:hAnsi="Times New Roman" w:cs="Times New Roman"/>
                      <w:color w:val="auto"/>
                      <w:sz w:val="21"/>
                      <w:szCs w:val="21"/>
                      <w:highlight w:val="none"/>
                      <w:lang w:val="en-US" w:eastAsia="zh-CN"/>
                    </w:rPr>
                    <w:t>1799</w:t>
                  </w:r>
                  <w:r>
                    <w:rPr>
                      <w:rFonts w:hint="default" w:ascii="Times New Roman" w:hAnsi="Times New Roman" w:eastAsia="宋体" w:cs="Times New Roman"/>
                      <w:color w:val="auto"/>
                      <w:sz w:val="21"/>
                      <w:szCs w:val="21"/>
                      <w:highlight w:val="none"/>
                      <w:lang w:val="en-US" w:eastAsia="zh-CN"/>
                    </w:rPr>
                    <w:t>m</w:t>
                  </w:r>
                </w:p>
              </w:tc>
              <w:tc>
                <w:tcPr>
                  <w:tcW w:w="936" w:type="pct"/>
                  <w:noWrap w:val="0"/>
                  <w:vAlign w:val="center"/>
                </w:tcPr>
                <w:p w14:paraId="18E906D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一般工业用水</w:t>
                  </w:r>
                </w:p>
              </w:tc>
              <w:tc>
                <w:tcPr>
                  <w:tcW w:w="1355" w:type="pct"/>
                  <w:noWrap w:val="0"/>
                  <w:vAlign w:val="center"/>
                </w:tcPr>
                <w:p w14:paraId="608DC1A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eastAsia="zh-CN"/>
                    </w:rPr>
                    <w:t>《海水水质标准》</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GB3097-1997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三类</w:t>
                  </w:r>
                </w:p>
              </w:tc>
            </w:tr>
            <w:tr w14:paraId="43CCB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noWrap w:val="0"/>
                  <w:vAlign w:val="center"/>
                </w:tcPr>
                <w:p w14:paraId="61066AC1">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rPr>
                  </w:pPr>
                </w:p>
              </w:tc>
              <w:tc>
                <w:tcPr>
                  <w:tcW w:w="692" w:type="pct"/>
                  <w:noWrap w:val="0"/>
                  <w:vAlign w:val="center"/>
                </w:tcPr>
                <w:p w14:paraId="1D5AED7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兴化湾江阴海域</w:t>
                  </w:r>
                </w:p>
              </w:tc>
              <w:tc>
                <w:tcPr>
                  <w:tcW w:w="556" w:type="pct"/>
                  <w:noWrap w:val="0"/>
                  <w:vAlign w:val="center"/>
                </w:tcPr>
                <w:p w14:paraId="311C4E6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南侧</w:t>
                  </w:r>
                </w:p>
              </w:tc>
              <w:tc>
                <w:tcPr>
                  <w:tcW w:w="793" w:type="pct"/>
                  <w:noWrap w:val="0"/>
                  <w:vAlign w:val="center"/>
                </w:tcPr>
                <w:p w14:paraId="1CDAB3F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eastAsia="zh-CN"/>
                    </w:rPr>
                    <w:t>约</w:t>
                  </w:r>
                  <w:r>
                    <w:rPr>
                      <w:rFonts w:hint="eastAsia" w:ascii="Times New Roman" w:hAnsi="Times New Roman" w:cs="Times New Roman"/>
                      <w:color w:val="auto"/>
                      <w:sz w:val="21"/>
                      <w:szCs w:val="21"/>
                      <w:highlight w:val="none"/>
                      <w:lang w:val="en-US" w:eastAsia="zh-CN"/>
                    </w:rPr>
                    <w:t>1086</w:t>
                  </w:r>
                  <w:r>
                    <w:rPr>
                      <w:rFonts w:hint="default" w:ascii="Times New Roman" w:hAnsi="Times New Roman" w:eastAsia="宋体" w:cs="Times New Roman"/>
                      <w:color w:val="auto"/>
                      <w:sz w:val="21"/>
                      <w:szCs w:val="21"/>
                      <w:highlight w:val="none"/>
                      <w:lang w:val="en-US" w:eastAsia="zh-CN"/>
                    </w:rPr>
                    <w:t>m</w:t>
                  </w:r>
                </w:p>
              </w:tc>
              <w:tc>
                <w:tcPr>
                  <w:tcW w:w="936" w:type="pct"/>
                  <w:noWrap w:val="0"/>
                  <w:vAlign w:val="center"/>
                </w:tcPr>
                <w:p w14:paraId="0400BCC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养殖</w:t>
                  </w:r>
                  <w:r>
                    <w:rPr>
                      <w:rFonts w:hint="default" w:ascii="Times New Roman" w:hAnsi="Times New Roman" w:eastAsia="宋体" w:cs="Times New Roman"/>
                      <w:color w:val="auto"/>
                      <w:sz w:val="21"/>
                      <w:szCs w:val="21"/>
                      <w:lang w:val="en-US" w:eastAsia="zh-CN"/>
                    </w:rPr>
                    <w:t>用水</w:t>
                  </w:r>
                </w:p>
              </w:tc>
              <w:tc>
                <w:tcPr>
                  <w:tcW w:w="1355" w:type="pct"/>
                  <w:noWrap w:val="0"/>
                  <w:vAlign w:val="center"/>
                </w:tcPr>
                <w:p w14:paraId="1E99D90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eastAsia="zh-CN"/>
                    </w:rPr>
                    <w:t>《海水水质标准》</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GB3097-1997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二类</w:t>
                  </w:r>
                </w:p>
              </w:tc>
            </w:tr>
            <w:tr w14:paraId="25447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noWrap w:val="0"/>
                  <w:vAlign w:val="center"/>
                </w:tcPr>
                <w:p w14:paraId="43631452">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4333" w:type="pct"/>
                  <w:gridSpan w:val="5"/>
                  <w:noWrap w:val="0"/>
                  <w:vAlign w:val="center"/>
                </w:tcPr>
                <w:p w14:paraId="73E4CE01">
                  <w:pPr>
                    <w:keepNext w:val="0"/>
                    <w:keepLines w:val="0"/>
                    <w:pageBreakBefore w:val="0"/>
                    <w:widowControl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eastAsia="zh-CN"/>
                    </w:rPr>
                    <w:t>项目厂界</w:t>
                  </w:r>
                  <w:r>
                    <w:rPr>
                      <w:rFonts w:hint="default" w:ascii="Times New Roman" w:hAnsi="Times New Roman" w:eastAsia="宋体" w:cs="Times New Roman"/>
                      <w:color w:val="auto"/>
                      <w:sz w:val="21"/>
                      <w:szCs w:val="21"/>
                      <w:highlight w:val="none"/>
                      <w:lang w:val="en-US" w:eastAsia="zh-CN"/>
                    </w:rPr>
                    <w:t>50m范围内无声环境保护目标</w:t>
                  </w:r>
                </w:p>
              </w:tc>
            </w:tr>
            <w:tr w14:paraId="09DAE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noWrap w:val="0"/>
                  <w:vAlign w:val="center"/>
                </w:tcPr>
                <w:p w14:paraId="7136AB3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地下水</w:t>
                  </w:r>
                  <w:r>
                    <w:rPr>
                      <w:rFonts w:hint="default" w:ascii="Times New Roman" w:hAnsi="Times New Roman" w:eastAsia="宋体" w:cs="Times New Roman"/>
                      <w:color w:val="auto"/>
                    </w:rPr>
                    <w:t>环境</w:t>
                  </w:r>
                </w:p>
              </w:tc>
              <w:tc>
                <w:tcPr>
                  <w:tcW w:w="4333" w:type="pct"/>
                  <w:gridSpan w:val="5"/>
                  <w:noWrap w:val="0"/>
                  <w:vAlign w:val="center"/>
                </w:tcPr>
                <w:p w14:paraId="0DE50CB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项目厂界外500米范围内无地下水集中式饮用水水源和热水、矿泉水、温泉等特殊地下水资源</w:t>
                  </w:r>
                </w:p>
              </w:tc>
            </w:tr>
            <w:tr w14:paraId="69406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noWrap w:val="0"/>
                  <w:vAlign w:val="center"/>
                </w:tcPr>
                <w:p w14:paraId="3EECF2C6">
                  <w:pPr>
                    <w:pStyle w:val="101"/>
                    <w:keepNext w:val="0"/>
                    <w:keepLines w:val="0"/>
                    <w:pageBreakBefore w:val="0"/>
                    <w:widowControl w:val="0"/>
                    <w:kinsoku/>
                    <w:wordWrap/>
                    <w:overflowPunct/>
                    <w:topLinePunct w:val="0"/>
                    <w:autoSpaceDN/>
                    <w:bidi w:val="0"/>
                    <w:spacing w:line="340" w:lineRule="exact"/>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rPr>
                    <w:t>生态环境</w:t>
                  </w:r>
                </w:p>
              </w:tc>
              <w:tc>
                <w:tcPr>
                  <w:tcW w:w="4333" w:type="pct"/>
                  <w:gridSpan w:val="5"/>
                  <w:noWrap w:val="0"/>
                  <w:vAlign w:val="center"/>
                </w:tcPr>
                <w:p w14:paraId="6D6F8122">
                  <w:pPr>
                    <w:pStyle w:val="101"/>
                    <w:keepNext w:val="0"/>
                    <w:keepLines w:val="0"/>
                    <w:pageBreakBefore w:val="0"/>
                    <w:widowControl w:val="0"/>
                    <w:kinsoku/>
                    <w:wordWrap/>
                    <w:overflowPunct/>
                    <w:topLinePunct w:val="0"/>
                    <w:autoSpaceDN/>
                    <w:bidi w:val="0"/>
                    <w:spacing w:line="340" w:lineRule="exact"/>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rPr>
                    <w:t>项目不新增用地，无生态环境保护目标</w:t>
                  </w:r>
                </w:p>
              </w:tc>
            </w:tr>
          </w:tbl>
          <w:p w14:paraId="5A36729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rPr>
            </w:pPr>
          </w:p>
        </w:tc>
      </w:tr>
      <w:tr w14:paraId="1487E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565" w:type="dxa"/>
            <w:noWrap w:val="0"/>
            <w:tcMar>
              <w:left w:w="28" w:type="dxa"/>
              <w:right w:w="28" w:type="dxa"/>
            </w:tcMar>
            <w:vAlign w:val="center"/>
          </w:tcPr>
          <w:p w14:paraId="16EF5447">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w:t>
            </w:r>
          </w:p>
          <w:p w14:paraId="1D4CC7DF">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物排</w:t>
            </w:r>
          </w:p>
          <w:p w14:paraId="06D9A467">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放控</w:t>
            </w:r>
          </w:p>
          <w:p w14:paraId="26456E7C">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制标</w:t>
            </w:r>
          </w:p>
          <w:p w14:paraId="3D7B5694">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准</w:t>
            </w:r>
          </w:p>
        </w:tc>
        <w:tc>
          <w:tcPr>
            <w:tcW w:w="8496" w:type="dxa"/>
            <w:noWrap w:val="0"/>
            <w:vAlign w:val="center"/>
          </w:tcPr>
          <w:p w14:paraId="7A904084">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val="en-US" w:eastAsia="zh-CN"/>
              </w:rPr>
              <w:t>3.7 污染物排放标准</w:t>
            </w:r>
          </w:p>
          <w:p w14:paraId="4143484F">
            <w:pPr>
              <w:adjustRightInd w:val="0"/>
              <w:snapToGrid w:val="0"/>
              <w:spacing w:line="360" w:lineRule="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3.</w:t>
            </w:r>
            <w:r>
              <w:rPr>
                <w:rFonts w:hint="default" w:ascii="Times New Roman" w:hAnsi="Times New Roman" w:eastAsia="宋体" w:cs="Times New Roman"/>
                <w:b/>
                <w:bCs w:val="0"/>
                <w:color w:val="auto"/>
                <w:sz w:val="24"/>
                <w:szCs w:val="24"/>
                <w:lang w:val="en-US" w:eastAsia="zh-CN"/>
              </w:rPr>
              <w:t xml:space="preserve">7.1 </w:t>
            </w:r>
            <w:r>
              <w:rPr>
                <w:rFonts w:hint="default" w:ascii="Times New Roman" w:hAnsi="Times New Roman" w:eastAsia="宋体" w:cs="Times New Roman"/>
                <w:b/>
                <w:bCs w:val="0"/>
                <w:color w:val="auto"/>
                <w:sz w:val="24"/>
                <w:szCs w:val="24"/>
              </w:rPr>
              <w:t>水污染物</w:t>
            </w:r>
            <w:r>
              <w:rPr>
                <w:rFonts w:hint="default" w:ascii="Times New Roman" w:hAnsi="Times New Roman" w:eastAsia="宋体" w:cs="Times New Roman"/>
                <w:b/>
                <w:bCs w:val="0"/>
                <w:color w:val="auto"/>
                <w:sz w:val="24"/>
                <w:szCs w:val="24"/>
                <w:lang w:val="en-US" w:eastAsia="zh-CN"/>
              </w:rPr>
              <w:t>排放标准</w:t>
            </w:r>
          </w:p>
          <w:p w14:paraId="050DDEC4">
            <w:pPr>
              <w:pStyle w:val="7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项目</w:t>
            </w:r>
            <w:r>
              <w:rPr>
                <w:rFonts w:hint="default" w:ascii="Times New Roman" w:hAnsi="Times New Roman" w:eastAsia="宋体" w:cs="Times New Roman"/>
                <w:color w:val="auto"/>
                <w:highlight w:val="none"/>
                <w:lang w:eastAsia="zh-CN"/>
              </w:rPr>
              <w:t>水污染物</w:t>
            </w:r>
            <w:r>
              <w:rPr>
                <w:rFonts w:hint="default" w:ascii="Times New Roman" w:hAnsi="Times New Roman" w:eastAsia="宋体" w:cs="Times New Roman"/>
                <w:color w:val="auto"/>
                <w:highlight w:val="none"/>
              </w:rPr>
              <w:t>排放标准</w:t>
            </w:r>
          </w:p>
          <w:p w14:paraId="6C2F0648">
            <w:pPr>
              <w:pStyle w:val="72"/>
              <w:rPr>
                <w:rFonts w:hint="default" w:ascii="Times New Roman" w:hAnsi="Times New Roman" w:eastAsia="宋体" w:cs="Times New Roman"/>
                <w:color w:val="auto"/>
              </w:rPr>
            </w:pPr>
            <w:r>
              <w:rPr>
                <w:rFonts w:hint="default" w:ascii="Times New Roman" w:hAnsi="Times New Roman" w:eastAsia="宋体" w:cs="Times New Roman"/>
                <w:color w:val="auto"/>
              </w:rPr>
              <w:t>①项目废水排放标准</w:t>
            </w:r>
          </w:p>
          <w:p w14:paraId="01DCD7EB">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val="en-US" w:eastAsia="zh-CN"/>
              </w:rPr>
              <w:t>根据建设单位提供的材料，项目破碎、清洗用水对水质要求不高，</w:t>
            </w:r>
            <w:r>
              <w:rPr>
                <w:rFonts w:hint="default" w:ascii="Times New Roman" w:hAnsi="Times New Roman" w:cs="Times New Roman"/>
                <w:color w:val="auto"/>
                <w:sz w:val="24"/>
                <w:highlight w:val="none"/>
                <w:lang w:val="en-US" w:eastAsia="zh-CN"/>
              </w:rPr>
              <w:t>生产废水经</w:t>
            </w:r>
            <w:r>
              <w:rPr>
                <w:rFonts w:hint="eastAsia" w:cs="Times New Roman"/>
                <w:color w:val="auto"/>
                <w:sz w:val="24"/>
                <w:highlight w:val="none"/>
                <w:lang w:val="en-US" w:eastAsia="zh-CN"/>
              </w:rPr>
              <w:t>“混凝沉淀+接触氧化”</w:t>
            </w:r>
            <w:r>
              <w:rPr>
                <w:rFonts w:hint="default" w:ascii="Times New Roman" w:hAnsi="Times New Roman" w:cs="Times New Roman"/>
                <w:color w:val="auto"/>
                <w:sz w:val="24"/>
                <w:highlight w:val="none"/>
                <w:lang w:val="en-US" w:eastAsia="zh-CN"/>
              </w:rPr>
              <w:t>处理后</w:t>
            </w:r>
            <w:r>
              <w:rPr>
                <w:rFonts w:hint="eastAsia" w:cs="Times New Roman"/>
                <w:color w:val="auto"/>
                <w:sz w:val="24"/>
                <w:highlight w:val="none"/>
                <w:lang w:val="en-US" w:eastAsia="zh-CN"/>
              </w:rPr>
              <w:t>可</w:t>
            </w:r>
            <w:r>
              <w:rPr>
                <w:rFonts w:hint="default" w:ascii="Times New Roman" w:hAnsi="Times New Roman" w:cs="Times New Roman"/>
                <w:color w:val="auto"/>
                <w:sz w:val="24"/>
                <w:highlight w:val="none"/>
                <w:lang w:val="en-US" w:eastAsia="zh-CN"/>
              </w:rPr>
              <w:t>回用</w:t>
            </w:r>
            <w:r>
              <w:rPr>
                <w:rFonts w:hint="eastAsia" w:cs="Times New Roman"/>
                <w:color w:val="auto"/>
                <w:sz w:val="24"/>
                <w:highlight w:val="none"/>
                <w:lang w:val="en-US" w:eastAsia="zh-CN"/>
              </w:rPr>
              <w:t>于破碎、清洗工序</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项目生活污水依托</w:t>
            </w:r>
            <w:r>
              <w:rPr>
                <w:rFonts w:hint="default" w:ascii="Times New Roman" w:hAnsi="Times New Roman" w:eastAsia="宋体" w:cs="Times New Roman"/>
                <w:color w:val="auto"/>
                <w:sz w:val="24"/>
                <w:szCs w:val="24"/>
                <w:lang w:eastAsia="zh-CN"/>
              </w:rPr>
              <w:t>园区</w:t>
            </w:r>
            <w:r>
              <w:rPr>
                <w:rFonts w:hint="default" w:ascii="Times New Roman" w:hAnsi="Times New Roman" w:eastAsia="宋体" w:cs="Times New Roman"/>
                <w:color w:val="auto"/>
                <w:sz w:val="24"/>
                <w:szCs w:val="24"/>
                <w:highlight w:val="none"/>
                <w:lang w:eastAsia="zh-CN"/>
              </w:rPr>
              <w:t>内现有的化粪池预处理达标后统一排入市政污水管网送往</w:t>
            </w:r>
            <w:r>
              <w:rPr>
                <w:rFonts w:hint="default" w:ascii="Times New Roman" w:hAnsi="Times New Roman" w:eastAsia="宋体" w:cs="Times New Roman"/>
                <w:color w:val="auto"/>
                <w:sz w:val="24"/>
                <w:szCs w:val="22"/>
                <w:lang w:eastAsia="zh-CN"/>
              </w:rPr>
              <w:t>江镜华侨农场污水处理厂</w:t>
            </w:r>
            <w:r>
              <w:rPr>
                <w:rFonts w:hint="default" w:ascii="Times New Roman" w:hAnsi="Times New Roman" w:eastAsia="宋体" w:cs="Times New Roman"/>
                <w:color w:val="auto"/>
                <w:sz w:val="24"/>
                <w:szCs w:val="24"/>
                <w:highlight w:val="none"/>
                <w:lang w:eastAsia="zh-CN"/>
              </w:rPr>
              <w:t>集中处理。</w:t>
            </w: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val="en-US" w:eastAsia="zh-CN"/>
              </w:rPr>
              <w:t>外排</w:t>
            </w:r>
            <w:r>
              <w:rPr>
                <w:rFonts w:hint="default" w:ascii="Times New Roman" w:hAnsi="Times New Roman"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rPr>
              <w:t>水排放执行《污水综合排放标准》(GB8978-1996)表4三级标准(其中氨氮参照执行《污水排入城镇下水道水质标准》(GB/T 31962-2015)表1中B级标准限值)</w:t>
            </w:r>
            <w:r>
              <w:rPr>
                <w:rFonts w:hint="eastAsia" w:cs="Times New Roman"/>
                <w:color w:val="auto"/>
                <w:sz w:val="24"/>
                <w:szCs w:val="24"/>
                <w:highlight w:val="none"/>
                <w:lang w:eastAsia="zh-CN"/>
              </w:rPr>
              <w:t>。</w:t>
            </w:r>
          </w:p>
          <w:p w14:paraId="551A8D3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参照《排污许可证申请与核发技术规范 废弃资源加工工业》（HJ 1034-2019），“废塑料加工工业废水排放执行标准GB8978，地方有更严格排放标准要求的，按照地方排放标准从严确定”。</w:t>
            </w:r>
          </w:p>
          <w:p w14:paraId="0BA142EF">
            <w:pPr>
              <w:adjustRightInd w:val="0"/>
              <w:snapToGrid w:val="0"/>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4"/>
                <w:highlight w:val="none"/>
                <w:lang w:val="en-US" w:eastAsia="zh-CN"/>
              </w:rPr>
              <w:t>因此，本评价结合《污水综合排放标准》(GB8978-1996)和园区污水处理厂（江镜华侨农场污水处理厂）的进水水质</w:t>
            </w:r>
            <w:r>
              <w:rPr>
                <w:rFonts w:hint="eastAsia"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从严执行</w:t>
            </w:r>
            <w:r>
              <w:rPr>
                <w:rFonts w:hint="default" w:ascii="Times New Roman" w:hAnsi="Times New Roman" w:eastAsia="宋体" w:cs="Times New Roman"/>
                <w:color w:val="auto"/>
                <w:sz w:val="24"/>
                <w:szCs w:val="24"/>
                <w:highlight w:val="none"/>
                <w:lang w:eastAsia="zh-CN"/>
              </w:rPr>
              <w:t>废水排放</w:t>
            </w:r>
            <w:r>
              <w:rPr>
                <w:rFonts w:hint="default" w:ascii="Times New Roman" w:hAnsi="Times New Roman" w:eastAsia="宋体"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2"/>
                <w:highlight w:val="none"/>
              </w:rPr>
              <w:t>具体详见表</w:t>
            </w:r>
            <w:r>
              <w:rPr>
                <w:rFonts w:hint="default" w:ascii="Times New Roman" w:hAnsi="Times New Roman" w:eastAsia="宋体" w:cs="Times New Roman"/>
                <w:color w:val="auto"/>
                <w:sz w:val="24"/>
                <w:szCs w:val="22"/>
                <w:highlight w:val="none"/>
                <w:lang w:val="en-US" w:eastAsia="zh-CN"/>
              </w:rPr>
              <w:t>3.7-1</w:t>
            </w:r>
            <w:r>
              <w:rPr>
                <w:rFonts w:hint="default" w:ascii="Times New Roman" w:hAnsi="Times New Roman" w:eastAsia="宋体" w:cs="Times New Roman"/>
                <w:color w:val="auto"/>
                <w:sz w:val="24"/>
                <w:szCs w:val="22"/>
                <w:highlight w:val="none"/>
              </w:rPr>
              <w:t>。</w:t>
            </w:r>
          </w:p>
          <w:p w14:paraId="3C1B0B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auto"/>
                <w:sz w:val="24"/>
                <w:szCs w:val="22"/>
              </w:rPr>
            </w:pPr>
            <w:r>
              <w:rPr>
                <w:rFonts w:hint="default" w:ascii="Times New Roman" w:hAnsi="Times New Roman" w:eastAsia="黑体" w:cs="Times New Roman"/>
                <w:color w:val="auto"/>
                <w:sz w:val="24"/>
                <w:szCs w:val="22"/>
              </w:rPr>
              <w:t>表3.</w:t>
            </w:r>
            <w:r>
              <w:rPr>
                <w:rFonts w:hint="default" w:ascii="Times New Roman" w:hAnsi="Times New Roman" w:eastAsia="黑体" w:cs="Times New Roman"/>
                <w:color w:val="auto"/>
                <w:sz w:val="24"/>
                <w:szCs w:val="22"/>
                <w:lang w:val="en-US" w:eastAsia="zh-CN"/>
              </w:rPr>
              <w:t>7-1</w:t>
            </w:r>
            <w:r>
              <w:rPr>
                <w:rFonts w:hint="default" w:ascii="Times New Roman" w:hAnsi="Times New Roman" w:eastAsia="黑体" w:cs="Times New Roman"/>
                <w:color w:val="auto"/>
                <w:sz w:val="24"/>
                <w:szCs w:val="22"/>
              </w:rPr>
              <w:t xml:space="preserve"> </w:t>
            </w:r>
            <w:r>
              <w:rPr>
                <w:rFonts w:hint="default" w:ascii="Times New Roman" w:hAnsi="Times New Roman" w:eastAsia="黑体" w:cs="Times New Roman"/>
                <w:color w:val="auto"/>
                <w:sz w:val="24"/>
                <w:szCs w:val="22"/>
                <w:lang w:val="en-US" w:eastAsia="zh-CN"/>
              </w:rPr>
              <w:t xml:space="preserve"> </w:t>
            </w:r>
            <w:r>
              <w:rPr>
                <w:rFonts w:hint="default" w:ascii="Times New Roman" w:hAnsi="Times New Roman" w:eastAsia="黑体" w:cs="Times New Roman"/>
                <w:color w:val="auto"/>
                <w:sz w:val="24"/>
                <w:szCs w:val="22"/>
              </w:rPr>
              <w:t>项目</w:t>
            </w:r>
            <w:r>
              <w:rPr>
                <w:rFonts w:hint="default" w:ascii="Times New Roman" w:hAnsi="Times New Roman" w:eastAsia="黑体" w:cs="Times New Roman"/>
                <w:color w:val="auto"/>
                <w:sz w:val="24"/>
                <w:szCs w:val="22"/>
                <w:lang w:val="en-US" w:eastAsia="zh-CN"/>
              </w:rPr>
              <w:t>外排废水</w:t>
            </w:r>
            <w:r>
              <w:rPr>
                <w:rFonts w:hint="default" w:ascii="Times New Roman" w:hAnsi="Times New Roman" w:eastAsia="黑体" w:cs="Times New Roman"/>
                <w:color w:val="auto"/>
                <w:sz w:val="24"/>
                <w:szCs w:val="22"/>
              </w:rPr>
              <w:t>执行的污水排放标准</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2308"/>
              <w:gridCol w:w="2308"/>
              <w:gridCol w:w="2313"/>
            </w:tblGrid>
            <w:tr w14:paraId="387BA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shd w:val="clear" w:color="auto" w:fill="auto"/>
                  <w:noWrap w:val="0"/>
                  <w:vAlign w:val="center"/>
                </w:tcPr>
                <w:p w14:paraId="43978C1B">
                  <w:pPr>
                    <w:pStyle w:val="63"/>
                    <w:rPr>
                      <w:rFonts w:ascii="Times New Roman" w:hAnsi="Times New Roman" w:cs="Times New Roman"/>
                      <w:color w:val="auto"/>
                    </w:rPr>
                  </w:pPr>
                  <w:r>
                    <w:rPr>
                      <w:rFonts w:ascii="Times New Roman" w:hAnsi="Times New Roman" w:cs="Times New Roman"/>
                      <w:color w:val="auto"/>
                    </w:rPr>
                    <w:t>污染物名称</w:t>
                  </w:r>
                </w:p>
              </w:tc>
              <w:tc>
                <w:tcPr>
                  <w:tcW w:w="1394" w:type="pct"/>
                  <w:shd w:val="clear" w:color="auto" w:fill="auto"/>
                  <w:noWrap w:val="0"/>
                  <w:vAlign w:val="center"/>
                </w:tcPr>
                <w:p w14:paraId="2C467DF7">
                  <w:pPr>
                    <w:pStyle w:val="63"/>
                    <w:rPr>
                      <w:rFonts w:ascii="Times New Roman" w:hAnsi="Times New Roman" w:cs="Times New Roman"/>
                      <w:color w:val="auto"/>
                      <w:lang w:eastAsia="zh-CN"/>
                    </w:rPr>
                  </w:pPr>
                  <w:r>
                    <w:rPr>
                      <w:rFonts w:ascii="Times New Roman" w:hAnsi="Times New Roman" w:cs="Times New Roman"/>
                      <w:color w:val="auto"/>
                      <w:lang w:eastAsia="zh-CN"/>
                    </w:rPr>
                    <w:t>《污水综合排放标准》(GB8978-1996)</w:t>
                  </w:r>
                </w:p>
                <w:p w14:paraId="1989198B">
                  <w:pPr>
                    <w:pStyle w:val="63"/>
                    <w:rPr>
                      <w:rFonts w:ascii="Times New Roman" w:hAnsi="Times New Roman" w:cs="Times New Roman"/>
                      <w:color w:val="auto"/>
                    </w:rPr>
                  </w:pPr>
                  <w:r>
                    <w:rPr>
                      <w:rFonts w:ascii="Times New Roman" w:hAnsi="Times New Roman" w:cs="Times New Roman"/>
                      <w:color w:val="auto"/>
                    </w:rPr>
                    <w:t>中表4三级标准</w:t>
                  </w:r>
                </w:p>
              </w:tc>
              <w:tc>
                <w:tcPr>
                  <w:tcW w:w="1394" w:type="pct"/>
                  <w:shd w:val="clear" w:color="auto" w:fill="auto"/>
                  <w:noWrap w:val="0"/>
                  <w:vAlign w:val="center"/>
                </w:tcPr>
                <w:p w14:paraId="64A10363">
                  <w:pPr>
                    <w:pStyle w:val="63"/>
                    <w:rPr>
                      <w:rFonts w:ascii="Times New Roman" w:hAnsi="Times New Roman" w:cs="Times New Roman"/>
                      <w:color w:val="auto"/>
                      <w:lang w:eastAsia="zh-CN"/>
                    </w:rPr>
                  </w:pPr>
                  <w:r>
                    <w:rPr>
                      <w:rFonts w:hint="eastAsia" w:ascii="Times New Roman" w:hAnsi="Times New Roman" w:cs="Times New Roman"/>
                      <w:color w:val="auto"/>
                      <w:lang w:eastAsia="zh-CN"/>
                    </w:rPr>
                    <w:t>江镜华侨农场污水处理厂进水水质标准</w:t>
                  </w:r>
                </w:p>
              </w:tc>
              <w:tc>
                <w:tcPr>
                  <w:tcW w:w="1396" w:type="pct"/>
                  <w:shd w:val="clear" w:color="auto" w:fill="F1F1F1"/>
                  <w:noWrap w:val="0"/>
                  <w:vAlign w:val="center"/>
                </w:tcPr>
                <w:p w14:paraId="0CB1119E">
                  <w:pPr>
                    <w:pStyle w:val="63"/>
                    <w:rPr>
                      <w:rFonts w:ascii="Times New Roman" w:hAnsi="Times New Roman" w:cs="Times New Roman"/>
                      <w:color w:val="auto"/>
                      <w:lang w:eastAsia="zh-CN"/>
                    </w:rPr>
                  </w:pPr>
                  <w:r>
                    <w:rPr>
                      <w:rFonts w:hint="eastAsia" w:ascii="Times New Roman" w:hAnsi="Times New Roman" w:cs="Times New Roman"/>
                      <w:color w:val="auto"/>
                      <w:lang w:eastAsia="zh-CN"/>
                    </w:rPr>
                    <w:t>本项目排放标准执行</w:t>
                  </w:r>
                </w:p>
              </w:tc>
            </w:tr>
            <w:tr w14:paraId="71221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shd w:val="clear" w:color="auto" w:fill="auto"/>
                  <w:noWrap w:val="0"/>
                  <w:vAlign w:val="center"/>
                </w:tcPr>
                <w:p w14:paraId="57869FB0">
                  <w:pPr>
                    <w:pStyle w:val="63"/>
                    <w:rPr>
                      <w:rFonts w:ascii="Times New Roman" w:hAnsi="Times New Roman" w:cs="Times New Roman"/>
                      <w:color w:val="auto"/>
                    </w:rPr>
                  </w:pPr>
                  <w:r>
                    <w:rPr>
                      <w:rFonts w:ascii="Times New Roman" w:hAnsi="Times New Roman" w:cs="Times New Roman"/>
                      <w:color w:val="auto"/>
                    </w:rPr>
                    <w:t>pH</w:t>
                  </w:r>
                </w:p>
              </w:tc>
              <w:tc>
                <w:tcPr>
                  <w:tcW w:w="1394" w:type="pct"/>
                  <w:shd w:val="clear" w:color="auto" w:fill="auto"/>
                  <w:noWrap w:val="0"/>
                  <w:vAlign w:val="center"/>
                </w:tcPr>
                <w:p w14:paraId="4411F32D">
                  <w:pPr>
                    <w:pStyle w:val="63"/>
                    <w:rPr>
                      <w:rFonts w:ascii="Times New Roman" w:hAnsi="Times New Roman" w:cs="Times New Roman"/>
                      <w:color w:val="auto"/>
                    </w:rPr>
                  </w:pPr>
                  <w:r>
                    <w:rPr>
                      <w:rFonts w:ascii="Times New Roman" w:hAnsi="Times New Roman" w:cs="Times New Roman"/>
                      <w:color w:val="auto"/>
                    </w:rPr>
                    <w:t xml:space="preserve">6～9(无量纲) </w:t>
                  </w:r>
                </w:p>
              </w:tc>
              <w:tc>
                <w:tcPr>
                  <w:tcW w:w="1394" w:type="pct"/>
                  <w:shd w:val="clear" w:color="auto" w:fill="auto"/>
                  <w:noWrap w:val="0"/>
                  <w:vAlign w:val="center"/>
                </w:tcPr>
                <w:p w14:paraId="0A973777">
                  <w:pPr>
                    <w:pStyle w:val="63"/>
                    <w:rPr>
                      <w:rFonts w:ascii="Times New Roman" w:hAnsi="Times New Roman" w:cs="Times New Roman"/>
                      <w:color w:val="auto"/>
                    </w:rPr>
                  </w:pPr>
                  <w:r>
                    <w:rPr>
                      <w:rFonts w:ascii="Times New Roman" w:hAnsi="Times New Roman" w:cs="Times New Roman"/>
                      <w:color w:val="auto"/>
                    </w:rPr>
                    <w:t xml:space="preserve">6～9(无量纲) </w:t>
                  </w:r>
                </w:p>
              </w:tc>
              <w:tc>
                <w:tcPr>
                  <w:tcW w:w="1396" w:type="pct"/>
                  <w:shd w:val="clear" w:color="auto" w:fill="F1F1F1"/>
                  <w:noWrap w:val="0"/>
                  <w:vAlign w:val="center"/>
                </w:tcPr>
                <w:p w14:paraId="63321981">
                  <w:pPr>
                    <w:pStyle w:val="63"/>
                    <w:rPr>
                      <w:rFonts w:ascii="Times New Roman" w:hAnsi="Times New Roman" w:cs="Times New Roman"/>
                      <w:color w:val="auto"/>
                    </w:rPr>
                  </w:pPr>
                  <w:r>
                    <w:rPr>
                      <w:rFonts w:ascii="Times New Roman" w:hAnsi="Times New Roman" w:cs="Times New Roman"/>
                      <w:color w:val="auto"/>
                    </w:rPr>
                    <w:t xml:space="preserve">6～9(无量纲) </w:t>
                  </w:r>
                </w:p>
              </w:tc>
            </w:tr>
            <w:tr w14:paraId="3C1EE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shd w:val="clear" w:color="auto" w:fill="auto"/>
                  <w:noWrap w:val="0"/>
                  <w:vAlign w:val="center"/>
                </w:tcPr>
                <w:p w14:paraId="4AF614CC">
                  <w:pPr>
                    <w:pStyle w:val="63"/>
                    <w:rPr>
                      <w:rFonts w:ascii="Times New Roman" w:hAnsi="Times New Roman" w:cs="Times New Roman"/>
                      <w:color w:val="auto"/>
                    </w:rPr>
                  </w:pPr>
                  <w:r>
                    <w:rPr>
                      <w:rFonts w:ascii="Times New Roman" w:hAnsi="Times New Roman" w:cs="Times New Roman"/>
                      <w:color w:val="auto"/>
                    </w:rPr>
                    <w:t>COD</w:t>
                  </w:r>
                </w:p>
              </w:tc>
              <w:tc>
                <w:tcPr>
                  <w:tcW w:w="1394" w:type="pct"/>
                  <w:shd w:val="clear" w:color="auto" w:fill="auto"/>
                  <w:noWrap w:val="0"/>
                  <w:vAlign w:val="center"/>
                </w:tcPr>
                <w:p w14:paraId="2FEFB9EE">
                  <w:pPr>
                    <w:pStyle w:val="63"/>
                    <w:rPr>
                      <w:rFonts w:hint="eastAsia" w:ascii="Times New Roman" w:hAnsi="Times New Roman" w:cs="Times New Roman"/>
                      <w:color w:val="auto"/>
                      <w:lang w:eastAsia="zh-CN"/>
                    </w:rPr>
                  </w:pPr>
                  <w:r>
                    <w:rPr>
                      <w:rFonts w:hint="eastAsia" w:ascii="Times New Roman" w:hAnsi="Times New Roman" w:cs="Times New Roman"/>
                      <w:color w:val="auto"/>
                      <w:lang w:eastAsia="zh-CN"/>
                    </w:rPr>
                    <w:t>5</w:t>
                  </w:r>
                  <w:r>
                    <w:rPr>
                      <w:rFonts w:ascii="Times New Roman" w:hAnsi="Times New Roman" w:cs="Times New Roman"/>
                      <w:color w:val="auto"/>
                    </w:rPr>
                    <w:cr/>
                  </w:r>
                  <w:r>
                    <w:rPr>
                      <w:rFonts w:ascii="Times New Roman" w:hAnsi="Times New Roman" w:cs="Times New Roman"/>
                      <w:color w:val="auto"/>
                    </w:rPr>
                    <w:t>00mg/L</w:t>
                  </w:r>
                </w:p>
              </w:tc>
              <w:tc>
                <w:tcPr>
                  <w:tcW w:w="1394" w:type="pct"/>
                  <w:shd w:val="clear" w:color="auto" w:fill="auto"/>
                  <w:noWrap w:val="0"/>
                  <w:vAlign w:val="center"/>
                </w:tcPr>
                <w:p w14:paraId="5AC4EA92">
                  <w:pPr>
                    <w:pStyle w:val="63"/>
                    <w:rPr>
                      <w:rFonts w:ascii="Times New Roman" w:hAnsi="Times New Roman" w:cs="Times New Roman"/>
                      <w:color w:val="auto"/>
                    </w:rPr>
                  </w:pPr>
                  <w:r>
                    <w:rPr>
                      <w:rFonts w:hint="eastAsia" w:ascii="Times New Roman" w:hAnsi="Times New Roman" w:cs="Times New Roman"/>
                      <w:color w:val="auto"/>
                      <w:lang w:eastAsia="zh-CN"/>
                    </w:rPr>
                    <w:t>4</w:t>
                  </w:r>
                  <w:r>
                    <w:rPr>
                      <w:rFonts w:ascii="Times New Roman" w:hAnsi="Times New Roman" w:cs="Times New Roman"/>
                      <w:color w:val="auto"/>
                    </w:rPr>
                    <w:cr/>
                  </w:r>
                  <w:r>
                    <w:rPr>
                      <w:rFonts w:ascii="Times New Roman" w:hAnsi="Times New Roman" w:cs="Times New Roman"/>
                      <w:color w:val="auto"/>
                    </w:rPr>
                    <w:t>00mg/L</w:t>
                  </w:r>
                </w:p>
              </w:tc>
              <w:tc>
                <w:tcPr>
                  <w:tcW w:w="1396" w:type="pct"/>
                  <w:shd w:val="clear" w:color="auto" w:fill="F1F1F1"/>
                  <w:noWrap w:val="0"/>
                  <w:vAlign w:val="center"/>
                </w:tcPr>
                <w:p w14:paraId="2AA1C0FB">
                  <w:pPr>
                    <w:pStyle w:val="63"/>
                    <w:rPr>
                      <w:rFonts w:ascii="Times New Roman" w:hAnsi="Times New Roman" w:cs="Times New Roman"/>
                      <w:color w:val="auto"/>
                    </w:rPr>
                  </w:pPr>
                  <w:r>
                    <w:rPr>
                      <w:rFonts w:hint="eastAsia" w:ascii="Times New Roman" w:hAnsi="Times New Roman" w:cs="Times New Roman"/>
                      <w:color w:val="auto"/>
                      <w:lang w:eastAsia="zh-CN"/>
                    </w:rPr>
                    <w:t>4</w:t>
                  </w:r>
                  <w:r>
                    <w:rPr>
                      <w:rFonts w:ascii="Times New Roman" w:hAnsi="Times New Roman" w:cs="Times New Roman"/>
                      <w:color w:val="auto"/>
                    </w:rPr>
                    <w:cr/>
                  </w:r>
                  <w:r>
                    <w:rPr>
                      <w:rFonts w:ascii="Times New Roman" w:hAnsi="Times New Roman" w:cs="Times New Roman"/>
                      <w:color w:val="auto"/>
                    </w:rPr>
                    <w:t>00mg/L</w:t>
                  </w:r>
                </w:p>
              </w:tc>
            </w:tr>
            <w:tr w14:paraId="46378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shd w:val="clear" w:color="auto" w:fill="auto"/>
                  <w:noWrap w:val="0"/>
                  <w:vAlign w:val="center"/>
                </w:tcPr>
                <w:p w14:paraId="110C2E74">
                  <w:pPr>
                    <w:pStyle w:val="63"/>
                    <w:rPr>
                      <w:rFonts w:ascii="Times New Roman" w:hAnsi="Times New Roman" w:cs="Times New Roman"/>
                      <w:color w:val="auto"/>
                    </w:rPr>
                  </w:pPr>
                  <w:r>
                    <w:rPr>
                      <w:rFonts w:ascii="Times New Roman" w:hAnsi="Times New Roman" w:cs="Times New Roman"/>
                      <w:color w:val="auto"/>
                    </w:rPr>
                    <w:t>BOD</w:t>
                  </w:r>
                  <w:r>
                    <w:rPr>
                      <w:rFonts w:ascii="Times New Roman" w:hAnsi="Times New Roman" w:cs="Times New Roman"/>
                      <w:color w:val="auto"/>
                      <w:vertAlign w:val="subscript"/>
                    </w:rPr>
                    <w:t>5</w:t>
                  </w:r>
                </w:p>
              </w:tc>
              <w:tc>
                <w:tcPr>
                  <w:tcW w:w="1394" w:type="pct"/>
                  <w:shd w:val="clear" w:color="auto" w:fill="auto"/>
                  <w:noWrap w:val="0"/>
                  <w:vAlign w:val="center"/>
                </w:tcPr>
                <w:p w14:paraId="0FD3F112">
                  <w:pPr>
                    <w:pStyle w:val="63"/>
                    <w:rPr>
                      <w:rFonts w:hint="eastAsia" w:ascii="Times New Roman" w:hAnsi="Times New Roman" w:cs="Times New Roman"/>
                      <w:color w:val="auto"/>
                      <w:lang w:eastAsia="zh-CN"/>
                    </w:rPr>
                  </w:pPr>
                  <w:r>
                    <w:rPr>
                      <w:rFonts w:hint="eastAsia" w:ascii="Times New Roman" w:hAnsi="Times New Roman" w:cs="Times New Roman"/>
                      <w:color w:val="auto"/>
                      <w:lang w:eastAsia="zh-CN"/>
                    </w:rPr>
                    <w:t>30</w:t>
                  </w:r>
                  <w:r>
                    <w:rPr>
                      <w:rFonts w:ascii="Times New Roman" w:hAnsi="Times New Roman" w:cs="Times New Roman"/>
                      <w:color w:val="auto"/>
                    </w:rPr>
                    <w:t>0mg/L</w:t>
                  </w:r>
                </w:p>
              </w:tc>
              <w:tc>
                <w:tcPr>
                  <w:tcW w:w="1394" w:type="pct"/>
                  <w:shd w:val="clear" w:color="auto" w:fill="auto"/>
                  <w:noWrap w:val="0"/>
                  <w:vAlign w:val="center"/>
                </w:tcPr>
                <w:p w14:paraId="2EEE6432">
                  <w:pPr>
                    <w:pStyle w:val="63"/>
                    <w:rPr>
                      <w:rFonts w:ascii="Times New Roman" w:hAnsi="Times New Roman" w:cs="Times New Roman"/>
                      <w:color w:val="auto"/>
                    </w:rPr>
                  </w:pPr>
                  <w:r>
                    <w:rPr>
                      <w:rFonts w:hint="eastAsia" w:ascii="Times New Roman" w:hAnsi="Times New Roman" w:cs="Times New Roman"/>
                      <w:color w:val="auto"/>
                      <w:lang w:eastAsia="zh-CN"/>
                    </w:rPr>
                    <w:t>18</w:t>
                  </w:r>
                  <w:r>
                    <w:rPr>
                      <w:rFonts w:ascii="Times New Roman" w:hAnsi="Times New Roman" w:cs="Times New Roman"/>
                      <w:color w:val="auto"/>
                    </w:rPr>
                    <w:t>0mg/L</w:t>
                  </w:r>
                </w:p>
              </w:tc>
              <w:tc>
                <w:tcPr>
                  <w:tcW w:w="1396" w:type="pct"/>
                  <w:shd w:val="clear" w:color="auto" w:fill="F1F1F1"/>
                  <w:noWrap w:val="0"/>
                  <w:vAlign w:val="center"/>
                </w:tcPr>
                <w:p w14:paraId="23DFD7CD">
                  <w:pPr>
                    <w:pStyle w:val="63"/>
                    <w:rPr>
                      <w:rFonts w:ascii="Times New Roman" w:hAnsi="Times New Roman" w:cs="Times New Roman"/>
                      <w:color w:val="auto"/>
                    </w:rPr>
                  </w:pPr>
                  <w:r>
                    <w:rPr>
                      <w:rFonts w:hint="eastAsia" w:ascii="Times New Roman" w:hAnsi="Times New Roman" w:cs="Times New Roman"/>
                      <w:color w:val="auto"/>
                      <w:lang w:eastAsia="zh-CN"/>
                    </w:rPr>
                    <w:t>18</w:t>
                  </w:r>
                  <w:r>
                    <w:rPr>
                      <w:rFonts w:ascii="Times New Roman" w:hAnsi="Times New Roman" w:cs="Times New Roman"/>
                      <w:color w:val="auto"/>
                    </w:rPr>
                    <w:t>0mg/L</w:t>
                  </w:r>
                </w:p>
              </w:tc>
            </w:tr>
            <w:tr w14:paraId="3DB19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shd w:val="clear" w:color="auto" w:fill="auto"/>
                  <w:noWrap w:val="0"/>
                  <w:vAlign w:val="center"/>
                </w:tcPr>
                <w:p w14:paraId="51EAE2C0">
                  <w:pPr>
                    <w:pStyle w:val="63"/>
                    <w:rPr>
                      <w:rFonts w:ascii="Times New Roman" w:hAnsi="Times New Roman" w:cs="Times New Roman"/>
                      <w:color w:val="auto"/>
                    </w:rPr>
                  </w:pPr>
                  <w:r>
                    <w:rPr>
                      <w:rFonts w:ascii="Times New Roman" w:hAnsi="Times New Roman" w:cs="Times New Roman"/>
                      <w:color w:val="auto"/>
                    </w:rPr>
                    <w:t>SS</w:t>
                  </w:r>
                </w:p>
              </w:tc>
              <w:tc>
                <w:tcPr>
                  <w:tcW w:w="1394" w:type="pct"/>
                  <w:shd w:val="clear" w:color="auto" w:fill="auto"/>
                  <w:noWrap w:val="0"/>
                  <w:vAlign w:val="center"/>
                </w:tcPr>
                <w:p w14:paraId="54FB64C5">
                  <w:pPr>
                    <w:pStyle w:val="63"/>
                    <w:rPr>
                      <w:rFonts w:hint="eastAsia" w:ascii="Times New Roman" w:hAnsi="Times New Roman" w:cs="Times New Roman"/>
                      <w:color w:val="auto"/>
                      <w:lang w:eastAsia="zh-CN"/>
                    </w:rPr>
                  </w:pPr>
                  <w:r>
                    <w:rPr>
                      <w:rFonts w:hint="eastAsia" w:ascii="Times New Roman" w:hAnsi="Times New Roman" w:cs="Times New Roman"/>
                      <w:color w:val="auto"/>
                      <w:lang w:eastAsia="zh-CN"/>
                    </w:rPr>
                    <w:t>4</w:t>
                  </w:r>
                  <w:r>
                    <w:rPr>
                      <w:rFonts w:ascii="Times New Roman" w:hAnsi="Times New Roman" w:cs="Times New Roman"/>
                      <w:color w:val="auto"/>
                    </w:rPr>
                    <w:t>00mg/L</w:t>
                  </w:r>
                </w:p>
              </w:tc>
              <w:tc>
                <w:tcPr>
                  <w:tcW w:w="1394" w:type="pct"/>
                  <w:shd w:val="clear" w:color="auto" w:fill="auto"/>
                  <w:noWrap w:val="0"/>
                  <w:vAlign w:val="center"/>
                </w:tcPr>
                <w:p w14:paraId="29D0FADB">
                  <w:pPr>
                    <w:pStyle w:val="63"/>
                    <w:rPr>
                      <w:rFonts w:ascii="Times New Roman" w:hAnsi="Times New Roman" w:cs="Times New Roman"/>
                      <w:color w:val="auto"/>
                    </w:rPr>
                  </w:pPr>
                  <w:r>
                    <w:rPr>
                      <w:rFonts w:hint="eastAsia" w:ascii="Times New Roman" w:hAnsi="Times New Roman" w:cs="Times New Roman"/>
                      <w:color w:val="auto"/>
                      <w:lang w:eastAsia="zh-CN"/>
                    </w:rPr>
                    <w:t>3</w:t>
                  </w:r>
                  <w:r>
                    <w:rPr>
                      <w:rFonts w:ascii="Times New Roman" w:hAnsi="Times New Roman" w:cs="Times New Roman"/>
                      <w:color w:val="auto"/>
                    </w:rPr>
                    <w:t>00mg/L</w:t>
                  </w:r>
                </w:p>
              </w:tc>
              <w:tc>
                <w:tcPr>
                  <w:tcW w:w="1396" w:type="pct"/>
                  <w:shd w:val="clear" w:color="auto" w:fill="F1F1F1"/>
                  <w:noWrap w:val="0"/>
                  <w:vAlign w:val="center"/>
                </w:tcPr>
                <w:p w14:paraId="2D85F48E">
                  <w:pPr>
                    <w:pStyle w:val="63"/>
                    <w:rPr>
                      <w:rFonts w:ascii="Times New Roman" w:hAnsi="Times New Roman" w:cs="Times New Roman"/>
                      <w:color w:val="auto"/>
                    </w:rPr>
                  </w:pPr>
                  <w:r>
                    <w:rPr>
                      <w:rFonts w:hint="eastAsia" w:ascii="Times New Roman" w:hAnsi="Times New Roman" w:cs="Times New Roman"/>
                      <w:color w:val="auto"/>
                      <w:lang w:eastAsia="zh-CN"/>
                    </w:rPr>
                    <w:t>3</w:t>
                  </w:r>
                  <w:r>
                    <w:rPr>
                      <w:rFonts w:ascii="Times New Roman" w:hAnsi="Times New Roman" w:cs="Times New Roman"/>
                      <w:color w:val="auto"/>
                    </w:rPr>
                    <w:t>00mg/L</w:t>
                  </w:r>
                </w:p>
              </w:tc>
            </w:tr>
            <w:tr w14:paraId="21198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shd w:val="clear" w:color="auto" w:fill="auto"/>
                  <w:noWrap w:val="0"/>
                  <w:vAlign w:val="center"/>
                </w:tcPr>
                <w:p w14:paraId="276B8904">
                  <w:pPr>
                    <w:pStyle w:val="63"/>
                    <w:rPr>
                      <w:rFonts w:ascii="Times New Roman" w:hAnsi="Times New Roman" w:cs="Times New Roman"/>
                      <w:color w:val="auto"/>
                    </w:rPr>
                  </w:pP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-N</w:t>
                  </w:r>
                </w:p>
              </w:tc>
              <w:tc>
                <w:tcPr>
                  <w:tcW w:w="1394" w:type="pct"/>
                  <w:shd w:val="clear" w:color="auto" w:fill="auto"/>
                  <w:noWrap w:val="0"/>
                  <w:vAlign w:val="center"/>
                </w:tcPr>
                <w:p w14:paraId="742A7F6C">
                  <w:pPr>
                    <w:pStyle w:val="63"/>
                    <w:rPr>
                      <w:rFonts w:hint="eastAsia" w:ascii="Times New Roman" w:hAnsi="Times New Roman" w:cs="Times New Roman"/>
                      <w:color w:val="auto"/>
                      <w:lang w:eastAsia="zh-CN"/>
                    </w:rPr>
                  </w:pPr>
                  <w:r>
                    <w:rPr>
                      <w:rFonts w:hint="eastAsia" w:ascii="Times New Roman" w:hAnsi="Times New Roman" w:cs="Times New Roman"/>
                      <w:color w:val="auto"/>
                      <w:lang w:eastAsia="zh-CN"/>
                    </w:rPr>
                    <w:t>45</w:t>
                  </w:r>
                  <w:r>
                    <w:rPr>
                      <w:rFonts w:ascii="Times New Roman" w:hAnsi="Times New Roman" w:cs="Times New Roman"/>
                      <w:color w:val="auto"/>
                    </w:rPr>
                    <w:t>mg/L</w:t>
                  </w:r>
                  <w:r>
                    <w:rPr>
                      <w:rFonts w:hint="eastAsia" w:ascii="Times New Roman" w:hAnsi="Times New Roman" w:cs="Times New Roman"/>
                      <w:color w:val="auto"/>
                      <w:lang w:eastAsia="zh-CN"/>
                    </w:rPr>
                    <w:t>*</w:t>
                  </w:r>
                </w:p>
              </w:tc>
              <w:tc>
                <w:tcPr>
                  <w:tcW w:w="1394" w:type="pct"/>
                  <w:shd w:val="clear" w:color="auto" w:fill="auto"/>
                  <w:noWrap w:val="0"/>
                  <w:vAlign w:val="center"/>
                </w:tcPr>
                <w:p w14:paraId="6CB90DF1">
                  <w:pPr>
                    <w:pStyle w:val="63"/>
                    <w:rPr>
                      <w:rFonts w:ascii="Times New Roman" w:hAnsi="Times New Roman" w:cs="Times New Roman"/>
                      <w:color w:val="auto"/>
                    </w:rPr>
                  </w:pPr>
                  <w:r>
                    <w:rPr>
                      <w:rFonts w:hint="eastAsia" w:ascii="Times New Roman" w:hAnsi="Times New Roman" w:cs="Times New Roman"/>
                      <w:color w:val="auto"/>
                      <w:lang w:eastAsia="zh-CN"/>
                    </w:rPr>
                    <w:t>35</w:t>
                  </w:r>
                  <w:r>
                    <w:rPr>
                      <w:rFonts w:ascii="Times New Roman" w:hAnsi="Times New Roman" w:cs="Times New Roman"/>
                      <w:color w:val="auto"/>
                    </w:rPr>
                    <w:t>mg/L</w:t>
                  </w:r>
                </w:p>
              </w:tc>
              <w:tc>
                <w:tcPr>
                  <w:tcW w:w="1396" w:type="pct"/>
                  <w:shd w:val="clear" w:color="auto" w:fill="F1F1F1"/>
                  <w:noWrap w:val="0"/>
                  <w:vAlign w:val="center"/>
                </w:tcPr>
                <w:p w14:paraId="21007FBC">
                  <w:pPr>
                    <w:pStyle w:val="63"/>
                    <w:rPr>
                      <w:rFonts w:ascii="Times New Roman" w:hAnsi="Times New Roman" w:cs="Times New Roman"/>
                      <w:color w:val="auto"/>
                      <w:lang w:eastAsia="zh-CN"/>
                    </w:rPr>
                  </w:pPr>
                  <w:r>
                    <w:rPr>
                      <w:rFonts w:hint="eastAsia" w:ascii="Times New Roman" w:hAnsi="Times New Roman" w:cs="Times New Roman"/>
                      <w:color w:val="auto"/>
                      <w:lang w:eastAsia="zh-CN"/>
                    </w:rPr>
                    <w:t>35</w:t>
                  </w:r>
                  <w:r>
                    <w:rPr>
                      <w:rFonts w:ascii="Times New Roman" w:hAnsi="Times New Roman" w:cs="Times New Roman"/>
                      <w:color w:val="auto"/>
                    </w:rPr>
                    <w:t>mg/L</w:t>
                  </w:r>
                </w:p>
              </w:tc>
            </w:tr>
            <w:tr w14:paraId="68F30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shd w:val="clear" w:color="auto" w:fill="auto"/>
                  <w:noWrap w:val="0"/>
                  <w:vAlign w:val="center"/>
                </w:tcPr>
                <w:p w14:paraId="55BA2C42">
                  <w:pPr>
                    <w:pStyle w:val="63"/>
                    <w:rPr>
                      <w:rFonts w:ascii="Times New Roman" w:hAnsi="Times New Roman" w:cs="Times New Roman"/>
                      <w:color w:val="auto"/>
                    </w:rPr>
                  </w:pPr>
                  <w:r>
                    <w:rPr>
                      <w:rFonts w:hint="default" w:ascii="Times New Roman" w:hAnsi="Times New Roman" w:cs="Times New Roman"/>
                      <w:snapToGrid w:val="0"/>
                      <w:color w:val="auto"/>
                      <w:kern w:val="18"/>
                      <w:lang w:val="en-US" w:eastAsia="zh-CN"/>
                    </w:rPr>
                    <w:t>石油类</w:t>
                  </w:r>
                </w:p>
              </w:tc>
              <w:tc>
                <w:tcPr>
                  <w:tcW w:w="1394" w:type="pct"/>
                  <w:shd w:val="clear" w:color="auto" w:fill="auto"/>
                  <w:noWrap w:val="0"/>
                  <w:vAlign w:val="center"/>
                </w:tcPr>
                <w:p w14:paraId="6D86EBCC">
                  <w:pPr>
                    <w:pStyle w:val="6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r>
                    <w:rPr>
                      <w:rFonts w:ascii="Times New Roman" w:hAnsi="Times New Roman" w:cs="Times New Roman"/>
                      <w:color w:val="auto"/>
                    </w:rPr>
                    <w:t>mg/L</w:t>
                  </w:r>
                </w:p>
              </w:tc>
              <w:tc>
                <w:tcPr>
                  <w:tcW w:w="1394" w:type="pct"/>
                  <w:shd w:val="clear" w:color="auto" w:fill="auto"/>
                  <w:noWrap w:val="0"/>
                  <w:vAlign w:val="center"/>
                </w:tcPr>
                <w:p w14:paraId="313589FE">
                  <w:pPr>
                    <w:pStyle w:val="6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396" w:type="pct"/>
                  <w:shd w:val="clear" w:color="auto" w:fill="F1F1F1"/>
                  <w:noWrap w:val="0"/>
                  <w:vAlign w:val="center"/>
                </w:tcPr>
                <w:p w14:paraId="3621FB8D">
                  <w:pPr>
                    <w:pStyle w:val="6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r>
                    <w:rPr>
                      <w:rFonts w:ascii="Times New Roman" w:hAnsi="Times New Roman" w:cs="Times New Roman"/>
                      <w:color w:val="auto"/>
                    </w:rPr>
                    <w:t>mg/L</w:t>
                  </w:r>
                </w:p>
              </w:tc>
            </w:tr>
            <w:tr w14:paraId="4A9C0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shd w:val="clear" w:color="auto" w:fill="auto"/>
                  <w:noWrap w:val="0"/>
                  <w:vAlign w:val="center"/>
                </w:tcPr>
                <w:p w14:paraId="5AAF73B6">
                  <w:pPr>
                    <w:pStyle w:val="89"/>
                    <w:spacing w:line="340" w:lineRule="exact"/>
                    <w:ind w:firstLine="0" w:firstLineChars="0"/>
                    <w:rPr>
                      <w:rFonts w:ascii="Times New Roman" w:hAnsi="Times New Roman" w:cs="Times New Roman"/>
                      <w:color w:val="auto"/>
                    </w:rPr>
                  </w:pPr>
                  <w:r>
                    <w:rPr>
                      <w:rFonts w:hint="default" w:ascii="Times New Roman" w:hAnsi="Times New Roman" w:eastAsia="宋体" w:cs="Times New Roman"/>
                      <w:snapToGrid w:val="0"/>
                      <w:color w:val="auto"/>
                      <w:kern w:val="18"/>
                      <w:lang w:val="en-US" w:eastAsia="zh-CN"/>
                    </w:rPr>
                    <w:t>TN</w:t>
                  </w:r>
                </w:p>
              </w:tc>
              <w:tc>
                <w:tcPr>
                  <w:tcW w:w="1394" w:type="pct"/>
                  <w:shd w:val="clear" w:color="auto" w:fill="auto"/>
                  <w:noWrap w:val="0"/>
                  <w:vAlign w:val="center"/>
                </w:tcPr>
                <w:p w14:paraId="6900D061">
                  <w:pPr>
                    <w:pStyle w:val="6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w:t>
                  </w:r>
                  <w:r>
                    <w:rPr>
                      <w:rFonts w:ascii="Times New Roman" w:hAnsi="Times New Roman" w:cs="Times New Roman"/>
                      <w:color w:val="auto"/>
                    </w:rPr>
                    <w:t>mg/L</w:t>
                  </w:r>
                </w:p>
              </w:tc>
              <w:tc>
                <w:tcPr>
                  <w:tcW w:w="1394" w:type="pct"/>
                  <w:shd w:val="clear" w:color="auto" w:fill="auto"/>
                  <w:noWrap w:val="0"/>
                  <w:vAlign w:val="center"/>
                </w:tcPr>
                <w:p w14:paraId="31C5269F">
                  <w:pPr>
                    <w:pStyle w:val="6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45</w:t>
                  </w:r>
                  <w:r>
                    <w:rPr>
                      <w:rFonts w:ascii="Times New Roman" w:hAnsi="Times New Roman" w:cs="Times New Roman"/>
                      <w:color w:val="auto"/>
                    </w:rPr>
                    <w:t>mg/L</w:t>
                  </w:r>
                </w:p>
              </w:tc>
              <w:tc>
                <w:tcPr>
                  <w:tcW w:w="1396" w:type="pct"/>
                  <w:shd w:val="clear" w:color="auto" w:fill="F1F1F1"/>
                  <w:noWrap w:val="0"/>
                  <w:vAlign w:val="center"/>
                </w:tcPr>
                <w:p w14:paraId="37E332C5">
                  <w:pPr>
                    <w:pStyle w:val="6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45</w:t>
                  </w:r>
                  <w:r>
                    <w:rPr>
                      <w:rFonts w:ascii="Times New Roman" w:hAnsi="Times New Roman" w:cs="Times New Roman"/>
                      <w:color w:val="auto"/>
                    </w:rPr>
                    <w:t>mg/L</w:t>
                  </w:r>
                </w:p>
              </w:tc>
            </w:tr>
            <w:tr w14:paraId="1E42E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shd w:val="clear" w:color="auto" w:fill="auto"/>
                  <w:noWrap w:val="0"/>
                  <w:vAlign w:val="center"/>
                </w:tcPr>
                <w:p w14:paraId="09B5547F">
                  <w:pPr>
                    <w:pStyle w:val="89"/>
                    <w:spacing w:line="340" w:lineRule="exact"/>
                    <w:ind w:firstLine="0" w:firstLineChars="0"/>
                    <w:rPr>
                      <w:rFonts w:ascii="Times New Roman" w:hAnsi="Times New Roman" w:cs="Times New Roman"/>
                      <w:color w:val="auto"/>
                    </w:rPr>
                  </w:pPr>
                  <w:r>
                    <w:rPr>
                      <w:rFonts w:hint="default" w:ascii="Times New Roman" w:hAnsi="Times New Roman" w:eastAsia="宋体" w:cs="Times New Roman"/>
                      <w:snapToGrid w:val="0"/>
                      <w:color w:val="auto"/>
                      <w:kern w:val="18"/>
                      <w:lang w:val="en-US" w:eastAsia="zh-CN"/>
                    </w:rPr>
                    <w:t>TP</w:t>
                  </w:r>
                </w:p>
              </w:tc>
              <w:tc>
                <w:tcPr>
                  <w:tcW w:w="1394" w:type="pct"/>
                  <w:shd w:val="clear" w:color="auto" w:fill="auto"/>
                  <w:noWrap w:val="0"/>
                  <w:vAlign w:val="center"/>
                </w:tcPr>
                <w:p w14:paraId="35DABEAA">
                  <w:pPr>
                    <w:pStyle w:val="6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r>
                    <w:rPr>
                      <w:rFonts w:ascii="Times New Roman" w:hAnsi="Times New Roman" w:cs="Times New Roman"/>
                      <w:color w:val="auto"/>
                    </w:rPr>
                    <w:t>mg/L</w:t>
                  </w:r>
                </w:p>
              </w:tc>
              <w:tc>
                <w:tcPr>
                  <w:tcW w:w="1394" w:type="pct"/>
                  <w:shd w:val="clear" w:color="auto" w:fill="auto"/>
                  <w:noWrap w:val="0"/>
                  <w:vAlign w:val="center"/>
                </w:tcPr>
                <w:p w14:paraId="4FEF2A67">
                  <w:pPr>
                    <w:pStyle w:val="6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ascii="Times New Roman" w:hAnsi="Times New Roman" w:cs="Times New Roman"/>
                      <w:color w:val="auto"/>
                    </w:rPr>
                    <w:t>mg/L</w:t>
                  </w:r>
                </w:p>
              </w:tc>
              <w:tc>
                <w:tcPr>
                  <w:tcW w:w="1396" w:type="pct"/>
                  <w:shd w:val="clear" w:color="auto" w:fill="F1F1F1"/>
                  <w:noWrap w:val="0"/>
                  <w:vAlign w:val="center"/>
                </w:tcPr>
                <w:p w14:paraId="3B270181">
                  <w:pPr>
                    <w:pStyle w:val="6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ascii="Times New Roman" w:hAnsi="Times New Roman" w:cs="Times New Roman"/>
                      <w:color w:val="auto"/>
                    </w:rPr>
                    <w:t>mg/L</w:t>
                  </w:r>
                </w:p>
              </w:tc>
            </w:tr>
            <w:tr w14:paraId="4DE34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14:paraId="56CC7C2F">
                  <w:pPr>
                    <w:pStyle w:val="63"/>
                    <w:jc w:val="left"/>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《污水排入城镇下水道水质标准》(GB/T 31962-2015)表1中B级标准</w:t>
                  </w:r>
                </w:p>
              </w:tc>
            </w:tr>
          </w:tbl>
          <w:p w14:paraId="1B6426A2">
            <w:pPr>
              <w:keepNext w:val="0"/>
              <w:keepLines w:val="0"/>
              <w:pageBreakBefore w:val="0"/>
              <w:widowControl w:val="0"/>
              <w:kinsoku/>
              <w:wordWrap/>
              <w:overflowPunct/>
              <w:topLinePunct w:val="0"/>
              <w:autoSpaceDE/>
              <w:autoSpaceDN/>
              <w:bidi w:val="0"/>
              <w:adjustRightInd/>
              <w:snapToGrid/>
              <w:spacing w:before="191" w:beforeLines="5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w:t>
            </w:r>
            <w:r>
              <w:rPr>
                <w:rFonts w:hint="default" w:ascii="Times New Roman" w:hAnsi="Times New Roman" w:cs="Times New Roman"/>
                <w:color w:val="auto"/>
                <w:sz w:val="24"/>
                <w:lang w:eastAsia="zh-CN"/>
              </w:rPr>
              <w:t>污水处理厂</w:t>
            </w:r>
            <w:r>
              <w:rPr>
                <w:rFonts w:hint="default" w:ascii="Times New Roman" w:hAnsi="Times New Roman" w:eastAsia="宋体" w:cs="Times New Roman"/>
                <w:color w:val="auto"/>
                <w:sz w:val="24"/>
              </w:rPr>
              <w:t>排放标准</w:t>
            </w:r>
          </w:p>
          <w:p w14:paraId="53A9CB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根据调查，</w:t>
            </w:r>
            <w:r>
              <w:rPr>
                <w:rFonts w:hint="default" w:ascii="Times New Roman" w:hAnsi="Times New Roman" w:eastAsia="宋体" w:cs="Times New Roman"/>
                <w:color w:val="auto"/>
                <w:sz w:val="24"/>
                <w:lang w:eastAsia="zh-CN"/>
              </w:rPr>
              <w:t>江镜华侨农场污水处理厂</w:t>
            </w:r>
            <w:r>
              <w:rPr>
                <w:rFonts w:hint="default" w:ascii="Times New Roman" w:hAnsi="Times New Roman" w:eastAsia="宋体" w:cs="Times New Roman"/>
                <w:color w:val="auto"/>
                <w:sz w:val="24"/>
              </w:rPr>
              <w:t>尾水排放执行</w:t>
            </w:r>
            <w:r>
              <w:rPr>
                <w:rFonts w:hint="default" w:ascii="Times New Roman" w:hAnsi="Times New Roman" w:eastAsia="宋体" w:cs="Times New Roman"/>
                <w:color w:val="auto"/>
                <w:sz w:val="24"/>
                <w:lang w:eastAsia="zh-CN"/>
              </w:rPr>
              <w:t>《城镇污水处理厂污染物排放标准》(GB18918-2002)及其修改单</w:t>
            </w:r>
            <w:r>
              <w:rPr>
                <w:rFonts w:hint="default" w:ascii="Times New Roman" w:hAnsi="Times New Roman" w:eastAsia="宋体" w:cs="Times New Roman"/>
                <w:color w:val="auto"/>
                <w:sz w:val="24"/>
              </w:rPr>
              <w:t>表1的</w:t>
            </w:r>
            <w:r>
              <w:rPr>
                <w:rFonts w:hint="default" w:ascii="Times New Roman" w:hAnsi="Times New Roman" w:eastAsia="宋体" w:cs="Times New Roman"/>
                <w:color w:val="auto"/>
                <w:sz w:val="24"/>
                <w:lang w:eastAsia="zh-CN"/>
              </w:rPr>
              <w:t>一级标准A标准</w:t>
            </w:r>
            <w:r>
              <w:rPr>
                <w:rFonts w:hint="default" w:ascii="Times New Roman" w:hAnsi="Times New Roman" w:eastAsia="宋体" w:cs="Times New Roman"/>
                <w:color w:val="auto"/>
                <w:sz w:val="24"/>
              </w:rPr>
              <w:t>，具体详见表3.</w:t>
            </w:r>
            <w:r>
              <w:rPr>
                <w:rFonts w:hint="default" w:ascii="Times New Roman" w:hAnsi="Times New Roman" w:eastAsia="宋体" w:cs="Times New Roman"/>
                <w:color w:val="auto"/>
                <w:sz w:val="24"/>
                <w:lang w:val="en-US" w:eastAsia="zh-CN"/>
              </w:rPr>
              <w:t>7-</w:t>
            </w:r>
            <w:r>
              <w:rPr>
                <w:rFonts w:hint="eastAsia" w:cs="Times New Roman"/>
                <w:color w:val="auto"/>
                <w:sz w:val="24"/>
                <w:lang w:val="en-US" w:eastAsia="zh-CN"/>
              </w:rPr>
              <w:t>2</w:t>
            </w:r>
            <w:r>
              <w:rPr>
                <w:rFonts w:hint="default" w:ascii="Times New Roman" w:hAnsi="Times New Roman" w:eastAsia="宋体" w:cs="Times New Roman"/>
                <w:color w:val="auto"/>
                <w:sz w:val="24"/>
              </w:rPr>
              <w:t>。</w:t>
            </w:r>
          </w:p>
          <w:p w14:paraId="1E3EED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auto"/>
                <w:sz w:val="24"/>
                <w:szCs w:val="22"/>
              </w:rPr>
            </w:pPr>
            <w:r>
              <w:rPr>
                <w:rFonts w:hint="default" w:ascii="Times New Roman" w:hAnsi="Times New Roman" w:eastAsia="黑体" w:cs="Times New Roman"/>
                <w:color w:val="auto"/>
                <w:sz w:val="24"/>
                <w:szCs w:val="22"/>
              </w:rPr>
              <w:t>表3.</w:t>
            </w:r>
            <w:r>
              <w:rPr>
                <w:rFonts w:hint="default" w:ascii="Times New Roman" w:hAnsi="Times New Roman" w:eastAsia="黑体" w:cs="Times New Roman"/>
                <w:color w:val="auto"/>
                <w:sz w:val="24"/>
                <w:szCs w:val="22"/>
                <w:lang w:val="en-US" w:eastAsia="zh-CN"/>
              </w:rPr>
              <w:t>7-</w:t>
            </w:r>
            <w:r>
              <w:rPr>
                <w:rFonts w:hint="eastAsia" w:eastAsia="黑体" w:cs="Times New Roman"/>
                <w:color w:val="auto"/>
                <w:sz w:val="24"/>
                <w:szCs w:val="22"/>
                <w:lang w:val="en-US" w:eastAsia="zh-CN"/>
              </w:rPr>
              <w:t>2</w:t>
            </w:r>
            <w:r>
              <w:rPr>
                <w:rFonts w:hint="default" w:ascii="Times New Roman" w:hAnsi="Times New Roman" w:eastAsia="黑体" w:cs="Times New Roman"/>
                <w:color w:val="auto"/>
                <w:sz w:val="24"/>
                <w:szCs w:val="22"/>
              </w:rPr>
              <w:t xml:space="preserve">  污水处理厂污水排放标准</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2624"/>
              <w:gridCol w:w="3859"/>
            </w:tblGrid>
            <w:tr w14:paraId="1D510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05C10357">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rPr>
                    <w:t>污染物名称</w:t>
                  </w:r>
                </w:p>
              </w:tc>
              <w:tc>
                <w:tcPr>
                  <w:tcW w:w="1584" w:type="pct"/>
                  <w:noWrap w:val="0"/>
                  <w:vAlign w:val="center"/>
                </w:tcPr>
                <w:p w14:paraId="0E52BE26">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rPr>
                    <w:t>一级标准</w:t>
                  </w:r>
                  <w:r>
                    <w:rPr>
                      <w:rFonts w:hint="default" w:ascii="Times New Roman" w:hAnsi="Times New Roman" w:eastAsia="宋体" w:cs="Times New Roman"/>
                      <w:snapToGrid w:val="0"/>
                      <w:color w:val="auto"/>
                      <w:kern w:val="18"/>
                      <w:lang w:val="en-US" w:eastAsia="zh-CN"/>
                    </w:rPr>
                    <w:t>A</w:t>
                  </w:r>
                  <w:r>
                    <w:rPr>
                      <w:rFonts w:hint="default" w:ascii="Times New Roman" w:hAnsi="Times New Roman" w:eastAsia="宋体" w:cs="Times New Roman"/>
                      <w:snapToGrid w:val="0"/>
                      <w:color w:val="auto"/>
                      <w:kern w:val="18"/>
                    </w:rPr>
                    <w:t>标准限值</w:t>
                  </w:r>
                </w:p>
              </w:tc>
              <w:tc>
                <w:tcPr>
                  <w:tcW w:w="2330" w:type="pct"/>
                  <w:noWrap w:val="0"/>
                  <w:vAlign w:val="center"/>
                </w:tcPr>
                <w:p w14:paraId="53A4EB32">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rPr>
                    <w:t>标准来源</w:t>
                  </w:r>
                </w:p>
              </w:tc>
            </w:tr>
            <w:tr w14:paraId="1A321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29CA641D">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rPr>
                    <w:t>pH</w:t>
                  </w:r>
                </w:p>
              </w:tc>
              <w:tc>
                <w:tcPr>
                  <w:tcW w:w="1584" w:type="pct"/>
                  <w:noWrap w:val="0"/>
                  <w:vAlign w:val="center"/>
                </w:tcPr>
                <w:p w14:paraId="0DE8E8E0">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rPr>
                    <w:t xml:space="preserve">6～9 </w:t>
                  </w:r>
                  <w:r>
                    <w:rPr>
                      <w:rFonts w:hint="default" w:ascii="Times New Roman" w:hAnsi="Times New Roman" w:eastAsia="宋体" w:cs="Times New Roman"/>
                      <w:snapToGrid w:val="0"/>
                      <w:color w:val="auto"/>
                      <w:kern w:val="18"/>
                      <w:lang w:val="en-US" w:eastAsia="zh-CN"/>
                    </w:rPr>
                    <w:t>(无量纲)</w:t>
                  </w:r>
                </w:p>
              </w:tc>
              <w:tc>
                <w:tcPr>
                  <w:tcW w:w="2330" w:type="pct"/>
                  <w:vMerge w:val="restart"/>
                  <w:noWrap w:val="0"/>
                  <w:vAlign w:val="center"/>
                </w:tcPr>
                <w:p w14:paraId="21E37CDA">
                  <w:pPr>
                    <w:pStyle w:val="89"/>
                    <w:spacing w:line="340" w:lineRule="exact"/>
                    <w:ind w:firstLine="0" w:firstLineChars="0"/>
                    <w:rPr>
                      <w:rFonts w:hint="default" w:ascii="Times New Roman" w:hAnsi="Times New Roman" w:eastAsia="宋体" w:cs="Times New Roman"/>
                      <w:snapToGrid w:val="0"/>
                      <w:color w:val="auto"/>
                      <w:kern w:val="18"/>
                      <w:lang w:eastAsia="zh-CN"/>
                    </w:rPr>
                  </w:pPr>
                  <w:r>
                    <w:rPr>
                      <w:rFonts w:hint="default" w:ascii="Times New Roman" w:hAnsi="Times New Roman" w:eastAsia="宋体" w:cs="Times New Roman"/>
                      <w:snapToGrid w:val="0"/>
                      <w:color w:val="auto"/>
                      <w:kern w:val="18"/>
                      <w:lang w:eastAsia="zh-CN"/>
                    </w:rPr>
                    <w:t>《城镇污水处理厂污染物排放标准》(GB18918-2002)及其修改单</w:t>
                  </w:r>
                  <w:r>
                    <w:rPr>
                      <w:rFonts w:hint="default" w:ascii="Times New Roman" w:hAnsi="Times New Roman" w:eastAsia="宋体" w:cs="Times New Roman"/>
                      <w:snapToGrid w:val="0"/>
                      <w:color w:val="auto"/>
                      <w:kern w:val="18"/>
                    </w:rPr>
                    <w:t>表1的</w:t>
                  </w:r>
                  <w:r>
                    <w:rPr>
                      <w:rFonts w:hint="default" w:ascii="Times New Roman" w:hAnsi="Times New Roman" w:eastAsia="宋体" w:cs="Times New Roman"/>
                      <w:snapToGrid w:val="0"/>
                      <w:color w:val="auto"/>
                      <w:kern w:val="18"/>
                      <w:lang w:eastAsia="zh-CN"/>
                    </w:rPr>
                    <w:t>一级标准A标准</w:t>
                  </w:r>
                </w:p>
              </w:tc>
            </w:tr>
            <w:tr w14:paraId="0C64D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236C53E6">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rPr>
                    <w:t>COD</w:t>
                  </w:r>
                </w:p>
              </w:tc>
              <w:tc>
                <w:tcPr>
                  <w:tcW w:w="1584" w:type="pct"/>
                  <w:noWrap w:val="0"/>
                  <w:vAlign w:val="center"/>
                </w:tcPr>
                <w:p w14:paraId="7E0076BA">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lang w:val="en-US" w:eastAsia="zh-CN"/>
                    </w:rPr>
                    <w:t>50</w:t>
                  </w:r>
                  <w:r>
                    <w:rPr>
                      <w:rFonts w:hint="default" w:ascii="Times New Roman" w:hAnsi="Times New Roman" w:eastAsia="宋体" w:cs="Times New Roman"/>
                      <w:snapToGrid w:val="0"/>
                      <w:color w:val="auto"/>
                      <w:kern w:val="18"/>
                    </w:rPr>
                    <w:t>mg/L</w:t>
                  </w:r>
                </w:p>
              </w:tc>
              <w:tc>
                <w:tcPr>
                  <w:tcW w:w="2330" w:type="pct"/>
                  <w:vMerge w:val="continue"/>
                  <w:noWrap w:val="0"/>
                  <w:vAlign w:val="center"/>
                </w:tcPr>
                <w:p w14:paraId="6CDBF7A3">
                  <w:pPr>
                    <w:pStyle w:val="89"/>
                    <w:spacing w:line="340" w:lineRule="exact"/>
                    <w:ind w:firstLine="0" w:firstLineChars="0"/>
                    <w:rPr>
                      <w:rFonts w:hint="default" w:ascii="Times New Roman" w:hAnsi="Times New Roman" w:eastAsia="宋体" w:cs="Times New Roman"/>
                      <w:snapToGrid w:val="0"/>
                      <w:color w:val="auto"/>
                      <w:kern w:val="18"/>
                    </w:rPr>
                  </w:pPr>
                </w:p>
              </w:tc>
            </w:tr>
            <w:tr w14:paraId="3F782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63576654">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rPr>
                    <w:t>BOD</w:t>
                  </w:r>
                  <w:r>
                    <w:rPr>
                      <w:rFonts w:hint="default" w:ascii="Times New Roman" w:hAnsi="Times New Roman" w:eastAsia="宋体" w:cs="Times New Roman"/>
                      <w:snapToGrid w:val="0"/>
                      <w:color w:val="auto"/>
                      <w:kern w:val="18"/>
                      <w:vertAlign w:val="subscript"/>
                    </w:rPr>
                    <w:t>5</w:t>
                  </w:r>
                </w:p>
              </w:tc>
              <w:tc>
                <w:tcPr>
                  <w:tcW w:w="1584" w:type="pct"/>
                  <w:noWrap w:val="0"/>
                  <w:vAlign w:val="center"/>
                </w:tcPr>
                <w:p w14:paraId="5DFB99C3">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lang w:val="en-US" w:eastAsia="zh-CN"/>
                    </w:rPr>
                    <w:t>1</w:t>
                  </w:r>
                  <w:r>
                    <w:rPr>
                      <w:rFonts w:hint="default" w:ascii="Times New Roman" w:hAnsi="Times New Roman" w:eastAsia="宋体" w:cs="Times New Roman"/>
                      <w:snapToGrid w:val="0"/>
                      <w:color w:val="auto"/>
                      <w:kern w:val="18"/>
                    </w:rPr>
                    <w:t>0mg/L</w:t>
                  </w:r>
                </w:p>
              </w:tc>
              <w:tc>
                <w:tcPr>
                  <w:tcW w:w="2330" w:type="pct"/>
                  <w:vMerge w:val="continue"/>
                  <w:noWrap w:val="0"/>
                  <w:vAlign w:val="center"/>
                </w:tcPr>
                <w:p w14:paraId="6F2138DF">
                  <w:pPr>
                    <w:pStyle w:val="89"/>
                    <w:spacing w:line="340" w:lineRule="exact"/>
                    <w:ind w:firstLine="0" w:firstLineChars="0"/>
                    <w:rPr>
                      <w:rFonts w:hint="default" w:ascii="Times New Roman" w:hAnsi="Times New Roman" w:eastAsia="宋体" w:cs="Times New Roman"/>
                      <w:snapToGrid w:val="0"/>
                      <w:color w:val="auto"/>
                      <w:kern w:val="18"/>
                    </w:rPr>
                  </w:pPr>
                </w:p>
              </w:tc>
            </w:tr>
            <w:tr w14:paraId="1E7B0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6DD66F50">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rPr>
                    <w:t>SS</w:t>
                  </w:r>
                </w:p>
              </w:tc>
              <w:tc>
                <w:tcPr>
                  <w:tcW w:w="1584" w:type="pct"/>
                  <w:noWrap w:val="0"/>
                  <w:vAlign w:val="center"/>
                </w:tcPr>
                <w:p w14:paraId="11A2B411">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lang w:val="en-US" w:eastAsia="zh-CN"/>
                    </w:rPr>
                    <w:t>1</w:t>
                  </w:r>
                  <w:r>
                    <w:rPr>
                      <w:rFonts w:hint="default" w:ascii="Times New Roman" w:hAnsi="Times New Roman" w:eastAsia="宋体" w:cs="Times New Roman"/>
                      <w:snapToGrid w:val="0"/>
                      <w:color w:val="auto"/>
                      <w:kern w:val="18"/>
                    </w:rPr>
                    <w:t>0mg/L</w:t>
                  </w:r>
                </w:p>
              </w:tc>
              <w:tc>
                <w:tcPr>
                  <w:tcW w:w="2330" w:type="pct"/>
                  <w:vMerge w:val="continue"/>
                  <w:noWrap w:val="0"/>
                  <w:vAlign w:val="center"/>
                </w:tcPr>
                <w:p w14:paraId="0A5BB649">
                  <w:pPr>
                    <w:pStyle w:val="89"/>
                    <w:spacing w:line="340" w:lineRule="exact"/>
                    <w:ind w:firstLine="0" w:firstLineChars="0"/>
                    <w:rPr>
                      <w:rFonts w:hint="default" w:ascii="Times New Roman" w:hAnsi="Times New Roman" w:eastAsia="宋体" w:cs="Times New Roman"/>
                      <w:snapToGrid w:val="0"/>
                      <w:color w:val="auto"/>
                      <w:kern w:val="18"/>
                    </w:rPr>
                  </w:pPr>
                </w:p>
              </w:tc>
            </w:tr>
            <w:tr w14:paraId="463BD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23BE5A97">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rPr>
                    <w:t>NH</w:t>
                  </w:r>
                  <w:r>
                    <w:rPr>
                      <w:rFonts w:hint="default" w:ascii="Times New Roman" w:hAnsi="Times New Roman" w:eastAsia="宋体" w:cs="Times New Roman"/>
                      <w:snapToGrid w:val="0"/>
                      <w:color w:val="auto"/>
                      <w:kern w:val="18"/>
                      <w:vertAlign w:val="subscript"/>
                    </w:rPr>
                    <w:t>3</w:t>
                  </w:r>
                  <w:r>
                    <w:rPr>
                      <w:rFonts w:hint="default" w:ascii="Times New Roman" w:hAnsi="Times New Roman" w:eastAsia="宋体" w:cs="Times New Roman"/>
                      <w:snapToGrid w:val="0"/>
                      <w:color w:val="auto"/>
                      <w:kern w:val="18"/>
                    </w:rPr>
                    <w:t>-N</w:t>
                  </w:r>
                </w:p>
              </w:tc>
              <w:tc>
                <w:tcPr>
                  <w:tcW w:w="1584" w:type="pct"/>
                  <w:noWrap w:val="0"/>
                  <w:vAlign w:val="center"/>
                </w:tcPr>
                <w:p w14:paraId="5DC6389B">
                  <w:pPr>
                    <w:pStyle w:val="89"/>
                    <w:spacing w:line="340" w:lineRule="exact"/>
                    <w:ind w:firstLine="0" w:firstLineChars="0"/>
                    <w:rPr>
                      <w:rFonts w:hint="default" w:ascii="Times New Roman" w:hAnsi="Times New Roman" w:eastAsia="宋体" w:cs="Times New Roman"/>
                      <w:snapToGrid w:val="0"/>
                      <w:color w:val="auto"/>
                      <w:kern w:val="18"/>
                    </w:rPr>
                  </w:pPr>
                  <w:r>
                    <w:rPr>
                      <w:rFonts w:hint="default" w:ascii="Times New Roman" w:hAnsi="Times New Roman" w:eastAsia="宋体" w:cs="Times New Roman"/>
                      <w:snapToGrid w:val="0"/>
                      <w:color w:val="auto"/>
                      <w:kern w:val="18"/>
                      <w:lang w:val="en-US" w:eastAsia="zh-CN"/>
                    </w:rPr>
                    <w:t>5</w:t>
                  </w:r>
                  <w:r>
                    <w:rPr>
                      <w:rFonts w:hint="default" w:ascii="Times New Roman" w:hAnsi="Times New Roman" w:eastAsia="宋体" w:cs="Times New Roman"/>
                      <w:snapToGrid w:val="0"/>
                      <w:color w:val="auto"/>
                      <w:kern w:val="18"/>
                    </w:rPr>
                    <w:t>mg/L</w:t>
                  </w:r>
                </w:p>
              </w:tc>
              <w:tc>
                <w:tcPr>
                  <w:tcW w:w="2330" w:type="pct"/>
                  <w:vMerge w:val="continue"/>
                  <w:noWrap w:val="0"/>
                  <w:vAlign w:val="center"/>
                </w:tcPr>
                <w:p w14:paraId="489F83E0">
                  <w:pPr>
                    <w:pStyle w:val="89"/>
                    <w:spacing w:line="340" w:lineRule="exact"/>
                    <w:ind w:firstLine="0" w:firstLineChars="0"/>
                    <w:rPr>
                      <w:rFonts w:hint="default" w:ascii="Times New Roman" w:hAnsi="Times New Roman" w:eastAsia="宋体" w:cs="Times New Roman"/>
                      <w:snapToGrid w:val="0"/>
                      <w:color w:val="auto"/>
                      <w:kern w:val="18"/>
                    </w:rPr>
                  </w:pPr>
                </w:p>
              </w:tc>
            </w:tr>
            <w:tr w14:paraId="7CCB3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47D5245D">
                  <w:pPr>
                    <w:pStyle w:val="89"/>
                    <w:spacing w:line="340" w:lineRule="exact"/>
                    <w:ind w:firstLine="0" w:firstLineChars="0"/>
                    <w:rPr>
                      <w:rFonts w:hint="default" w:ascii="Times New Roman" w:hAnsi="Times New Roman" w:eastAsia="宋体" w:cs="Times New Roman"/>
                      <w:snapToGrid w:val="0"/>
                      <w:color w:val="auto"/>
                      <w:kern w:val="18"/>
                      <w:lang w:val="en-US" w:eastAsia="zh-CN"/>
                    </w:rPr>
                  </w:pPr>
                  <w:r>
                    <w:rPr>
                      <w:rFonts w:hint="default" w:ascii="Times New Roman" w:hAnsi="Times New Roman" w:cs="Times New Roman"/>
                      <w:snapToGrid w:val="0"/>
                      <w:color w:val="auto"/>
                      <w:kern w:val="18"/>
                      <w:lang w:val="en-US" w:eastAsia="zh-CN"/>
                    </w:rPr>
                    <w:t>石油类</w:t>
                  </w:r>
                </w:p>
              </w:tc>
              <w:tc>
                <w:tcPr>
                  <w:tcW w:w="1584" w:type="pct"/>
                  <w:noWrap w:val="0"/>
                  <w:vAlign w:val="center"/>
                </w:tcPr>
                <w:p w14:paraId="58A7370D">
                  <w:pPr>
                    <w:pStyle w:val="89"/>
                    <w:spacing w:line="340" w:lineRule="exact"/>
                    <w:ind w:firstLine="0" w:firstLineChars="0"/>
                    <w:rPr>
                      <w:rFonts w:hint="default" w:ascii="Times New Roman" w:hAnsi="Times New Roman" w:eastAsia="宋体" w:cs="Times New Roman"/>
                      <w:snapToGrid w:val="0"/>
                      <w:color w:val="auto"/>
                      <w:kern w:val="18"/>
                      <w:lang w:val="en-US" w:eastAsia="zh-CN"/>
                    </w:rPr>
                  </w:pPr>
                  <w:r>
                    <w:rPr>
                      <w:rFonts w:hint="default" w:ascii="Times New Roman" w:hAnsi="Times New Roman" w:cs="Times New Roman"/>
                      <w:snapToGrid w:val="0"/>
                      <w:color w:val="auto"/>
                      <w:kern w:val="18"/>
                      <w:lang w:val="en-US" w:eastAsia="zh-CN"/>
                    </w:rPr>
                    <w:t>1</w:t>
                  </w:r>
                  <w:r>
                    <w:rPr>
                      <w:rFonts w:hint="default" w:ascii="Times New Roman" w:hAnsi="Times New Roman" w:eastAsia="宋体" w:cs="Times New Roman"/>
                      <w:snapToGrid w:val="0"/>
                      <w:color w:val="auto"/>
                      <w:kern w:val="18"/>
                    </w:rPr>
                    <w:t>mg/L</w:t>
                  </w:r>
                </w:p>
              </w:tc>
              <w:tc>
                <w:tcPr>
                  <w:tcW w:w="2330" w:type="pct"/>
                  <w:vMerge w:val="continue"/>
                  <w:noWrap w:val="0"/>
                  <w:vAlign w:val="center"/>
                </w:tcPr>
                <w:p w14:paraId="74E6ACF2">
                  <w:pPr>
                    <w:pStyle w:val="89"/>
                    <w:spacing w:line="340" w:lineRule="exact"/>
                    <w:ind w:firstLine="0" w:firstLineChars="0"/>
                    <w:rPr>
                      <w:rFonts w:hint="default" w:ascii="Times New Roman" w:hAnsi="Times New Roman" w:eastAsia="宋体" w:cs="Times New Roman"/>
                      <w:snapToGrid w:val="0"/>
                      <w:color w:val="auto"/>
                      <w:kern w:val="18"/>
                    </w:rPr>
                  </w:pPr>
                </w:p>
              </w:tc>
            </w:tr>
            <w:tr w14:paraId="01FD7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7E9B2D5E">
                  <w:pPr>
                    <w:pStyle w:val="89"/>
                    <w:spacing w:line="340" w:lineRule="exact"/>
                    <w:ind w:firstLine="0" w:firstLineChars="0"/>
                    <w:rPr>
                      <w:rFonts w:hint="default" w:ascii="Times New Roman" w:hAnsi="Times New Roman" w:cs="Times New Roman"/>
                      <w:snapToGrid w:val="0"/>
                      <w:color w:val="auto"/>
                      <w:kern w:val="18"/>
                      <w:lang w:val="en-US" w:eastAsia="zh-CN"/>
                    </w:rPr>
                  </w:pPr>
                  <w:r>
                    <w:rPr>
                      <w:rFonts w:hint="default" w:ascii="Times New Roman" w:hAnsi="Times New Roman" w:eastAsia="宋体" w:cs="Times New Roman"/>
                      <w:snapToGrid w:val="0"/>
                      <w:color w:val="auto"/>
                      <w:kern w:val="18"/>
                      <w:lang w:val="en-US" w:eastAsia="zh-CN"/>
                    </w:rPr>
                    <w:t>TN</w:t>
                  </w:r>
                </w:p>
              </w:tc>
              <w:tc>
                <w:tcPr>
                  <w:tcW w:w="1584" w:type="pct"/>
                  <w:noWrap w:val="0"/>
                  <w:vAlign w:val="center"/>
                </w:tcPr>
                <w:p w14:paraId="35F1E8C7">
                  <w:pPr>
                    <w:pStyle w:val="89"/>
                    <w:spacing w:line="340" w:lineRule="exact"/>
                    <w:ind w:firstLine="0" w:firstLineChars="0"/>
                    <w:rPr>
                      <w:rFonts w:hint="default" w:ascii="Times New Roman" w:hAnsi="Times New Roman" w:cs="Times New Roman"/>
                      <w:snapToGrid w:val="0"/>
                      <w:color w:val="auto"/>
                      <w:kern w:val="18"/>
                      <w:lang w:val="en-US" w:eastAsia="zh-CN"/>
                    </w:rPr>
                  </w:pPr>
                  <w:r>
                    <w:rPr>
                      <w:rFonts w:hint="default" w:ascii="Times New Roman" w:hAnsi="Times New Roman" w:cs="Times New Roman"/>
                      <w:snapToGrid w:val="0"/>
                      <w:color w:val="auto"/>
                      <w:kern w:val="18"/>
                      <w:lang w:val="en-US" w:eastAsia="zh-CN"/>
                    </w:rPr>
                    <w:t>15</w:t>
                  </w:r>
                  <w:r>
                    <w:rPr>
                      <w:rFonts w:hint="default" w:ascii="Times New Roman" w:hAnsi="Times New Roman" w:eastAsia="宋体" w:cs="Times New Roman"/>
                      <w:snapToGrid w:val="0"/>
                      <w:color w:val="auto"/>
                      <w:kern w:val="18"/>
                    </w:rPr>
                    <w:t>mg/L</w:t>
                  </w:r>
                </w:p>
              </w:tc>
              <w:tc>
                <w:tcPr>
                  <w:tcW w:w="2330" w:type="pct"/>
                  <w:vMerge w:val="continue"/>
                  <w:noWrap w:val="0"/>
                  <w:vAlign w:val="center"/>
                </w:tcPr>
                <w:p w14:paraId="69555F65">
                  <w:pPr>
                    <w:pStyle w:val="89"/>
                    <w:spacing w:line="340" w:lineRule="exact"/>
                    <w:ind w:firstLine="0" w:firstLineChars="0"/>
                    <w:rPr>
                      <w:rFonts w:hint="default" w:ascii="Times New Roman" w:hAnsi="Times New Roman" w:eastAsia="宋体" w:cs="Times New Roman"/>
                      <w:snapToGrid w:val="0"/>
                      <w:color w:val="auto"/>
                      <w:kern w:val="18"/>
                    </w:rPr>
                  </w:pPr>
                </w:p>
              </w:tc>
            </w:tr>
            <w:tr w14:paraId="783DB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2223F2E1">
                  <w:pPr>
                    <w:pStyle w:val="89"/>
                    <w:spacing w:line="340" w:lineRule="exact"/>
                    <w:ind w:firstLine="0" w:firstLineChars="0"/>
                    <w:rPr>
                      <w:rFonts w:hint="default" w:ascii="Times New Roman" w:hAnsi="Times New Roman" w:cs="Times New Roman"/>
                      <w:snapToGrid w:val="0"/>
                      <w:color w:val="auto"/>
                      <w:kern w:val="18"/>
                      <w:lang w:val="en-US" w:eastAsia="zh-CN"/>
                    </w:rPr>
                  </w:pPr>
                  <w:r>
                    <w:rPr>
                      <w:rFonts w:hint="default" w:ascii="Times New Roman" w:hAnsi="Times New Roman" w:eastAsia="宋体" w:cs="Times New Roman"/>
                      <w:snapToGrid w:val="0"/>
                      <w:color w:val="auto"/>
                      <w:kern w:val="18"/>
                      <w:lang w:val="en-US" w:eastAsia="zh-CN"/>
                    </w:rPr>
                    <w:t>TP</w:t>
                  </w:r>
                </w:p>
              </w:tc>
              <w:tc>
                <w:tcPr>
                  <w:tcW w:w="1584" w:type="pct"/>
                  <w:noWrap w:val="0"/>
                  <w:vAlign w:val="center"/>
                </w:tcPr>
                <w:p w14:paraId="00A553BC">
                  <w:pPr>
                    <w:pStyle w:val="89"/>
                    <w:spacing w:line="340" w:lineRule="exact"/>
                    <w:ind w:firstLine="0" w:firstLineChars="0"/>
                    <w:rPr>
                      <w:rFonts w:hint="default" w:ascii="Times New Roman" w:hAnsi="Times New Roman" w:cs="Times New Roman"/>
                      <w:snapToGrid w:val="0"/>
                      <w:color w:val="auto"/>
                      <w:kern w:val="18"/>
                      <w:lang w:val="en-US" w:eastAsia="zh-CN"/>
                    </w:rPr>
                  </w:pPr>
                  <w:r>
                    <w:rPr>
                      <w:rFonts w:hint="default" w:ascii="Times New Roman" w:hAnsi="Times New Roman" w:cs="Times New Roman"/>
                      <w:snapToGrid w:val="0"/>
                      <w:color w:val="auto"/>
                      <w:kern w:val="18"/>
                      <w:lang w:val="en-US" w:eastAsia="zh-CN"/>
                    </w:rPr>
                    <w:t>0.5</w:t>
                  </w:r>
                  <w:r>
                    <w:rPr>
                      <w:rFonts w:hint="default" w:ascii="Times New Roman" w:hAnsi="Times New Roman" w:eastAsia="宋体" w:cs="Times New Roman"/>
                      <w:snapToGrid w:val="0"/>
                      <w:color w:val="auto"/>
                      <w:kern w:val="18"/>
                    </w:rPr>
                    <w:t>mg/L</w:t>
                  </w:r>
                </w:p>
              </w:tc>
              <w:tc>
                <w:tcPr>
                  <w:tcW w:w="2330" w:type="pct"/>
                  <w:vMerge w:val="continue"/>
                  <w:noWrap w:val="0"/>
                  <w:vAlign w:val="center"/>
                </w:tcPr>
                <w:p w14:paraId="44A8028A">
                  <w:pPr>
                    <w:pStyle w:val="89"/>
                    <w:spacing w:line="340" w:lineRule="exact"/>
                    <w:ind w:firstLine="0" w:firstLineChars="0"/>
                    <w:rPr>
                      <w:rFonts w:hint="default" w:ascii="Times New Roman" w:hAnsi="Times New Roman" w:eastAsia="宋体" w:cs="Times New Roman"/>
                      <w:snapToGrid w:val="0"/>
                      <w:color w:val="auto"/>
                      <w:kern w:val="18"/>
                    </w:rPr>
                  </w:pPr>
                </w:p>
              </w:tc>
            </w:tr>
          </w:tbl>
          <w:p w14:paraId="6CD9D47F">
            <w:pPr>
              <w:spacing w:before="120" w:beforeLines="50"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3.7.</w:t>
            </w:r>
            <w:r>
              <w:rPr>
                <w:rFonts w:hint="default" w:ascii="Times New Roman" w:hAnsi="Times New Roman"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 xml:space="preserve"> </w:t>
            </w:r>
            <w:r>
              <w:rPr>
                <w:rFonts w:hint="eastAsia" w:ascii="Times New Roman" w:hAnsi="Times New Roman" w:cs="Times New Roman"/>
                <w:b/>
                <w:bCs/>
                <w:color w:val="auto"/>
                <w:sz w:val="24"/>
                <w:highlight w:val="none"/>
                <w:lang w:val="en-US" w:eastAsia="zh-CN"/>
              </w:rPr>
              <w:t>废气</w:t>
            </w:r>
          </w:p>
          <w:p w14:paraId="6609508B">
            <w:pPr>
              <w:spacing w:before="120" w:beforeLines="50" w:line="360" w:lineRule="auto"/>
              <w:ind w:firstLine="480" w:firstLineChars="200"/>
              <w:rPr>
                <w:color w:val="auto"/>
                <w:sz w:val="24"/>
                <w:szCs w:val="24"/>
              </w:rPr>
            </w:pPr>
            <w:r>
              <w:rPr>
                <w:color w:val="auto"/>
                <w:sz w:val="24"/>
                <w:szCs w:val="24"/>
              </w:rPr>
              <w:t>项目污水处理站</w:t>
            </w:r>
            <w:r>
              <w:rPr>
                <w:bCs/>
                <w:color w:val="auto"/>
                <w:sz w:val="24"/>
                <w:szCs w:val="24"/>
              </w:rPr>
              <w:t>废气主要是污水处理过程产生的恶臭气体，主要污染因子为NH</w:t>
            </w:r>
            <w:r>
              <w:rPr>
                <w:bCs/>
                <w:color w:val="auto"/>
                <w:sz w:val="24"/>
                <w:szCs w:val="24"/>
                <w:vertAlign w:val="subscript"/>
              </w:rPr>
              <w:t>3</w:t>
            </w:r>
            <w:r>
              <w:rPr>
                <w:bCs/>
                <w:color w:val="auto"/>
                <w:sz w:val="24"/>
                <w:szCs w:val="24"/>
              </w:rPr>
              <w:t>、H</w:t>
            </w:r>
            <w:r>
              <w:rPr>
                <w:bCs/>
                <w:color w:val="auto"/>
                <w:sz w:val="24"/>
                <w:szCs w:val="24"/>
                <w:vertAlign w:val="subscript"/>
              </w:rPr>
              <w:t>2</w:t>
            </w:r>
            <w:r>
              <w:rPr>
                <w:bCs/>
                <w:color w:val="auto"/>
                <w:sz w:val="24"/>
                <w:szCs w:val="24"/>
              </w:rPr>
              <w:t>S和臭气浓度。</w:t>
            </w:r>
            <w:r>
              <w:rPr>
                <w:color w:val="auto"/>
                <w:sz w:val="24"/>
                <w:szCs w:val="24"/>
              </w:rPr>
              <w:t>污水处理站臭气执行</w:t>
            </w:r>
            <w:r>
              <w:rPr>
                <w:rFonts w:hint="default" w:ascii="Times New Roman" w:hAnsi="Times New Roman" w:eastAsia="宋体" w:cs="Times New Roman"/>
                <w:color w:val="auto"/>
                <w:spacing w:val="0"/>
                <w:sz w:val="24"/>
                <w:szCs w:val="24"/>
                <w:lang w:val="en-US" w:eastAsia="zh-CN"/>
              </w:rPr>
              <w:t>《恶臭污染物排放标准》(GB14554-93)</w:t>
            </w:r>
            <w:r>
              <w:rPr>
                <w:rFonts w:hint="eastAsia" w:ascii="Times New Roman" w:hAnsi="Times New Roman" w:eastAsia="宋体" w:cs="Times New Roman"/>
                <w:color w:val="auto"/>
                <w:spacing w:val="0"/>
                <w:sz w:val="24"/>
                <w:szCs w:val="24"/>
                <w:lang w:val="en-US" w:eastAsia="zh-CN"/>
              </w:rPr>
              <w:t>表1二级新扩改建厂界标准限值、表2</w:t>
            </w:r>
            <w:r>
              <w:rPr>
                <w:rFonts w:hint="default" w:ascii="Times New Roman" w:hAnsi="Times New Roman" w:eastAsia="宋体" w:cs="Times New Roman"/>
                <w:color w:val="auto"/>
                <w:spacing w:val="0"/>
                <w:sz w:val="24"/>
                <w:szCs w:val="24"/>
                <w:lang w:val="en-US" w:eastAsia="zh-CN"/>
              </w:rPr>
              <w:t>标准限值</w:t>
            </w:r>
            <w:r>
              <w:rPr>
                <w:color w:val="auto"/>
                <w:sz w:val="24"/>
                <w:szCs w:val="24"/>
              </w:rPr>
              <w:t>，详见表3.</w:t>
            </w:r>
            <w:r>
              <w:rPr>
                <w:rFonts w:hint="eastAsia"/>
                <w:color w:val="auto"/>
                <w:sz w:val="24"/>
                <w:szCs w:val="24"/>
                <w:lang w:val="en-US" w:eastAsia="zh-CN"/>
              </w:rPr>
              <w:t>7-3</w:t>
            </w:r>
            <w:r>
              <w:rPr>
                <w:color w:val="auto"/>
                <w:sz w:val="24"/>
                <w:szCs w:val="24"/>
              </w:rPr>
              <w:t>。</w:t>
            </w:r>
          </w:p>
          <w:p w14:paraId="467B1E88">
            <w:pPr>
              <w:spacing w:before="120" w:beforeLines="50"/>
              <w:jc w:val="center"/>
              <w:textAlignment w:val="baseline"/>
              <w:rPr>
                <w:rFonts w:eastAsia="黑体"/>
                <w:color w:val="auto"/>
                <w:kern w:val="0"/>
                <w:sz w:val="24"/>
                <w:szCs w:val="24"/>
              </w:rPr>
            </w:pPr>
            <w:r>
              <w:rPr>
                <w:rFonts w:eastAsia="黑体"/>
                <w:color w:val="auto"/>
                <w:kern w:val="0"/>
                <w:sz w:val="24"/>
                <w:szCs w:val="24"/>
              </w:rPr>
              <w:t>表3.</w:t>
            </w:r>
            <w:r>
              <w:rPr>
                <w:rFonts w:hint="eastAsia" w:eastAsia="黑体"/>
                <w:color w:val="auto"/>
                <w:kern w:val="0"/>
                <w:sz w:val="24"/>
                <w:szCs w:val="24"/>
                <w:lang w:val="en-US" w:eastAsia="zh-CN"/>
              </w:rPr>
              <w:t>7-3</w:t>
            </w:r>
            <w:r>
              <w:rPr>
                <w:rFonts w:eastAsia="黑体"/>
                <w:color w:val="auto"/>
                <w:kern w:val="0"/>
                <w:sz w:val="24"/>
                <w:szCs w:val="24"/>
              </w:rPr>
              <w:t xml:space="preserve">  《</w:t>
            </w:r>
            <w:r>
              <w:rPr>
                <w:rFonts w:hint="default" w:eastAsia="黑体"/>
                <w:color w:val="auto"/>
                <w:kern w:val="0"/>
                <w:sz w:val="24"/>
                <w:szCs w:val="24"/>
                <w:lang w:val="en-US" w:eastAsia="zh-CN"/>
              </w:rPr>
              <w:t>恶臭污染物排放标准</w:t>
            </w:r>
            <w:r>
              <w:rPr>
                <w:rFonts w:eastAsia="黑体"/>
                <w:color w:val="auto"/>
                <w:kern w:val="0"/>
                <w:sz w:val="24"/>
                <w:szCs w:val="24"/>
              </w:rPr>
              <w:t>》(</w:t>
            </w:r>
            <w:r>
              <w:rPr>
                <w:rFonts w:hint="default" w:eastAsia="黑体"/>
                <w:color w:val="auto"/>
                <w:kern w:val="0"/>
                <w:sz w:val="24"/>
                <w:szCs w:val="24"/>
                <w:lang w:val="en-US" w:eastAsia="zh-CN"/>
              </w:rPr>
              <w:t>GB14554-93</w:t>
            </w:r>
            <w:r>
              <w:rPr>
                <w:rFonts w:eastAsia="黑体"/>
                <w:color w:val="auto"/>
                <w:kern w:val="0"/>
                <w:sz w:val="24"/>
                <w:szCs w:val="24"/>
              </w:rPr>
              <w:t>) (摘录)</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1755"/>
              <w:gridCol w:w="1861"/>
              <w:gridCol w:w="2843"/>
            </w:tblGrid>
            <w:tr w14:paraId="5779E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8" w:type="pct"/>
                  <w:vMerge w:val="restart"/>
                  <w:tcBorders>
                    <w:tl2br w:val="nil"/>
                    <w:tr2bl w:val="nil"/>
                  </w:tcBorders>
                  <w:noWrap w:val="0"/>
                  <w:vAlign w:val="center"/>
                </w:tcPr>
                <w:p w14:paraId="587D16BA">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184" w:type="pct"/>
                  <w:gridSpan w:val="2"/>
                  <w:tcBorders>
                    <w:tl2br w:val="nil"/>
                    <w:tr2bl w:val="nil"/>
                  </w:tcBorders>
                  <w:noWrap w:val="0"/>
                  <w:vAlign w:val="center"/>
                </w:tcPr>
                <w:p w14:paraId="446174DE">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无组织排放监</w:t>
                  </w:r>
                </w:p>
                <w:p w14:paraId="230211D0">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控浓度限值</w:t>
                  </w:r>
                </w:p>
              </w:tc>
              <w:tc>
                <w:tcPr>
                  <w:tcW w:w="1717" w:type="pct"/>
                  <w:vMerge w:val="restart"/>
                  <w:tcBorders>
                    <w:tl2br w:val="nil"/>
                    <w:tr2bl w:val="nil"/>
                  </w:tcBorders>
                  <w:noWrap w:val="0"/>
                  <w:vAlign w:val="center"/>
                </w:tcPr>
                <w:p w14:paraId="6232F4BC">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标准来源</w:t>
                  </w:r>
                </w:p>
              </w:tc>
            </w:tr>
            <w:tr w14:paraId="1C579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8" w:type="pct"/>
                  <w:vMerge w:val="continue"/>
                  <w:tcBorders>
                    <w:tl2br w:val="nil"/>
                    <w:tr2bl w:val="nil"/>
                  </w:tcBorders>
                  <w:noWrap w:val="0"/>
                  <w:vAlign w:val="center"/>
                </w:tcPr>
                <w:p w14:paraId="6B7C4681">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p>
              </w:tc>
              <w:tc>
                <w:tcPr>
                  <w:tcW w:w="1060" w:type="pct"/>
                  <w:tcBorders>
                    <w:tl2br w:val="nil"/>
                    <w:tr2bl w:val="nil"/>
                  </w:tcBorders>
                  <w:noWrap w:val="0"/>
                  <w:vAlign w:val="center"/>
                </w:tcPr>
                <w:p w14:paraId="1AAD9E53">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监控点</w:t>
                  </w:r>
                </w:p>
              </w:tc>
              <w:tc>
                <w:tcPr>
                  <w:tcW w:w="1123" w:type="pct"/>
                  <w:tcBorders>
                    <w:tl2br w:val="nil"/>
                    <w:tr2bl w:val="nil"/>
                  </w:tcBorders>
                  <w:noWrap w:val="0"/>
                  <w:vAlign w:val="center"/>
                </w:tcPr>
                <w:p w14:paraId="1876D135">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w:t>
                  </w:r>
                </w:p>
                <w:p w14:paraId="09202273">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ascii="Times New Roman" w:hAnsi="Times New Roman" w:cs="Times New Roman"/>
                      <w:color w:val="auto"/>
                      <w:sz w:val="21"/>
                      <w:szCs w:val="21"/>
                      <w:lang w:val="en-US" w:eastAsia="zh-CN"/>
                    </w:rPr>
                    <w:t>)</w:t>
                  </w:r>
                </w:p>
              </w:tc>
              <w:tc>
                <w:tcPr>
                  <w:tcW w:w="1717" w:type="pct"/>
                  <w:vMerge w:val="continue"/>
                  <w:tcBorders>
                    <w:tl2br w:val="nil"/>
                    <w:tr2bl w:val="nil"/>
                  </w:tcBorders>
                  <w:noWrap w:val="0"/>
                  <w:vAlign w:val="center"/>
                </w:tcPr>
                <w:p w14:paraId="2F18C798">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p>
              </w:tc>
            </w:tr>
            <w:tr w14:paraId="4905D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8" w:type="pct"/>
                  <w:tcBorders>
                    <w:tl2br w:val="nil"/>
                    <w:tr2bl w:val="nil"/>
                  </w:tcBorders>
                  <w:noWrap w:val="0"/>
                  <w:vAlign w:val="center"/>
                </w:tcPr>
                <w:p w14:paraId="0EF847A4">
                  <w:pPr>
                    <w:pStyle w:val="97"/>
                    <w:keepNext w:val="0"/>
                    <w:keepLines w:val="0"/>
                    <w:pageBreakBefore w:val="0"/>
                    <w:widowControl/>
                    <w:kinsoku/>
                    <w:wordWrap/>
                    <w:overflowPunct/>
                    <w:topLinePunct w:val="0"/>
                    <w:autoSpaceDE/>
                    <w:autoSpaceDN/>
                    <w:bidi w:val="0"/>
                    <w:snapToGrid/>
                    <w:spacing w:before="0" w:line="340" w:lineRule="exact"/>
                    <w:ind w:left="0" w:leftChars="0" w:right="0" w:rightChars="0" w:firstLine="0" w:firstLineChars="0"/>
                    <w:jc w:val="center"/>
                    <w:textAlignment w:val="auto"/>
                    <w:rPr>
                      <w:rFonts w:hint="default" w:ascii="Times New Roman" w:hAnsi="Times New Roman" w:cs="Times New Roman"/>
                      <w:color w:val="auto"/>
                      <w:sz w:val="21"/>
                      <w:szCs w:val="21"/>
                    </w:rPr>
                  </w:pPr>
                  <w:r>
                    <w:rPr>
                      <w:rFonts w:hint="eastAsia"/>
                      <w:color w:val="auto"/>
                      <w:sz w:val="21"/>
                      <w:szCs w:val="21"/>
                      <w:lang w:eastAsia="zh-CN"/>
                    </w:rPr>
                    <w:t>硫化氢</w:t>
                  </w:r>
                </w:p>
              </w:tc>
              <w:tc>
                <w:tcPr>
                  <w:tcW w:w="1060" w:type="pct"/>
                  <w:tcBorders>
                    <w:tl2br w:val="nil"/>
                    <w:tr2bl w:val="nil"/>
                  </w:tcBorders>
                  <w:noWrap w:val="0"/>
                  <w:vAlign w:val="center"/>
                </w:tcPr>
                <w:p w14:paraId="20D2B0AA">
                  <w:pPr>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厂界</w:t>
                  </w:r>
                </w:p>
              </w:tc>
              <w:tc>
                <w:tcPr>
                  <w:tcW w:w="1123" w:type="pct"/>
                  <w:tcBorders>
                    <w:tl2br w:val="nil"/>
                    <w:tr2bl w:val="nil"/>
                  </w:tcBorders>
                  <w:noWrap w:val="0"/>
                  <w:vAlign w:val="center"/>
                </w:tcPr>
                <w:p w14:paraId="2529AA6E">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w:t>
                  </w:r>
                </w:p>
              </w:tc>
              <w:tc>
                <w:tcPr>
                  <w:tcW w:w="1717" w:type="pct"/>
                  <w:vMerge w:val="restart"/>
                  <w:tcBorders>
                    <w:tl2br w:val="nil"/>
                    <w:tr2bl w:val="nil"/>
                  </w:tcBorders>
                  <w:noWrap w:val="0"/>
                  <w:vAlign w:val="center"/>
                </w:tcPr>
                <w:p w14:paraId="6AA2CC95">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GB14554-93</w:t>
                  </w:r>
                </w:p>
              </w:tc>
            </w:tr>
            <w:tr w14:paraId="73DD9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8" w:type="pct"/>
                  <w:tcBorders>
                    <w:tl2br w:val="nil"/>
                    <w:tr2bl w:val="nil"/>
                  </w:tcBorders>
                  <w:noWrap w:val="0"/>
                  <w:vAlign w:val="center"/>
                </w:tcPr>
                <w:p w14:paraId="54CEEBB8">
                  <w:pPr>
                    <w:pStyle w:val="97"/>
                    <w:keepNext w:val="0"/>
                    <w:keepLines w:val="0"/>
                    <w:pageBreakBefore w:val="0"/>
                    <w:widowControl/>
                    <w:kinsoku/>
                    <w:wordWrap/>
                    <w:overflowPunct/>
                    <w:topLinePunct w:val="0"/>
                    <w:autoSpaceDE/>
                    <w:autoSpaceDN/>
                    <w:bidi w:val="0"/>
                    <w:snapToGrid/>
                    <w:spacing w:before="0" w:line="340" w:lineRule="exact"/>
                    <w:ind w:left="0" w:leftChars="0" w:right="0" w:rightChars="0" w:firstLine="0" w:firstLineChars="0"/>
                    <w:jc w:val="center"/>
                    <w:textAlignment w:val="auto"/>
                    <w:rPr>
                      <w:rFonts w:hint="default" w:ascii="Times New Roman" w:hAnsi="Times New Roman" w:cs="Times New Roman"/>
                      <w:color w:val="auto"/>
                      <w:sz w:val="21"/>
                      <w:szCs w:val="21"/>
                    </w:rPr>
                  </w:pPr>
                  <w:r>
                    <w:rPr>
                      <w:rFonts w:hint="eastAsia"/>
                      <w:color w:val="auto"/>
                      <w:sz w:val="21"/>
                      <w:szCs w:val="21"/>
                      <w:lang w:eastAsia="zh-CN"/>
                    </w:rPr>
                    <w:t>氨</w:t>
                  </w:r>
                </w:p>
              </w:tc>
              <w:tc>
                <w:tcPr>
                  <w:tcW w:w="1060" w:type="pct"/>
                  <w:tcBorders>
                    <w:tl2br w:val="nil"/>
                    <w:tr2bl w:val="nil"/>
                  </w:tcBorders>
                  <w:noWrap w:val="0"/>
                  <w:vAlign w:val="center"/>
                </w:tcPr>
                <w:p w14:paraId="273A6D6E">
                  <w:pPr>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厂界</w:t>
                  </w:r>
                </w:p>
              </w:tc>
              <w:tc>
                <w:tcPr>
                  <w:tcW w:w="1123" w:type="pct"/>
                  <w:tcBorders>
                    <w:tl2br w:val="nil"/>
                    <w:tr2bl w:val="nil"/>
                  </w:tcBorders>
                  <w:noWrap w:val="0"/>
                  <w:vAlign w:val="center"/>
                </w:tcPr>
                <w:p w14:paraId="57DA398C">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1717" w:type="pct"/>
                  <w:vMerge w:val="continue"/>
                  <w:tcBorders>
                    <w:tl2br w:val="nil"/>
                    <w:tr2bl w:val="nil"/>
                  </w:tcBorders>
                  <w:noWrap w:val="0"/>
                  <w:vAlign w:val="center"/>
                </w:tcPr>
                <w:p w14:paraId="37EF95A0">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p>
              </w:tc>
            </w:tr>
            <w:tr w14:paraId="60A63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98" w:type="pct"/>
                  <w:tcBorders>
                    <w:tl2br w:val="nil"/>
                    <w:tr2bl w:val="nil"/>
                  </w:tcBorders>
                  <w:noWrap w:val="0"/>
                  <w:vAlign w:val="center"/>
                </w:tcPr>
                <w:p w14:paraId="04DD9BD5">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臭气</w:t>
                  </w:r>
                </w:p>
                <w:p w14:paraId="08B03652">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w:t>
                  </w:r>
                </w:p>
              </w:tc>
              <w:tc>
                <w:tcPr>
                  <w:tcW w:w="1060" w:type="pct"/>
                  <w:tcBorders>
                    <w:tl2br w:val="nil"/>
                    <w:tr2bl w:val="nil"/>
                  </w:tcBorders>
                  <w:noWrap w:val="0"/>
                  <w:vAlign w:val="center"/>
                </w:tcPr>
                <w:p w14:paraId="5C959862">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厂界</w:t>
                  </w:r>
                </w:p>
              </w:tc>
              <w:tc>
                <w:tcPr>
                  <w:tcW w:w="1123" w:type="pct"/>
                  <w:tcBorders>
                    <w:tl2br w:val="nil"/>
                    <w:tr2bl w:val="nil"/>
                  </w:tcBorders>
                  <w:noWrap w:val="0"/>
                  <w:vAlign w:val="center"/>
                </w:tcPr>
                <w:p w14:paraId="346E1328">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p w14:paraId="068F1ECF">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无量纲</w:t>
                  </w:r>
                  <w:r>
                    <w:rPr>
                      <w:rFonts w:hint="eastAsia" w:ascii="Times New Roman" w:hAnsi="Times New Roman" w:cs="Times New Roman"/>
                      <w:color w:val="auto"/>
                      <w:sz w:val="21"/>
                      <w:szCs w:val="21"/>
                      <w:lang w:val="en-US" w:eastAsia="zh-CN"/>
                    </w:rPr>
                    <w:t>)</w:t>
                  </w:r>
                </w:p>
              </w:tc>
              <w:tc>
                <w:tcPr>
                  <w:tcW w:w="1717" w:type="pct"/>
                  <w:vMerge w:val="continue"/>
                  <w:tcBorders>
                    <w:tl2br w:val="nil"/>
                    <w:tr2bl w:val="nil"/>
                  </w:tcBorders>
                  <w:noWrap w:val="0"/>
                  <w:vAlign w:val="center"/>
                </w:tcPr>
                <w:p w14:paraId="09572003">
                  <w:pPr>
                    <w:pStyle w:val="96"/>
                    <w:keepNext w:val="0"/>
                    <w:keepLines w:val="0"/>
                    <w:pageBreakBefore w:val="0"/>
                    <w:widowControl/>
                    <w:kinsoku/>
                    <w:wordWrap/>
                    <w:overflowPunct/>
                    <w:topLinePunct w:val="0"/>
                    <w:autoSpaceDE/>
                    <w:autoSpaceDN/>
                    <w:bidi w:val="0"/>
                    <w:adjustRightInd w:val="0"/>
                    <w:snapToGrid/>
                    <w:spacing w:line="340" w:lineRule="exact"/>
                    <w:ind w:left="0" w:right="0" w:firstLine="0" w:firstLineChars="0"/>
                    <w:jc w:val="center"/>
                    <w:textAlignment w:val="auto"/>
                    <w:rPr>
                      <w:rFonts w:hint="default" w:ascii="Times New Roman" w:hAnsi="Times New Roman" w:cs="Times New Roman"/>
                      <w:color w:val="auto"/>
                      <w:sz w:val="21"/>
                      <w:szCs w:val="21"/>
                    </w:rPr>
                  </w:pPr>
                </w:p>
              </w:tc>
            </w:tr>
          </w:tbl>
          <w:p w14:paraId="40D40291">
            <w:pPr>
              <w:spacing w:before="120" w:beforeLines="50" w:line="360" w:lineRule="auto"/>
              <w:rPr>
                <w:rFonts w:hint="default" w:ascii="Times New Roman" w:hAnsi="Times New Roman" w:eastAsia="宋体" w:cs="Times New Roman"/>
                <w:b/>
                <w:bCs/>
                <w:color w:val="auto"/>
                <w:sz w:val="24"/>
                <w:highlight w:val="none"/>
              </w:rPr>
            </w:pPr>
            <w:r>
              <w:rPr>
                <w:rFonts w:hint="eastAsia" w:ascii="Times New Roman" w:hAnsi="Times New Roman" w:cs="Times New Roman"/>
                <w:b/>
                <w:bCs/>
                <w:color w:val="auto"/>
                <w:sz w:val="24"/>
                <w:highlight w:val="none"/>
                <w:lang w:val="en-US" w:eastAsia="zh-CN"/>
              </w:rPr>
              <w:t xml:space="preserve">3.7.3 </w:t>
            </w:r>
            <w:r>
              <w:rPr>
                <w:rFonts w:hint="default" w:ascii="Times New Roman" w:hAnsi="Times New Roman" w:eastAsia="宋体" w:cs="Times New Roman"/>
                <w:b/>
                <w:bCs/>
                <w:color w:val="auto"/>
                <w:sz w:val="24"/>
                <w:highlight w:val="none"/>
              </w:rPr>
              <w:t>厂界噪声</w:t>
            </w:r>
          </w:p>
          <w:p w14:paraId="65AF20E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项目运营期厂界噪声执行《工业企业厂界环境噪声排放标准》(GB12348-2008)中</w:t>
            </w:r>
            <w:r>
              <w:rPr>
                <w:rFonts w:hint="default" w:ascii="Times New Roman" w:hAnsi="Times New Roman" w:eastAsia="宋体" w:cs="Times New Roman"/>
                <w:color w:val="auto"/>
                <w:sz w:val="24"/>
                <w:highlight w:val="none"/>
                <w:lang w:val="en-US" w:eastAsia="zh-CN"/>
              </w:rPr>
              <w:t>3类标准</w:t>
            </w:r>
            <w:r>
              <w:rPr>
                <w:rFonts w:hint="default" w:ascii="Times New Roman" w:hAnsi="Times New Roman" w:eastAsia="宋体" w:cs="Times New Roman"/>
                <w:color w:val="auto"/>
                <w:sz w:val="24"/>
                <w:szCs w:val="24"/>
                <w:highlight w:val="none"/>
              </w:rPr>
              <w:t>，具体详见表</w:t>
            </w:r>
            <w:r>
              <w:rPr>
                <w:rFonts w:hint="default" w:ascii="Times New Roman" w:hAnsi="Times New Roman" w:eastAsia="宋体" w:cs="Times New Roman"/>
                <w:color w:val="auto"/>
                <w:sz w:val="24"/>
                <w:szCs w:val="24"/>
                <w:highlight w:val="none"/>
                <w:lang w:eastAsia="zh-CN"/>
              </w:rPr>
              <w:t>3.</w:t>
            </w:r>
            <w:r>
              <w:rPr>
                <w:rFonts w:hint="default" w:ascii="Times New Roman" w:hAnsi="Times New Roman" w:eastAsia="宋体" w:cs="Times New Roman"/>
                <w:color w:val="auto"/>
                <w:sz w:val="24"/>
                <w:szCs w:val="24"/>
                <w:highlight w:val="none"/>
                <w:lang w:val="en-US" w:eastAsia="zh-CN"/>
              </w:rPr>
              <w:t>7-</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110A8741">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表3.</w:t>
            </w:r>
            <w:r>
              <w:rPr>
                <w:rFonts w:hint="default" w:ascii="Times New Roman" w:hAnsi="Times New Roman" w:eastAsia="黑体" w:cs="Times New Roman"/>
                <w:color w:val="auto"/>
                <w:sz w:val="24"/>
                <w:szCs w:val="24"/>
                <w:highlight w:val="none"/>
                <w:lang w:val="en-US" w:eastAsia="zh-CN"/>
              </w:rPr>
              <w:t>7-</w:t>
            </w:r>
            <w:r>
              <w:rPr>
                <w:rFonts w:hint="eastAsia" w:eastAsia="黑体" w:cs="Times New Roman"/>
                <w:color w:val="auto"/>
                <w:sz w:val="24"/>
                <w:szCs w:val="24"/>
                <w:highlight w:val="none"/>
                <w:lang w:val="en-US" w:eastAsia="zh-CN"/>
              </w:rPr>
              <w:t>4</w:t>
            </w:r>
            <w:r>
              <w:rPr>
                <w:rFonts w:hint="default" w:ascii="Times New Roman" w:hAnsi="Times New Roman" w:eastAsia="黑体" w:cs="Times New Roman"/>
                <w:color w:val="auto"/>
                <w:sz w:val="24"/>
                <w:szCs w:val="24"/>
                <w:highlight w:val="none"/>
              </w:rPr>
              <w:t xml:space="preserve"> 《工业企业厂界环境噪声排放标准》(GB12348-2008)表1(摘录)</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05"/>
              <w:gridCol w:w="1298"/>
              <w:gridCol w:w="1298"/>
              <w:gridCol w:w="1576"/>
            </w:tblGrid>
            <w:tr w14:paraId="117358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9" w:type="pct"/>
                  <w:tcBorders>
                    <w:tl2br w:val="single" w:color="auto" w:sz="2" w:space="0"/>
                  </w:tcBorders>
                  <w:noWrap w:val="0"/>
                  <w:vAlign w:val="center"/>
                </w:tcPr>
                <w:p w14:paraId="4AAE0F33">
                  <w:pPr>
                    <w:snapToGrid w:val="0"/>
                    <w:spacing w:line="340" w:lineRule="exact"/>
                    <w:jc w:val="right"/>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 xml:space="preserve">          时 段</w:t>
                  </w:r>
                </w:p>
                <w:p w14:paraId="41FB0C72">
                  <w:pPr>
                    <w:snapToGrid w:val="0"/>
                    <w:spacing w:line="340" w:lineRule="exact"/>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厂界外声环境功能区类别</w:t>
                  </w:r>
                </w:p>
              </w:tc>
              <w:tc>
                <w:tcPr>
                  <w:tcW w:w="784" w:type="pct"/>
                  <w:noWrap w:val="0"/>
                  <w:vAlign w:val="center"/>
                </w:tcPr>
                <w:p w14:paraId="284C3077">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昼 间</w:t>
                  </w:r>
                </w:p>
              </w:tc>
              <w:tc>
                <w:tcPr>
                  <w:tcW w:w="784" w:type="pct"/>
                  <w:noWrap w:val="0"/>
                  <w:vAlign w:val="center"/>
                </w:tcPr>
                <w:p w14:paraId="55A51DA1">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lang w:eastAsia="zh-CN"/>
                    </w:rPr>
                    <w:t>夜</w:t>
                  </w:r>
                  <w:r>
                    <w:rPr>
                      <w:rFonts w:hint="default" w:ascii="Times New Roman" w:hAnsi="Times New Roman" w:eastAsia="宋体" w:cs="Times New Roman"/>
                      <w:snapToGrid w:val="0"/>
                      <w:color w:val="auto"/>
                      <w:kern w:val="18"/>
                      <w:szCs w:val="21"/>
                      <w:highlight w:val="none"/>
                    </w:rPr>
                    <w:t xml:space="preserve"> 间</w:t>
                  </w:r>
                </w:p>
              </w:tc>
              <w:tc>
                <w:tcPr>
                  <w:tcW w:w="951" w:type="pct"/>
                  <w:noWrap w:val="0"/>
                  <w:vAlign w:val="center"/>
                </w:tcPr>
                <w:p w14:paraId="5CB644C5">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单 位</w:t>
                  </w:r>
                </w:p>
              </w:tc>
            </w:tr>
            <w:tr w14:paraId="5C308E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9" w:type="pct"/>
                  <w:noWrap w:val="0"/>
                  <w:vAlign w:val="center"/>
                </w:tcPr>
                <w:p w14:paraId="59BE734A">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lang w:val="en-US" w:eastAsia="zh-CN"/>
                    </w:rPr>
                    <w:t>3</w:t>
                  </w:r>
                  <w:r>
                    <w:rPr>
                      <w:rFonts w:hint="default" w:ascii="Times New Roman" w:hAnsi="Times New Roman" w:eastAsia="宋体" w:cs="Times New Roman"/>
                      <w:snapToGrid w:val="0"/>
                      <w:color w:val="auto"/>
                      <w:kern w:val="18"/>
                      <w:szCs w:val="21"/>
                      <w:highlight w:val="none"/>
                    </w:rPr>
                    <w:t>类</w:t>
                  </w:r>
                </w:p>
              </w:tc>
              <w:tc>
                <w:tcPr>
                  <w:tcW w:w="784" w:type="pct"/>
                  <w:noWrap w:val="0"/>
                  <w:vAlign w:val="center"/>
                </w:tcPr>
                <w:p w14:paraId="085CB139">
                  <w:pPr>
                    <w:snapToGrid w:val="0"/>
                    <w:spacing w:line="340" w:lineRule="exact"/>
                    <w:jc w:val="center"/>
                    <w:rPr>
                      <w:rFonts w:hint="default" w:ascii="Times New Roman" w:hAnsi="Times New Roman" w:eastAsia="宋体" w:cs="Times New Roman"/>
                      <w:snapToGrid w:val="0"/>
                      <w:color w:val="auto"/>
                      <w:kern w:val="18"/>
                      <w:szCs w:val="21"/>
                      <w:highlight w:val="none"/>
                      <w:lang w:val="en-US" w:eastAsia="zh-CN"/>
                    </w:rPr>
                  </w:pPr>
                  <w:r>
                    <w:rPr>
                      <w:rFonts w:hint="default" w:ascii="Times New Roman" w:hAnsi="Times New Roman" w:eastAsia="宋体" w:cs="Times New Roman"/>
                      <w:snapToGrid w:val="0"/>
                      <w:color w:val="auto"/>
                      <w:kern w:val="18"/>
                      <w:szCs w:val="21"/>
                      <w:highlight w:val="none"/>
                    </w:rPr>
                    <w:t>≤</w:t>
                  </w:r>
                  <w:r>
                    <w:rPr>
                      <w:rFonts w:hint="default" w:ascii="Times New Roman" w:hAnsi="Times New Roman" w:eastAsia="宋体" w:cs="Times New Roman"/>
                      <w:snapToGrid w:val="0"/>
                      <w:color w:val="auto"/>
                      <w:kern w:val="18"/>
                      <w:szCs w:val="21"/>
                      <w:highlight w:val="none"/>
                      <w:lang w:val="en-US" w:eastAsia="zh-CN"/>
                    </w:rPr>
                    <w:t>65</w:t>
                  </w:r>
                </w:p>
              </w:tc>
              <w:tc>
                <w:tcPr>
                  <w:tcW w:w="784" w:type="pct"/>
                  <w:noWrap w:val="0"/>
                  <w:vAlign w:val="center"/>
                </w:tcPr>
                <w:p w14:paraId="07C9EAAD">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w:t>
                  </w:r>
                  <w:r>
                    <w:rPr>
                      <w:rFonts w:hint="default" w:ascii="Times New Roman" w:hAnsi="Times New Roman" w:eastAsia="宋体" w:cs="Times New Roman"/>
                      <w:snapToGrid w:val="0"/>
                      <w:color w:val="auto"/>
                      <w:kern w:val="18"/>
                      <w:szCs w:val="21"/>
                      <w:highlight w:val="none"/>
                      <w:lang w:val="en-US" w:eastAsia="zh-CN"/>
                    </w:rPr>
                    <w:t>55</w:t>
                  </w:r>
                </w:p>
              </w:tc>
              <w:tc>
                <w:tcPr>
                  <w:tcW w:w="951" w:type="pct"/>
                  <w:noWrap w:val="0"/>
                  <w:vAlign w:val="center"/>
                </w:tcPr>
                <w:p w14:paraId="03B88AC4">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dB(A)</w:t>
                  </w:r>
                </w:p>
              </w:tc>
            </w:tr>
          </w:tbl>
          <w:p w14:paraId="20FD5F14">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3.7.</w:t>
            </w:r>
            <w:r>
              <w:rPr>
                <w:rFonts w:hint="eastAsia" w:ascii="Times New Roman" w:hAnsi="Times New Roman"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固体废物</w:t>
            </w:r>
          </w:p>
          <w:p w14:paraId="3B9896E1">
            <w:pPr>
              <w:pStyle w:val="83"/>
              <w:ind w:firstLine="48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项目生活垃圾按照</w:t>
            </w:r>
            <w:r>
              <w:rPr>
                <w:rFonts w:hint="eastAsia" w:ascii="Times New Roman" w:hAnsi="Times New Roman" w:cs="Times New Roman"/>
                <w:color w:val="auto"/>
                <w:sz w:val="24"/>
                <w:highlight w:val="none"/>
                <w:lang w:eastAsia="zh-CN"/>
              </w:rPr>
              <w:t>《城市环境卫生设施规划规范》(GB/T50337-2018)</w:t>
            </w:r>
            <w:r>
              <w:rPr>
                <w:rFonts w:hint="default" w:ascii="Times New Roman" w:hAnsi="Times New Roman" w:eastAsia="宋体" w:cs="Times New Roman"/>
                <w:color w:val="auto"/>
                <w:sz w:val="24"/>
                <w:highlight w:val="none"/>
              </w:rPr>
              <w:t>中的要求进行综合利用和处置；项目产生的一般工业固废贮存管理执行《一般工业固体废物贮存和填埋污染控制标准》(GB18599-2020)。</w:t>
            </w:r>
          </w:p>
        </w:tc>
      </w:tr>
      <w:tr w14:paraId="006804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565" w:type="dxa"/>
            <w:noWrap w:val="0"/>
            <w:vAlign w:val="center"/>
          </w:tcPr>
          <w:p w14:paraId="43FF2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14:paraId="014685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14:paraId="7272CA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指标</w:t>
            </w:r>
          </w:p>
        </w:tc>
        <w:tc>
          <w:tcPr>
            <w:tcW w:w="8496" w:type="dxa"/>
            <w:noWrap w:val="0"/>
            <w:vAlign w:val="center"/>
          </w:tcPr>
          <w:p w14:paraId="519627D6">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3.8.1 废水总量</w:t>
            </w:r>
          </w:p>
          <w:p w14:paraId="1C1A77C0">
            <w:pPr>
              <w:pStyle w:val="9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lang w:val="en-US" w:eastAsia="zh-CN"/>
              </w:rPr>
            </w:pPr>
            <w:r>
              <w:rPr>
                <w:rFonts w:hint="default" w:ascii="Times New Roman" w:hAnsi="Times New Roman" w:cs="Times New Roman"/>
                <w:color w:val="auto"/>
                <w:sz w:val="24"/>
                <w:lang w:val="en-GB"/>
              </w:rPr>
              <w:t>根据《福建省建设项目主要污染物排放总量指标管理办法(试行)的通知》(闽环发[2014]13号)、《福建省关于全面实施排污权有偿使用和交易工作的意见》(政2016号54号)</w:t>
            </w:r>
            <w:r>
              <w:rPr>
                <w:rFonts w:hint="eastAsia" w:ascii="Times New Roman" w:hAnsi="Times New Roman" w:cs="Times New Roman"/>
                <w:color w:val="auto"/>
                <w:sz w:val="24"/>
                <w:lang w:val="en-US" w:eastAsia="zh-CN"/>
              </w:rPr>
              <w:t>等文件要求，</w:t>
            </w:r>
            <w:r>
              <w:rPr>
                <w:rFonts w:hint="default" w:ascii="Times New Roman" w:hAnsi="Times New Roman" w:cs="Times New Roman"/>
                <w:color w:val="auto"/>
                <w:sz w:val="24"/>
                <w:lang w:val="en-GB"/>
              </w:rPr>
              <w:t>现阶段</w:t>
            </w:r>
            <w:r>
              <w:rPr>
                <w:rFonts w:hint="eastAsia" w:ascii="Times New Roman" w:hAnsi="Times New Roman" w:eastAsia="宋体" w:cs="Times New Roman"/>
                <w:color w:val="auto"/>
                <w:lang w:val="en-US" w:eastAsia="zh-CN"/>
              </w:rPr>
              <w:t>福建省主要污染物排放总量指标为COD、NH</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-N、SO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、NOx。</w:t>
            </w:r>
          </w:p>
          <w:p w14:paraId="16FAAFE4">
            <w:pPr>
              <w:pStyle w:val="9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3.8.2 </w:t>
            </w:r>
            <w:r>
              <w:rPr>
                <w:rFonts w:hint="eastAsia" w:ascii="Times New Roman" w:hAnsi="Times New Roman" w:cs="Times New Roman"/>
                <w:b/>
                <w:bCs/>
                <w:color w:val="auto"/>
                <w:lang w:val="en-US" w:eastAsia="zh-CN"/>
              </w:rPr>
              <w:t>废水主要污染物排放总量</w:t>
            </w:r>
          </w:p>
          <w:p w14:paraId="773111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color w:val="auto"/>
                <w:sz w:val="24"/>
                <w:highlight w:val="none"/>
              </w:rPr>
            </w:pPr>
            <w:r>
              <w:rPr>
                <w:color w:val="auto"/>
                <w:sz w:val="24"/>
              </w:rPr>
              <w:t>根据本项目废水排放量，结合</w:t>
            </w:r>
            <w:r>
              <w:rPr>
                <w:rFonts w:hint="default"/>
                <w:color w:val="auto"/>
                <w:sz w:val="24"/>
                <w:lang w:eastAsia="zh-CN"/>
              </w:rPr>
              <w:t>江镜华侨农场污水处理厂</w:t>
            </w:r>
            <w:r>
              <w:rPr>
                <w:color w:val="auto"/>
                <w:sz w:val="24"/>
                <w:szCs w:val="20"/>
              </w:rPr>
              <w:t>尾水排放标准，</w:t>
            </w:r>
            <w:r>
              <w:rPr>
                <w:color w:val="auto"/>
                <w:sz w:val="24"/>
              </w:rPr>
              <w:t>核算得到项目</w:t>
            </w:r>
            <w:r>
              <w:rPr>
                <w:rFonts w:hint="eastAsia"/>
                <w:color w:val="auto"/>
                <w:sz w:val="24"/>
                <w:lang w:eastAsia="zh-CN"/>
              </w:rPr>
              <w:t>生产废水</w:t>
            </w:r>
            <w:r>
              <w:rPr>
                <w:color w:val="auto"/>
                <w:sz w:val="24"/>
              </w:rPr>
              <w:t>污染物排放总量如下表所示。</w:t>
            </w:r>
          </w:p>
          <w:p w14:paraId="1F1A7FDC">
            <w:pPr>
              <w:keepNext w:val="0"/>
              <w:keepLines w:val="0"/>
              <w:pageBreakBefore w:val="0"/>
              <w:widowControl w:val="0"/>
              <w:kinsoku/>
              <w:wordWrap/>
              <w:overflowPunct/>
              <w:topLinePunct w:val="0"/>
              <w:autoSpaceDE/>
              <w:autoSpaceDN/>
              <w:bidi w:val="0"/>
              <w:adjustRightInd/>
              <w:snapToGrid/>
              <w:spacing w:before="120" w:beforeLines="50"/>
              <w:jc w:val="center"/>
              <w:textAlignment w:val="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eastAsia" w:ascii="Times New Roman" w:hAnsi="Times New Roman" w:eastAsia="黑体" w:cs="Times New Roman"/>
                <w:color w:val="auto"/>
                <w:sz w:val="24"/>
                <w:highlight w:val="none"/>
                <w:lang w:val="en-US" w:eastAsia="zh-CN"/>
              </w:rPr>
              <w:t>3.8-1</w:t>
            </w:r>
            <w:r>
              <w:rPr>
                <w:rFonts w:hint="default" w:ascii="Times New Roman" w:hAnsi="Times New Roman" w:eastAsia="黑体" w:cs="Times New Roman"/>
                <w:color w:val="auto"/>
                <w:sz w:val="24"/>
                <w:highlight w:val="none"/>
              </w:rPr>
              <w:t xml:space="preserve">  项目</w:t>
            </w:r>
            <w:r>
              <w:rPr>
                <w:rFonts w:hint="eastAsia" w:ascii="Times New Roman" w:hAnsi="Times New Roman" w:eastAsia="黑体" w:cs="Times New Roman"/>
                <w:color w:val="auto"/>
                <w:sz w:val="24"/>
                <w:highlight w:val="none"/>
                <w:lang w:eastAsia="zh-CN"/>
              </w:rPr>
              <w:t>生产</w:t>
            </w:r>
            <w:r>
              <w:rPr>
                <w:rFonts w:hint="default" w:ascii="Times New Roman" w:hAnsi="Times New Roman" w:eastAsia="黑体" w:cs="Times New Roman"/>
                <w:color w:val="auto"/>
                <w:sz w:val="24"/>
                <w:highlight w:val="none"/>
              </w:rPr>
              <w:t>废水污染物排放总量指标一览表</w:t>
            </w:r>
          </w:p>
          <w:tbl>
            <w:tblPr>
              <w:tblStyle w:val="27"/>
              <w:tblW w:w="0" w:type="auto"/>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108" w:type="dxa"/>
                <w:bottom w:w="0" w:type="dxa"/>
                <w:right w:w="108" w:type="dxa"/>
              </w:tblCellMar>
            </w:tblPr>
            <w:tblGrid>
              <w:gridCol w:w="837"/>
              <w:gridCol w:w="860"/>
              <w:gridCol w:w="1039"/>
              <w:gridCol w:w="1197"/>
              <w:gridCol w:w="921"/>
              <w:gridCol w:w="1197"/>
              <w:gridCol w:w="2229"/>
            </w:tblGrid>
            <w:tr w14:paraId="3511531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97" w:hRule="atLeast"/>
              </w:trPr>
              <w:tc>
                <w:tcPr>
                  <w:tcW w:w="1719" w:type="dxa"/>
                  <w:gridSpan w:val="2"/>
                  <w:noWrap w:val="0"/>
                  <w:vAlign w:val="center"/>
                </w:tcPr>
                <w:p w14:paraId="41E42878">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2253" w:type="dxa"/>
                  <w:gridSpan w:val="2"/>
                  <w:noWrap w:val="0"/>
                  <w:vAlign w:val="center"/>
                </w:tcPr>
                <w:p w14:paraId="5DE568E2">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排出厂区总量</w:t>
                  </w:r>
                </w:p>
              </w:tc>
              <w:tc>
                <w:tcPr>
                  <w:tcW w:w="2139" w:type="dxa"/>
                  <w:gridSpan w:val="2"/>
                  <w:noWrap w:val="0"/>
                  <w:vAlign w:val="center"/>
                </w:tcPr>
                <w:p w14:paraId="7E81BDCA">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项目排入环境总量</w:t>
                  </w:r>
                </w:p>
              </w:tc>
              <w:tc>
                <w:tcPr>
                  <w:tcW w:w="2279" w:type="dxa"/>
                  <w:noWrap w:val="0"/>
                  <w:vAlign w:val="center"/>
                </w:tcPr>
                <w:p w14:paraId="45419967">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备注</w:t>
                  </w:r>
                </w:p>
              </w:tc>
            </w:tr>
            <w:tr w14:paraId="10435D8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97" w:hRule="atLeast"/>
              </w:trPr>
              <w:tc>
                <w:tcPr>
                  <w:tcW w:w="855" w:type="dxa"/>
                  <w:vMerge w:val="restart"/>
                  <w:tcBorders>
                    <w:right w:val="single" w:color="auto" w:sz="4" w:space="0"/>
                  </w:tcBorders>
                  <w:noWrap w:val="0"/>
                  <w:vAlign w:val="center"/>
                </w:tcPr>
                <w:p w14:paraId="59CC6F92">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破碎、清洗废水</w:t>
                  </w:r>
                </w:p>
              </w:tc>
              <w:tc>
                <w:tcPr>
                  <w:tcW w:w="864" w:type="dxa"/>
                  <w:noWrap w:val="0"/>
                  <w:vAlign w:val="center"/>
                </w:tcPr>
                <w:p w14:paraId="5D49A50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rPr>
                    <w:t>废水量</w:t>
                  </w:r>
                </w:p>
              </w:tc>
              <w:tc>
                <w:tcPr>
                  <w:tcW w:w="1039" w:type="dxa"/>
                  <w:tcBorders>
                    <w:right w:val="single" w:color="auto" w:sz="4" w:space="0"/>
                  </w:tcBorders>
                  <w:noWrap w:val="0"/>
                  <w:vAlign w:val="center"/>
                </w:tcPr>
                <w:p w14:paraId="4F1D9C0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14" w:type="dxa"/>
                  <w:tcBorders>
                    <w:left w:val="single" w:color="auto" w:sz="4" w:space="0"/>
                  </w:tcBorders>
                  <w:noWrap w:val="0"/>
                  <w:vAlign w:val="center"/>
                </w:tcPr>
                <w:p w14:paraId="3A60FE0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1217.2</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925" w:type="dxa"/>
                  <w:tcBorders>
                    <w:right w:val="single" w:color="auto" w:sz="4" w:space="0"/>
                  </w:tcBorders>
                  <w:noWrap w:val="0"/>
                  <w:vAlign w:val="center"/>
                </w:tcPr>
                <w:p w14:paraId="1CADAA3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w:t>
                  </w:r>
                </w:p>
              </w:tc>
              <w:tc>
                <w:tcPr>
                  <w:tcW w:w="1214" w:type="dxa"/>
                  <w:tcBorders>
                    <w:top w:val="single" w:color="auto" w:sz="4" w:space="0"/>
                    <w:left w:val="single" w:color="auto" w:sz="4" w:space="0"/>
                  </w:tcBorders>
                  <w:noWrap w:val="0"/>
                  <w:vAlign w:val="center"/>
                </w:tcPr>
                <w:p w14:paraId="33C25AE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1217.2</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2279" w:type="dxa"/>
                  <w:vMerge w:val="restart"/>
                  <w:tcBorders>
                    <w:top w:val="single" w:color="auto" w:sz="4" w:space="0"/>
                  </w:tcBorders>
                  <w:noWrap w:val="0"/>
                  <w:vAlign w:val="center"/>
                </w:tcPr>
                <w:p w14:paraId="65C2924F">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lang w:bidi="he-IL"/>
                    </w:rPr>
                    <w:t>排入环境量按照污水处理厂出水标准</w:t>
                  </w:r>
                  <w:r>
                    <w:rPr>
                      <w:rFonts w:hint="eastAsia" w:ascii="Times New Roman" w:hAnsi="Times New Roman" w:eastAsia="宋体" w:cs="Times New Roman"/>
                      <w:color w:val="auto"/>
                      <w:sz w:val="21"/>
                      <w:szCs w:val="21"/>
                      <w:highlight w:val="none"/>
                      <w:lang w:eastAsia="zh-CN" w:bidi="he-IL"/>
                    </w:rPr>
                    <w:t>，即</w:t>
                  </w:r>
                  <w:r>
                    <w:rPr>
                      <w:rFonts w:hint="default" w:ascii="Times New Roman" w:hAnsi="Times New Roman" w:cs="Times New Roman"/>
                      <w:color w:val="auto"/>
                      <w:sz w:val="21"/>
                      <w:szCs w:val="21"/>
                      <w:lang w:val="en-US" w:eastAsia="zh-CN"/>
                    </w:rPr>
                    <w:t>《城镇污水处理厂污染物排放标准》(GB18918-2002)及其修改单表1</w:t>
                  </w:r>
                  <w:r>
                    <w:rPr>
                      <w:rFonts w:hint="eastAsia" w:ascii="Times New Roman" w:hAnsi="Times New Roman" w:cs="Times New Roman"/>
                      <w:color w:val="auto"/>
                      <w:sz w:val="21"/>
                      <w:szCs w:val="21"/>
                      <w:lang w:eastAsia="zh-CN"/>
                    </w:rPr>
                    <w:t>一级</w:t>
                  </w:r>
                  <w:r>
                    <w:rPr>
                      <w:rFonts w:hint="eastAsia" w:ascii="Times New Roman" w:hAnsi="Times New Roman" w:cs="Times New Roman"/>
                      <w:color w:val="auto"/>
                      <w:sz w:val="21"/>
                      <w:szCs w:val="21"/>
                      <w:lang w:val="en-US" w:eastAsia="zh-CN"/>
                    </w:rPr>
                    <w:t>A</w:t>
                  </w:r>
                  <w:r>
                    <w:rPr>
                      <w:rFonts w:hint="eastAsia" w:ascii="Times New Roman" w:hAnsi="Times New Roman" w:cs="Times New Roman"/>
                      <w:color w:val="auto"/>
                      <w:sz w:val="21"/>
                      <w:szCs w:val="21"/>
                      <w:lang w:eastAsia="zh-CN"/>
                    </w:rPr>
                    <w:t>标准</w:t>
                  </w:r>
                </w:p>
              </w:tc>
            </w:tr>
            <w:tr w14:paraId="672EE28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97" w:hRule="atLeast"/>
              </w:trPr>
              <w:tc>
                <w:tcPr>
                  <w:tcW w:w="855" w:type="dxa"/>
                  <w:vMerge w:val="continue"/>
                  <w:noWrap w:val="0"/>
                  <w:vAlign w:val="center"/>
                </w:tcPr>
                <w:p w14:paraId="392D01D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rPr>
                  </w:pPr>
                </w:p>
              </w:tc>
              <w:tc>
                <w:tcPr>
                  <w:tcW w:w="864" w:type="dxa"/>
                  <w:noWrap w:val="0"/>
                  <w:vAlign w:val="center"/>
                </w:tcPr>
                <w:p w14:paraId="7160F41B">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039" w:type="dxa"/>
                  <w:noWrap w:val="0"/>
                  <w:vAlign w:val="center"/>
                </w:tcPr>
                <w:p w14:paraId="44DCD59C">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41.8</w:t>
                  </w:r>
                  <w:r>
                    <w:rPr>
                      <w:rFonts w:hint="default" w:ascii="Times New Roman" w:hAnsi="Times New Roman" w:eastAsia="宋体" w:cs="Times New Roman"/>
                      <w:color w:val="auto"/>
                      <w:kern w:val="0"/>
                      <w:sz w:val="21"/>
                      <w:szCs w:val="21"/>
                      <w:highlight w:val="none"/>
                    </w:rPr>
                    <w:t>mg/L</w:t>
                  </w:r>
                </w:p>
              </w:tc>
              <w:tc>
                <w:tcPr>
                  <w:tcW w:w="1214" w:type="dxa"/>
                  <w:noWrap w:val="0"/>
                  <w:vAlign w:val="center"/>
                </w:tcPr>
                <w:p w14:paraId="066BF237">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051</w:t>
                  </w:r>
                  <w:r>
                    <w:rPr>
                      <w:rFonts w:hint="default" w:ascii="Times New Roman" w:hAnsi="Times New Roman" w:eastAsia="宋体" w:cs="Times New Roman"/>
                      <w:color w:val="auto"/>
                      <w:sz w:val="21"/>
                      <w:szCs w:val="21"/>
                      <w:highlight w:val="none"/>
                    </w:rPr>
                    <w:t>t/a</w:t>
                  </w:r>
                </w:p>
              </w:tc>
              <w:tc>
                <w:tcPr>
                  <w:tcW w:w="925" w:type="dxa"/>
                  <w:noWrap w:val="0"/>
                  <w:vAlign w:val="center"/>
                </w:tcPr>
                <w:p w14:paraId="01FE22B0">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val="en-US" w:eastAsia="zh-CN"/>
                    </w:rPr>
                    <w:t>0</w:t>
                  </w:r>
                  <w:r>
                    <w:rPr>
                      <w:rFonts w:hint="default" w:ascii="Times New Roman" w:hAnsi="Times New Roman" w:eastAsia="宋体" w:cs="Times New Roman"/>
                      <w:color w:val="auto"/>
                      <w:sz w:val="21"/>
                      <w:szCs w:val="21"/>
                      <w:highlight w:val="none"/>
                    </w:rPr>
                    <w:t>mg/L</w:t>
                  </w:r>
                </w:p>
              </w:tc>
              <w:tc>
                <w:tcPr>
                  <w:tcW w:w="1214" w:type="dxa"/>
                  <w:noWrap w:val="0"/>
                  <w:vAlign w:val="center"/>
                </w:tcPr>
                <w:p w14:paraId="6B36F18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061</w:t>
                  </w:r>
                  <w:r>
                    <w:rPr>
                      <w:rFonts w:hint="default" w:ascii="Times New Roman" w:hAnsi="Times New Roman" w:cs="Times New Roman"/>
                      <w:color w:val="auto"/>
                      <w:kern w:val="0"/>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2279" w:type="dxa"/>
                  <w:vMerge w:val="continue"/>
                  <w:noWrap w:val="0"/>
                  <w:vAlign w:val="top"/>
                </w:tcPr>
                <w:p w14:paraId="367E0722">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p>
              </w:tc>
            </w:tr>
            <w:tr w14:paraId="29B7096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97" w:hRule="atLeast"/>
              </w:trPr>
              <w:tc>
                <w:tcPr>
                  <w:tcW w:w="855" w:type="dxa"/>
                  <w:vMerge w:val="continue"/>
                  <w:noWrap w:val="0"/>
                  <w:vAlign w:val="center"/>
                </w:tcPr>
                <w:p w14:paraId="1769C8E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rPr>
                  </w:pPr>
                </w:p>
              </w:tc>
              <w:tc>
                <w:tcPr>
                  <w:tcW w:w="864" w:type="dxa"/>
                  <w:noWrap w:val="0"/>
                  <w:vAlign w:val="center"/>
                </w:tcPr>
                <w:p w14:paraId="4E76AD7B">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039" w:type="dxa"/>
                  <w:noWrap w:val="0"/>
                  <w:vAlign w:val="center"/>
                </w:tcPr>
                <w:p w14:paraId="02970DD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4.6</w:t>
                  </w:r>
                  <w:r>
                    <w:rPr>
                      <w:rFonts w:hint="default" w:ascii="Times New Roman" w:hAnsi="Times New Roman" w:eastAsia="宋体" w:cs="Times New Roman"/>
                      <w:color w:val="auto"/>
                      <w:kern w:val="0"/>
                      <w:sz w:val="21"/>
                      <w:szCs w:val="21"/>
                      <w:highlight w:val="none"/>
                    </w:rPr>
                    <w:t>mg/L</w:t>
                  </w:r>
                </w:p>
              </w:tc>
              <w:tc>
                <w:tcPr>
                  <w:tcW w:w="1214" w:type="dxa"/>
                  <w:noWrap w:val="0"/>
                  <w:vAlign w:val="center"/>
                </w:tcPr>
                <w:p w14:paraId="36F540C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06</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925" w:type="dxa"/>
                  <w:noWrap w:val="0"/>
                  <w:vAlign w:val="center"/>
                </w:tcPr>
                <w:p w14:paraId="1994E7A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eastAsia="宋体" w:cs="Times New Roman"/>
                      <w:color w:val="auto"/>
                      <w:sz w:val="21"/>
                      <w:szCs w:val="21"/>
                      <w:highlight w:val="none"/>
                    </w:rPr>
                    <w:t>mg/L</w:t>
                  </w:r>
                </w:p>
              </w:tc>
              <w:tc>
                <w:tcPr>
                  <w:tcW w:w="1214" w:type="dxa"/>
                  <w:noWrap w:val="0"/>
                  <w:vAlign w:val="center"/>
                </w:tcPr>
                <w:p w14:paraId="08AAFBD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061</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2279" w:type="dxa"/>
                  <w:vMerge w:val="continue"/>
                  <w:noWrap w:val="0"/>
                  <w:vAlign w:val="top"/>
                </w:tcPr>
                <w:p w14:paraId="2492E395">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p>
              </w:tc>
            </w:tr>
          </w:tbl>
          <w:p w14:paraId="0835B657">
            <w:pPr>
              <w:pStyle w:val="9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根据《福建省环保厅关于进一步明确排污权工作有关问题的通知》(闽环保财[2017]22号)，现有工业排污单位的水污染物的初始排污权只核定工业废水部分，</w:t>
            </w:r>
            <w:r>
              <w:rPr>
                <w:rFonts w:hint="eastAsia" w:ascii="Times New Roman" w:hAnsi="Times New Roman" w:eastAsia="宋体" w:cs="Times New Roman"/>
                <w:color w:val="auto"/>
                <w:kern w:val="2"/>
                <w:sz w:val="24"/>
                <w:szCs w:val="24"/>
                <w:lang w:val="en-US" w:eastAsia="zh-CN" w:bidi="ar-SA"/>
              </w:rPr>
              <w:t>本项目外排的生活污水</w:t>
            </w:r>
            <w:r>
              <w:rPr>
                <w:rFonts w:hint="default" w:ascii="Times New Roman" w:hAnsi="Times New Roman" w:eastAsia="宋体" w:cs="Times New Roman"/>
                <w:color w:val="auto"/>
                <w:kern w:val="2"/>
                <w:sz w:val="24"/>
                <w:szCs w:val="24"/>
                <w:lang w:val="en-US" w:eastAsia="zh-CN" w:bidi="ar-SA"/>
              </w:rPr>
              <w:t>允许排放量由江镜华侨农场污水处理厂统计在内，</w:t>
            </w:r>
            <w:r>
              <w:rPr>
                <w:rFonts w:hint="eastAsia" w:ascii="Times New Roman" w:hAnsi="Times New Roman" w:eastAsia="宋体" w:cs="Times New Roman"/>
                <w:color w:val="auto"/>
                <w:kern w:val="2"/>
                <w:sz w:val="24"/>
                <w:szCs w:val="24"/>
                <w:lang w:val="en-US" w:eastAsia="zh-CN" w:bidi="ar-SA"/>
              </w:rPr>
              <w:t>只</w:t>
            </w:r>
            <w:r>
              <w:rPr>
                <w:rFonts w:hint="default" w:ascii="Times New Roman" w:hAnsi="Times New Roman" w:eastAsia="宋体" w:cs="Times New Roman"/>
                <w:color w:val="auto"/>
                <w:kern w:val="2"/>
                <w:sz w:val="24"/>
                <w:szCs w:val="24"/>
                <w:lang w:val="en-US" w:eastAsia="zh-CN" w:bidi="ar-SA"/>
              </w:rPr>
              <w:t>需重新申请</w:t>
            </w:r>
            <w:r>
              <w:rPr>
                <w:rFonts w:hint="eastAsia" w:ascii="Times New Roman" w:hAnsi="Times New Roman" w:eastAsia="宋体" w:cs="Times New Roman"/>
                <w:color w:val="auto"/>
                <w:kern w:val="2"/>
                <w:sz w:val="24"/>
                <w:szCs w:val="24"/>
                <w:lang w:val="en-US" w:eastAsia="zh-CN" w:bidi="ar-SA"/>
              </w:rPr>
              <w:t>生产废水</w:t>
            </w:r>
            <w:r>
              <w:rPr>
                <w:rFonts w:hint="default" w:ascii="Times New Roman" w:hAnsi="Times New Roman" w:eastAsia="宋体" w:cs="Times New Roman"/>
                <w:color w:val="auto"/>
                <w:kern w:val="2"/>
                <w:sz w:val="24"/>
                <w:szCs w:val="24"/>
                <w:lang w:val="en-US" w:eastAsia="zh-CN" w:bidi="ar-SA"/>
              </w:rPr>
              <w:t>污染物排放总量。</w:t>
            </w:r>
          </w:p>
          <w:p w14:paraId="5378E5DA">
            <w:pPr>
              <w:pStyle w:val="9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3.8.2 废气总量</w:t>
            </w:r>
          </w:p>
          <w:p w14:paraId="768CB6F4">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0"/>
                <w:lang w:val="en-US" w:eastAsia="zh-CN" w:bidi="ar-SA"/>
              </w:rPr>
              <w:t>项目废气不涉及SO</w:t>
            </w:r>
            <w:r>
              <w:rPr>
                <w:rFonts w:hint="default" w:ascii="Times New Roman" w:hAnsi="Times New Roman" w:eastAsia="宋体" w:cs="Times New Roman"/>
                <w:color w:val="auto"/>
                <w:kern w:val="0"/>
                <w:sz w:val="24"/>
                <w:szCs w:val="20"/>
                <w:vertAlign w:val="subscript"/>
                <w:lang w:val="en-US" w:eastAsia="zh-CN" w:bidi="ar-SA"/>
              </w:rPr>
              <w:t>2</w:t>
            </w:r>
            <w:r>
              <w:rPr>
                <w:rFonts w:hint="default" w:ascii="Times New Roman" w:hAnsi="Times New Roman" w:eastAsia="宋体" w:cs="Times New Roman"/>
                <w:color w:val="auto"/>
                <w:kern w:val="0"/>
                <w:sz w:val="24"/>
                <w:szCs w:val="20"/>
                <w:lang w:val="en-US" w:eastAsia="zh-CN" w:bidi="ar-SA"/>
              </w:rPr>
              <w:t>、NOx等属于国家和地方有偿使用和交易的排污权总量指标；</w:t>
            </w:r>
            <w:r>
              <w:rPr>
                <w:rFonts w:hint="eastAsia" w:ascii="Times New Roman" w:hAnsi="Times New Roman" w:eastAsia="宋体" w:cs="Times New Roman"/>
                <w:color w:val="auto"/>
                <w:kern w:val="0"/>
                <w:sz w:val="24"/>
                <w:szCs w:val="20"/>
                <w:lang w:val="en-US" w:eastAsia="zh-CN" w:bidi="ar-SA"/>
              </w:rPr>
              <w:t>亦不涉及</w:t>
            </w:r>
            <w:r>
              <w:rPr>
                <w:rFonts w:hint="default" w:ascii="Times New Roman" w:hAnsi="Times New Roman" w:eastAsia="宋体" w:cs="Times New Roman"/>
                <w:color w:val="auto"/>
                <w:kern w:val="0"/>
                <w:sz w:val="24"/>
                <w:szCs w:val="20"/>
                <w:lang w:val="en-US" w:eastAsia="zh-CN" w:bidi="ar-SA"/>
              </w:rPr>
              <w:t>VOCs总量指标。</w:t>
            </w:r>
          </w:p>
          <w:p w14:paraId="42F98635">
            <w:pPr>
              <w:pStyle w:val="9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3.8.3 主要污染物总量指标来源</w:t>
            </w:r>
          </w:p>
          <w:p w14:paraId="4378BA33">
            <w:pPr>
              <w:pStyle w:val="9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80"/>
              <w:textAlignment w:val="auto"/>
              <w:rPr>
                <w:rFonts w:hint="eastAsia" w:ascii="Times New Roman" w:hAnsi="Times New Roman" w:eastAsia="宋体" w:cs="Times New Roman"/>
                <w:b w:val="0"/>
                <w:color w:val="auto"/>
                <w:kern w:val="0"/>
                <w:sz w:val="24"/>
                <w:szCs w:val="24"/>
                <w:lang w:val="en-US" w:eastAsia="zh-CN" w:bidi="ar-SA"/>
              </w:rPr>
            </w:pPr>
            <w:r>
              <w:rPr>
                <w:rFonts w:hint="eastAsia" w:ascii="Times New Roman" w:hAnsi="Times New Roman" w:cs="Times New Roman"/>
                <w:color w:val="auto"/>
                <w:sz w:val="24"/>
                <w:szCs w:val="24"/>
                <w:highlight w:val="none"/>
                <w:lang w:val="en-US" w:eastAsia="zh-CN"/>
              </w:rPr>
              <w:t>项目COD、</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、NOx</w:t>
            </w:r>
            <w:r>
              <w:rPr>
                <w:rFonts w:hint="default" w:ascii="Times New Roman" w:hAnsi="Times New Roman" w:cs="Times New Roman"/>
                <w:color w:val="auto"/>
                <w:sz w:val="24"/>
                <w:szCs w:val="24"/>
                <w:highlight w:val="none"/>
                <w:vertAlign w:val="baseline"/>
                <w:lang w:val="en-US" w:eastAsia="zh-CN"/>
              </w:rPr>
              <w:t>等指标</w:t>
            </w:r>
            <w:r>
              <w:rPr>
                <w:rFonts w:hint="default" w:ascii="Times New Roman" w:hAnsi="Times New Roman" w:eastAsia="宋体" w:cs="Times New Roman"/>
                <w:color w:val="auto"/>
                <w:sz w:val="24"/>
                <w:szCs w:val="24"/>
                <w:highlight w:val="none"/>
                <w:vertAlign w:val="baseline"/>
                <w:lang w:val="en-US" w:eastAsia="zh-CN"/>
              </w:rPr>
              <w:t>属于</w:t>
            </w:r>
            <w:r>
              <w:rPr>
                <w:rFonts w:hint="default" w:ascii="Times New Roman" w:hAnsi="Times New Roman" w:eastAsia="宋体" w:cs="Times New Roman"/>
                <w:color w:val="auto"/>
                <w:sz w:val="24"/>
                <w:szCs w:val="24"/>
                <w:highlight w:val="none"/>
              </w:rPr>
              <w:t>国家和地方有偿使用和交易的排污权总量指标</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rPr>
              <w:t>由建设单位向</w:t>
            </w:r>
            <w:r>
              <w:rPr>
                <w:rFonts w:hint="eastAsia" w:ascii="Times New Roman" w:hAnsi="Times New Roman" w:cs="Times New Roman"/>
                <w:color w:val="auto"/>
                <w:sz w:val="24"/>
                <w:szCs w:val="24"/>
                <w:lang w:eastAsia="zh-CN"/>
              </w:rPr>
              <w:t>福州市</w:t>
            </w:r>
            <w:r>
              <w:rPr>
                <w:rFonts w:hint="eastAsia" w:ascii="Times New Roman" w:hAnsi="Times New Roman" w:cs="Times New Roman"/>
                <w:color w:val="auto"/>
                <w:sz w:val="24"/>
                <w:szCs w:val="24"/>
                <w:lang w:val="en-US" w:eastAsia="zh-CN"/>
              </w:rPr>
              <w:t>福清</w:t>
            </w:r>
            <w:r>
              <w:rPr>
                <w:rFonts w:hint="eastAsia" w:ascii="Times New Roman" w:hAnsi="Times New Roman" w:cs="Times New Roman"/>
                <w:color w:val="auto"/>
                <w:sz w:val="24"/>
                <w:szCs w:val="24"/>
                <w:lang w:eastAsia="zh-CN"/>
              </w:rPr>
              <w:t>生态环境局</w:t>
            </w:r>
            <w:r>
              <w:rPr>
                <w:rFonts w:hint="eastAsia" w:ascii="Times New Roman" w:hAnsi="Times New Roman" w:cs="Times New Roman"/>
                <w:color w:val="auto"/>
                <w:sz w:val="24"/>
                <w:szCs w:val="24"/>
                <w:lang w:val="en-US" w:eastAsia="zh-CN"/>
              </w:rPr>
              <w:t>申请污染物总量确认</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并根据污染物总量确认意见申购的指标量</w:t>
            </w:r>
            <w:r>
              <w:rPr>
                <w:rFonts w:hint="eastAsia" w:ascii="Times New Roman" w:hAnsi="Times New Roman" w:cs="Times New Roman"/>
                <w:b w:val="0"/>
                <w:bCs w:val="0"/>
                <w:color w:val="auto"/>
                <w:sz w:val="24"/>
                <w:szCs w:val="24"/>
                <w:lang w:val="en-US" w:eastAsia="zh-CN"/>
              </w:rPr>
              <w:t>向海峡股权交易中心自行</w:t>
            </w:r>
            <w:r>
              <w:rPr>
                <w:rFonts w:hint="eastAsia" w:ascii="Times New Roman" w:hAnsi="Times New Roman" w:cs="Times New Roman"/>
                <w:b w:val="0"/>
                <w:bCs w:val="0"/>
                <w:color w:val="auto"/>
                <w:sz w:val="24"/>
                <w:szCs w:val="24"/>
                <w:lang w:eastAsia="zh-CN"/>
              </w:rPr>
              <w:t>购买获得</w:t>
            </w:r>
            <w:r>
              <w:rPr>
                <w:rFonts w:hint="eastAsia" w:ascii="Times New Roman" w:hAnsi="Times New Roman" w:cs="Times New Roman"/>
                <w:b w:val="0"/>
                <w:bCs w:val="0"/>
                <w:color w:val="auto"/>
                <w:sz w:val="24"/>
                <w:szCs w:val="24"/>
                <w:lang w:val="en-US" w:eastAsia="zh-CN"/>
              </w:rPr>
              <w:t>。项目主要污染物排放总量计算结果为：COD0.</w:t>
            </w:r>
            <w:r>
              <w:rPr>
                <w:rFonts w:hint="eastAsia" w:cs="Times New Roman"/>
                <w:b w:val="0"/>
                <w:bCs w:val="0"/>
                <w:color w:val="auto"/>
                <w:sz w:val="24"/>
                <w:szCs w:val="24"/>
                <w:lang w:val="en-US" w:eastAsia="zh-CN"/>
              </w:rPr>
              <w:t>061</w:t>
            </w:r>
            <w:r>
              <w:rPr>
                <w:rFonts w:hint="eastAsia" w:ascii="Times New Roman" w:hAnsi="Times New Roman" w:cs="Times New Roman"/>
                <w:b w:val="0"/>
                <w:bCs w:val="0"/>
                <w:color w:val="auto"/>
                <w:sz w:val="24"/>
                <w:szCs w:val="24"/>
                <w:lang w:val="en-US" w:eastAsia="zh-CN"/>
              </w:rPr>
              <w:t>吨/年，</w:t>
            </w:r>
            <w:r>
              <w:rPr>
                <w:rFonts w:hint="default" w:ascii="Times New Roman" w:hAnsi="Times New Roman" w:eastAsia="宋体" w:cs="Times New Roman"/>
                <w:b w:val="0"/>
                <w:bCs w:val="0"/>
                <w:color w:val="auto"/>
                <w:sz w:val="24"/>
                <w:szCs w:val="24"/>
                <w:highlight w:val="none"/>
              </w:rPr>
              <w:t>NH</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-N</w:t>
            </w:r>
            <w:r>
              <w:rPr>
                <w:rFonts w:hint="eastAsia" w:ascii="Times New Roman" w:hAnsi="Times New Roman" w:cs="Times New Roman"/>
                <w:b w:val="0"/>
                <w:bCs w:val="0"/>
                <w:color w:val="auto"/>
                <w:sz w:val="24"/>
                <w:szCs w:val="24"/>
                <w:lang w:val="en-US" w:eastAsia="zh-CN"/>
              </w:rPr>
              <w:t>0.0</w:t>
            </w:r>
            <w:r>
              <w:rPr>
                <w:rFonts w:hint="eastAsia" w:cs="Times New Roman"/>
                <w:b w:val="0"/>
                <w:bCs w:val="0"/>
                <w:color w:val="auto"/>
                <w:sz w:val="24"/>
                <w:szCs w:val="24"/>
                <w:lang w:val="en-US" w:eastAsia="zh-CN"/>
              </w:rPr>
              <w:t>061</w:t>
            </w:r>
            <w:r>
              <w:rPr>
                <w:rFonts w:hint="eastAsia" w:ascii="Times New Roman" w:hAnsi="Times New Roman" w:cs="Times New Roman"/>
                <w:b w:val="0"/>
                <w:bCs w:val="0"/>
                <w:color w:val="auto"/>
                <w:sz w:val="24"/>
                <w:szCs w:val="24"/>
                <w:lang w:val="en-US" w:eastAsia="zh-CN"/>
              </w:rPr>
              <w:t>吨/年。</w:t>
            </w:r>
          </w:p>
          <w:p w14:paraId="20E9B4E2">
            <w:pPr>
              <w:pStyle w:val="2"/>
              <w:ind w:left="0" w:leftChars="0" w:firstLine="0" w:firstLineChars="0"/>
              <w:outlineLvl w:val="9"/>
              <w:rPr>
                <w:rFonts w:hint="default" w:ascii="Times New Roman" w:hAnsi="Times New Roman" w:eastAsia="宋体" w:cs="Times New Roman"/>
                <w:b w:val="0"/>
                <w:bCs w:val="0"/>
                <w:color w:val="auto"/>
                <w:sz w:val="24"/>
                <w:szCs w:val="24"/>
                <w:lang w:val="en-US" w:eastAsia="zh-CN"/>
              </w:rPr>
            </w:pPr>
          </w:p>
          <w:p w14:paraId="479DCC22">
            <w:pPr>
              <w:rPr>
                <w:rFonts w:hint="default" w:ascii="Times New Roman" w:hAnsi="Times New Roman" w:eastAsia="宋体" w:cs="Times New Roman"/>
                <w:b w:val="0"/>
                <w:bCs w:val="0"/>
                <w:color w:val="auto"/>
                <w:sz w:val="24"/>
                <w:szCs w:val="24"/>
                <w:lang w:val="en-US" w:eastAsia="zh-CN"/>
              </w:rPr>
            </w:pPr>
          </w:p>
          <w:p w14:paraId="41176D4A">
            <w:pPr>
              <w:pStyle w:val="2"/>
              <w:rPr>
                <w:rFonts w:hint="default" w:ascii="Times New Roman" w:hAnsi="Times New Roman" w:eastAsia="宋体" w:cs="Times New Roman"/>
                <w:b w:val="0"/>
                <w:bCs w:val="0"/>
                <w:color w:val="auto"/>
                <w:sz w:val="24"/>
                <w:szCs w:val="24"/>
                <w:lang w:val="en-US" w:eastAsia="zh-CN"/>
              </w:rPr>
            </w:pPr>
          </w:p>
          <w:p w14:paraId="0B2E0BB8">
            <w:pPr>
              <w:rPr>
                <w:rFonts w:hint="default" w:ascii="Times New Roman" w:hAnsi="Times New Roman" w:eastAsia="宋体" w:cs="Times New Roman"/>
                <w:b w:val="0"/>
                <w:bCs w:val="0"/>
                <w:color w:val="auto"/>
                <w:sz w:val="24"/>
                <w:szCs w:val="24"/>
                <w:lang w:val="en-US" w:eastAsia="zh-CN"/>
              </w:rPr>
            </w:pPr>
          </w:p>
          <w:p w14:paraId="02E34A30">
            <w:pPr>
              <w:pStyle w:val="2"/>
              <w:rPr>
                <w:rFonts w:hint="default" w:ascii="Times New Roman" w:hAnsi="Times New Roman" w:eastAsia="宋体" w:cs="Times New Roman"/>
                <w:b w:val="0"/>
                <w:bCs w:val="0"/>
                <w:color w:val="auto"/>
                <w:sz w:val="24"/>
                <w:szCs w:val="24"/>
                <w:lang w:val="en-US" w:eastAsia="zh-CN"/>
              </w:rPr>
            </w:pPr>
          </w:p>
          <w:p w14:paraId="297CAB76">
            <w:pPr>
              <w:rPr>
                <w:rFonts w:hint="default" w:ascii="Times New Roman" w:hAnsi="Times New Roman" w:eastAsia="宋体" w:cs="Times New Roman"/>
                <w:b w:val="0"/>
                <w:bCs w:val="0"/>
                <w:color w:val="auto"/>
                <w:sz w:val="24"/>
                <w:szCs w:val="24"/>
                <w:lang w:val="en-US" w:eastAsia="zh-CN"/>
              </w:rPr>
            </w:pPr>
          </w:p>
          <w:p w14:paraId="0F2E1095">
            <w:pPr>
              <w:pStyle w:val="2"/>
              <w:rPr>
                <w:rFonts w:hint="default"/>
                <w:color w:val="auto"/>
                <w:lang w:val="en-US" w:eastAsia="zh-CN"/>
              </w:rPr>
            </w:pPr>
          </w:p>
          <w:p w14:paraId="5890D92E">
            <w:pPr>
              <w:adjustRightInd w:val="0"/>
              <w:snapToGrid w:val="0"/>
              <w:jc w:val="both"/>
              <w:rPr>
                <w:rFonts w:hint="default" w:ascii="Times New Roman" w:hAnsi="Times New Roman" w:eastAsia="宋体" w:cs="Times New Roman"/>
                <w:color w:val="auto"/>
                <w:kern w:val="0"/>
                <w:szCs w:val="21"/>
                <w:lang w:val="en-US" w:eastAsia="zh-CN"/>
              </w:rPr>
            </w:pPr>
          </w:p>
        </w:tc>
      </w:tr>
    </w:tbl>
    <w:p w14:paraId="59EB8180">
      <w:pPr>
        <w:pStyle w:val="22"/>
        <w:numPr>
          <w:ilvl w:val="0"/>
          <w:numId w:val="0"/>
        </w:numPr>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bookmarkStart w:id="24" w:name="_Toc2396"/>
      <w:r>
        <w:rPr>
          <w:rFonts w:hint="default" w:ascii="Times New Roman" w:hAnsi="Times New Roman" w:eastAsia="黑体" w:cs="Times New Roman"/>
          <w:snapToGrid w:val="0"/>
          <w:color w:val="auto"/>
          <w:sz w:val="30"/>
          <w:szCs w:val="30"/>
          <w:lang w:eastAsia="zh-CN"/>
        </w:rPr>
        <w:t>四、</w:t>
      </w:r>
      <w:r>
        <w:rPr>
          <w:rFonts w:hint="default" w:ascii="Times New Roman" w:hAnsi="Times New Roman" w:eastAsia="黑体" w:cs="Times New Roman"/>
          <w:snapToGrid w:val="0"/>
          <w:color w:val="auto"/>
          <w:sz w:val="30"/>
          <w:szCs w:val="30"/>
        </w:rPr>
        <w:t>主要环境影响和保护措施</w:t>
      </w:r>
      <w:bookmarkEnd w:id="24"/>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451"/>
      </w:tblGrid>
      <w:tr w14:paraId="1DB13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457" w:type="dxa"/>
            <w:noWrap w:val="0"/>
            <w:tcMar>
              <w:left w:w="28" w:type="dxa"/>
              <w:right w:w="28" w:type="dxa"/>
            </w:tcMar>
            <w:vAlign w:val="center"/>
          </w:tcPr>
          <w:p w14:paraId="6B902871">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14:paraId="692F2EAC">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14:paraId="065AE548">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14:paraId="3D753BD7">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14:paraId="48BE6132">
            <w:pPr>
              <w:pStyle w:val="22"/>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施</w:t>
            </w:r>
          </w:p>
        </w:tc>
        <w:tc>
          <w:tcPr>
            <w:tcW w:w="8451" w:type="dxa"/>
            <w:noWrap w:val="0"/>
            <w:vAlign w:val="center"/>
          </w:tcPr>
          <w:p w14:paraId="01A1B9A7">
            <w:pPr>
              <w:keepNext w:val="0"/>
              <w:keepLines w:val="0"/>
              <w:pageBreakBefore w:val="0"/>
              <w:widowControl w:val="0"/>
              <w:kinsoku/>
              <w:wordWrap/>
              <w:overflowPunct/>
              <w:topLinePunct w:val="0"/>
              <w:autoSpaceDE w:val="0"/>
              <w:autoSpaceDN w:val="0"/>
              <w:bidi w:val="0"/>
              <w:adjustRightInd/>
              <w:snapToGrid/>
              <w:spacing w:line="360" w:lineRule="auto"/>
              <w:textAlignment w:val="bottom"/>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val="0"/>
                <w:color w:val="auto"/>
                <w:kern w:val="2"/>
                <w:sz w:val="28"/>
                <w:szCs w:val="28"/>
                <w:lang w:val="en-US" w:eastAsia="zh-CN" w:bidi="ar-SA"/>
              </w:rPr>
              <w:t>4.1施工期环境保护措施</w:t>
            </w:r>
          </w:p>
          <w:p w14:paraId="736BC4A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bCs/>
                <w:color w:val="auto"/>
                <w:spacing w:val="-10"/>
                <w:szCs w:val="21"/>
              </w:rPr>
            </w:pPr>
            <w:r>
              <w:rPr>
                <w:rFonts w:hint="default" w:ascii="Times New Roman" w:hAnsi="Times New Roman" w:eastAsia="宋体" w:cs="Times New Roman"/>
                <w:color w:val="auto"/>
                <w:kern w:val="2"/>
                <w:sz w:val="24"/>
                <w:szCs w:val="24"/>
                <w:lang w:val="en-US" w:eastAsia="zh-CN" w:bidi="ar-SA"/>
              </w:rPr>
              <w:t>根据现场调查，项目租赁厂房已建成。施工期主要为设备安装、调试阶段产生的环境问题，本项目设备安装、调试简单</w:t>
            </w:r>
            <w:r>
              <w:rPr>
                <w:rFonts w:hint="eastAsia" w:cs="Times New Roman"/>
                <w:color w:val="auto"/>
                <w:kern w:val="2"/>
                <w:sz w:val="24"/>
                <w:szCs w:val="24"/>
                <w:lang w:val="en-US" w:eastAsia="zh-CN" w:bidi="ar-SA"/>
              </w:rPr>
              <w:t>且</w:t>
            </w:r>
            <w:r>
              <w:rPr>
                <w:rFonts w:hint="default" w:ascii="Times New Roman" w:hAnsi="Times New Roman" w:eastAsia="宋体" w:cs="Times New Roman"/>
                <w:color w:val="auto"/>
                <w:kern w:val="2"/>
                <w:sz w:val="24"/>
                <w:szCs w:val="24"/>
                <w:lang w:val="en-US" w:eastAsia="zh-CN" w:bidi="ar-SA"/>
              </w:rPr>
              <w:t>时间较短，因此，随着设备安装、调试完毕后，项目施工期也将结束，施工期环境影响也随着消失，不会对周边环境</w:t>
            </w:r>
            <w:r>
              <w:rPr>
                <w:rFonts w:hint="eastAsia" w:cs="Times New Roman"/>
                <w:color w:val="auto"/>
                <w:kern w:val="2"/>
                <w:sz w:val="24"/>
                <w:szCs w:val="24"/>
                <w:lang w:val="en-US" w:eastAsia="zh-CN" w:bidi="ar-SA"/>
              </w:rPr>
              <w:t>造成</w:t>
            </w:r>
            <w:r>
              <w:rPr>
                <w:rFonts w:hint="default" w:ascii="Times New Roman" w:hAnsi="Times New Roman" w:eastAsia="宋体" w:cs="Times New Roman"/>
                <w:color w:val="auto"/>
                <w:kern w:val="2"/>
                <w:sz w:val="24"/>
                <w:szCs w:val="24"/>
                <w:lang w:val="en-US" w:eastAsia="zh-CN" w:bidi="ar-SA"/>
              </w:rPr>
              <w:t>影响。</w:t>
            </w:r>
          </w:p>
        </w:tc>
      </w:tr>
      <w:tr w14:paraId="76E4D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457" w:type="dxa"/>
            <w:noWrap w:val="0"/>
            <w:tcMar>
              <w:left w:w="28" w:type="dxa"/>
              <w:right w:w="28" w:type="dxa"/>
            </w:tcMar>
            <w:vAlign w:val="center"/>
          </w:tcPr>
          <w:p w14:paraId="41C668C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运营</w:t>
            </w:r>
          </w:p>
          <w:p w14:paraId="30BB5F4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期环</w:t>
            </w:r>
          </w:p>
          <w:p w14:paraId="5A748D2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境影</w:t>
            </w:r>
          </w:p>
          <w:p w14:paraId="1E9FE017">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响和</w:t>
            </w:r>
          </w:p>
          <w:p w14:paraId="0BFD1F0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保护</w:t>
            </w:r>
          </w:p>
          <w:p w14:paraId="67BBBCEA">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1"/>
                <w:szCs w:val="21"/>
              </w:rPr>
              <w:t>措施</w:t>
            </w:r>
          </w:p>
        </w:tc>
        <w:tc>
          <w:tcPr>
            <w:tcW w:w="8451" w:type="dxa"/>
            <w:noWrap w:val="0"/>
            <w:vAlign w:val="center"/>
          </w:tcPr>
          <w:p w14:paraId="61346C6D">
            <w:pPr>
              <w:keepNext/>
              <w:keepLines/>
              <w:widowControl w:val="0"/>
              <w:bidi w:val="0"/>
              <w:spacing w:before="120" w:beforeAutospacing="0" w:after="120" w:afterAutospacing="0" w:line="360" w:lineRule="auto"/>
              <w:jc w:val="left"/>
              <w:outlineLvl w:val="1"/>
              <w:rPr>
                <w:rFonts w:hint="default" w:ascii="Times New Roman" w:hAnsi="Times New Roman" w:eastAsia="宋体" w:cs="Times New Roman"/>
                <w:b/>
                <w:color w:val="auto"/>
                <w:kern w:val="2"/>
                <w:sz w:val="28"/>
                <w:szCs w:val="28"/>
                <w:lang w:val="en-US" w:eastAsia="zh-CN" w:bidi="ar-SA"/>
              </w:rPr>
            </w:pPr>
            <w:r>
              <w:rPr>
                <w:rFonts w:hint="default" w:ascii="Times New Roman" w:hAnsi="Times New Roman" w:eastAsia="宋体" w:cs="Times New Roman"/>
                <w:b/>
                <w:color w:val="auto"/>
                <w:kern w:val="2"/>
                <w:sz w:val="28"/>
                <w:szCs w:val="28"/>
                <w:lang w:val="en-US" w:eastAsia="zh-CN" w:bidi="ar-SA"/>
              </w:rPr>
              <w:t>4.2运营期大气环境影响分析和污染防治措施</w:t>
            </w:r>
          </w:p>
          <w:p w14:paraId="50022F8C">
            <w:pPr>
              <w:pStyle w:val="8"/>
              <w:keepNext w:val="0"/>
              <w:keepLines w:val="0"/>
              <w:pageBreakBefore w:val="0"/>
              <w:widowControl w:val="0"/>
              <w:kinsoku/>
              <w:wordWrap/>
              <w:overflowPunct/>
              <w:topLinePunct w:val="0"/>
              <w:autoSpaceDE/>
              <w:autoSpaceDN/>
              <w:bidi w:val="0"/>
              <w:adjustRightInd w:val="0"/>
              <w:snapToGrid/>
              <w:spacing w:before="120" w:after="120" w:line="360" w:lineRule="auto"/>
              <w:ind w:left="0" w:leftChars="0" w:firstLine="0" w:firstLineChars="0"/>
              <w:textAlignment w:val="auto"/>
              <w:rPr>
                <w:rFonts w:hint="default" w:ascii="Times New Roman" w:hAnsi="Times New Roman" w:eastAsia="宋体" w:cs="Times New Roman"/>
                <w:b/>
                <w:bCs/>
                <w:snapToGrid w:val="0"/>
                <w:color w:val="auto"/>
                <w:sz w:val="30"/>
                <w:szCs w:val="30"/>
                <w:highlight w:val="none"/>
                <w:lang w:val="en-US" w:eastAsia="zh-CN"/>
              </w:rPr>
            </w:pPr>
            <w:r>
              <w:rPr>
                <w:rFonts w:hint="default" w:ascii="Times New Roman" w:hAnsi="Times New Roman" w:eastAsia="宋体" w:cs="Times New Roman"/>
                <w:b/>
                <w:color w:val="auto"/>
                <w:kern w:val="2"/>
                <w:sz w:val="24"/>
                <w:szCs w:val="24"/>
                <w:lang w:val="en-US" w:eastAsia="zh-CN" w:bidi="ar-SA"/>
              </w:rPr>
              <w:t>4.2.1运营期废气源强核算</w:t>
            </w:r>
          </w:p>
          <w:p w14:paraId="09912D3A">
            <w:pPr>
              <w:pStyle w:val="125"/>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由于</w:t>
            </w:r>
            <w:r>
              <w:rPr>
                <w:rFonts w:hint="default" w:ascii="Times New Roman" w:hAnsi="Times New Roman" w:cs="Times New Roman"/>
                <w:color w:val="auto"/>
                <w:lang w:val="en-US" w:eastAsia="zh-CN"/>
              </w:rPr>
              <w:t>原料</w:t>
            </w:r>
            <w:r>
              <w:rPr>
                <w:rFonts w:hint="default" w:ascii="Times New Roman" w:hAnsi="Times New Roman" w:cs="Times New Roman"/>
                <w:color w:val="auto"/>
                <w:lang w:eastAsia="zh-CN"/>
              </w:rPr>
              <w:t>破碎工序采用密闭湿式、剪切式破碎，破碎粉尘量小且不会逸出设备外，故破碎粉尘不予考虑</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厂区地面全部硬化，厂内运输主要为生产原辅料的运</w:t>
            </w:r>
            <w:r>
              <w:rPr>
                <w:rFonts w:hint="eastAsia" w:cs="Times New Roman"/>
                <w:color w:val="auto"/>
                <w:lang w:val="en-US" w:eastAsia="zh-CN"/>
              </w:rPr>
              <w:t>入</w:t>
            </w:r>
            <w:r>
              <w:rPr>
                <w:rFonts w:hint="default" w:ascii="Times New Roman" w:hAnsi="Times New Roman" w:cs="Times New Roman"/>
                <w:color w:val="auto"/>
                <w:lang w:eastAsia="zh-CN"/>
              </w:rPr>
              <w:t>和产品的运出，进出车辆较少，其产生扬尘和废气可忽略不计。</w:t>
            </w:r>
          </w:p>
          <w:p w14:paraId="7FB5A42F">
            <w:pPr>
              <w:spacing w:line="360" w:lineRule="auto"/>
              <w:ind w:firstLine="480" w:firstLineChars="200"/>
              <w:rPr>
                <w:bCs/>
                <w:color w:val="auto"/>
                <w:sz w:val="24"/>
              </w:rPr>
            </w:pPr>
            <w:r>
              <w:rPr>
                <w:bCs/>
                <w:color w:val="auto"/>
                <w:sz w:val="24"/>
              </w:rPr>
              <w:t>污水处理站废气主要是污水处理过程产生的恶臭气体，主要污染因子为NH</w:t>
            </w:r>
            <w:r>
              <w:rPr>
                <w:bCs/>
                <w:color w:val="auto"/>
                <w:sz w:val="24"/>
                <w:vertAlign w:val="subscript"/>
              </w:rPr>
              <w:t>3</w:t>
            </w:r>
            <w:r>
              <w:rPr>
                <w:bCs/>
                <w:color w:val="auto"/>
                <w:sz w:val="24"/>
              </w:rPr>
              <w:t>、H</w:t>
            </w:r>
            <w:r>
              <w:rPr>
                <w:bCs/>
                <w:color w:val="auto"/>
                <w:sz w:val="24"/>
                <w:vertAlign w:val="subscript"/>
              </w:rPr>
              <w:t>2</w:t>
            </w:r>
            <w:r>
              <w:rPr>
                <w:bCs/>
                <w:color w:val="auto"/>
                <w:sz w:val="24"/>
              </w:rPr>
              <w:t>S和臭气浓度。根据李国发表在《重庆环境科学》的《环境臭气评价方法的新探讨》论文中提出的方法：通过臭气强度分级确定臭气污染源源强，臭气强度1级，为勉强感觉臭味存在(嗅觉阈值)，对应污水站周边NH</w:t>
            </w:r>
            <w:r>
              <w:rPr>
                <w:bCs/>
                <w:color w:val="auto"/>
                <w:sz w:val="24"/>
                <w:vertAlign w:val="subscript"/>
              </w:rPr>
              <w:t>3</w:t>
            </w:r>
            <w:r>
              <w:rPr>
                <w:bCs/>
                <w:color w:val="auto"/>
                <w:sz w:val="24"/>
              </w:rPr>
              <w:t>、H</w:t>
            </w:r>
            <w:r>
              <w:rPr>
                <w:bCs/>
                <w:color w:val="auto"/>
                <w:sz w:val="24"/>
                <w:vertAlign w:val="subscript"/>
              </w:rPr>
              <w:t>2</w:t>
            </w:r>
            <w:r>
              <w:rPr>
                <w:bCs/>
                <w:color w:val="auto"/>
                <w:sz w:val="24"/>
              </w:rPr>
              <w:t>S的无组织排放浓度分别为0.1mg/m</w:t>
            </w:r>
            <w:r>
              <w:rPr>
                <w:bCs/>
                <w:color w:val="auto"/>
                <w:sz w:val="24"/>
                <w:vertAlign w:val="superscript"/>
              </w:rPr>
              <w:t>3</w:t>
            </w:r>
            <w:r>
              <w:rPr>
                <w:bCs/>
                <w:color w:val="auto"/>
                <w:sz w:val="24"/>
              </w:rPr>
              <w:t>，0.0005mg/m</w:t>
            </w:r>
            <w:r>
              <w:rPr>
                <w:bCs/>
                <w:color w:val="auto"/>
                <w:sz w:val="24"/>
                <w:vertAlign w:val="superscript"/>
              </w:rPr>
              <w:t>3</w:t>
            </w:r>
            <w:r>
              <w:rPr>
                <w:bCs/>
                <w:color w:val="auto"/>
                <w:sz w:val="24"/>
              </w:rPr>
              <w:t>。</w:t>
            </w:r>
          </w:p>
          <w:p w14:paraId="7A608F8D">
            <w:pPr>
              <w:spacing w:line="360" w:lineRule="auto"/>
              <w:ind w:firstLine="480" w:firstLineChars="200"/>
              <w:rPr>
                <w:bCs/>
                <w:color w:val="auto"/>
                <w:sz w:val="24"/>
              </w:rPr>
            </w:pPr>
            <w:r>
              <w:rPr>
                <w:bCs/>
                <w:color w:val="auto"/>
                <w:sz w:val="24"/>
              </w:rPr>
              <w:t>拟建项目污水站</w:t>
            </w:r>
            <w:r>
              <w:rPr>
                <w:rFonts w:hint="eastAsia"/>
                <w:bCs/>
                <w:color w:val="auto"/>
                <w:sz w:val="24"/>
                <w:lang w:val="en-US" w:eastAsia="zh-CN"/>
              </w:rPr>
              <w:t>加盖密闭</w:t>
            </w:r>
            <w:r>
              <w:rPr>
                <w:bCs/>
                <w:color w:val="auto"/>
                <w:sz w:val="24"/>
              </w:rPr>
              <w:t>，微生物膜正常脱膜并通过反冲洗排出池外，减少滤池中微生物膜的积累</w:t>
            </w:r>
            <w:r>
              <w:rPr>
                <w:rFonts w:hint="eastAsia"/>
                <w:bCs/>
                <w:color w:val="auto"/>
                <w:sz w:val="24"/>
              </w:rPr>
              <w:t>，可</w:t>
            </w:r>
            <w:r>
              <w:rPr>
                <w:bCs/>
                <w:color w:val="auto"/>
                <w:sz w:val="24"/>
              </w:rPr>
              <w:t>保证曝气设施的正常工作</w:t>
            </w:r>
            <w:r>
              <w:rPr>
                <w:rFonts w:hint="eastAsia"/>
                <w:bCs/>
                <w:color w:val="auto"/>
                <w:sz w:val="24"/>
              </w:rPr>
              <w:t>，有效减少臭气的产生。</w:t>
            </w:r>
            <w:r>
              <w:rPr>
                <w:bCs/>
                <w:color w:val="auto"/>
                <w:sz w:val="24"/>
              </w:rPr>
              <w:t>根据对通州区农村污水处理站(27个站)、重庆古韵酒家、马堡山新村移民点污水处理站现场调查结果，在污水站厂界臭味感觉不明显，勉强感觉臭味存在(嗅觉阈值)，臭气强度为1级，对应污水站周边NH</w:t>
            </w:r>
            <w:r>
              <w:rPr>
                <w:bCs/>
                <w:color w:val="auto"/>
                <w:sz w:val="24"/>
                <w:vertAlign w:val="subscript"/>
              </w:rPr>
              <w:t>3</w:t>
            </w:r>
            <w:r>
              <w:rPr>
                <w:bCs/>
                <w:color w:val="auto"/>
                <w:sz w:val="24"/>
              </w:rPr>
              <w:t>、H</w:t>
            </w:r>
            <w:r>
              <w:rPr>
                <w:bCs/>
                <w:color w:val="auto"/>
                <w:sz w:val="24"/>
                <w:vertAlign w:val="subscript"/>
              </w:rPr>
              <w:t>2</w:t>
            </w:r>
            <w:r>
              <w:rPr>
                <w:bCs/>
                <w:color w:val="auto"/>
                <w:sz w:val="24"/>
              </w:rPr>
              <w:t>S无组织浓度为0.1mg/m</w:t>
            </w:r>
            <w:r>
              <w:rPr>
                <w:bCs/>
                <w:color w:val="auto"/>
                <w:sz w:val="24"/>
                <w:vertAlign w:val="superscript"/>
              </w:rPr>
              <w:t>3</w:t>
            </w:r>
            <w:r>
              <w:rPr>
                <w:bCs/>
                <w:color w:val="auto"/>
                <w:sz w:val="24"/>
              </w:rPr>
              <w:t>，0.0005mg/m</w:t>
            </w:r>
            <w:r>
              <w:rPr>
                <w:bCs/>
                <w:color w:val="auto"/>
                <w:sz w:val="24"/>
                <w:vertAlign w:val="superscript"/>
              </w:rPr>
              <w:t>3</w:t>
            </w:r>
            <w:r>
              <w:rPr>
                <w:bCs/>
                <w:color w:val="auto"/>
                <w:sz w:val="24"/>
              </w:rPr>
              <w:t>，臭气浓度小于10(无量纲)，满足</w:t>
            </w:r>
            <w:r>
              <w:rPr>
                <w:rFonts w:hint="default"/>
                <w:bCs/>
                <w:color w:val="auto"/>
                <w:sz w:val="24"/>
                <w:lang w:val="en-US" w:eastAsia="zh-CN"/>
              </w:rPr>
              <w:t>《恶臭污染物排放标准》(GB14554-93)</w:t>
            </w:r>
            <w:r>
              <w:rPr>
                <w:bCs/>
                <w:color w:val="auto"/>
                <w:sz w:val="24"/>
              </w:rPr>
              <w:t>中NH</w:t>
            </w:r>
            <w:r>
              <w:rPr>
                <w:bCs/>
                <w:color w:val="auto"/>
                <w:sz w:val="24"/>
                <w:vertAlign w:val="subscript"/>
              </w:rPr>
              <w:t>3</w:t>
            </w:r>
            <w:r>
              <w:rPr>
                <w:bCs/>
                <w:color w:val="auto"/>
                <w:sz w:val="24"/>
              </w:rPr>
              <w:t>1.5mg/m</w:t>
            </w:r>
            <w:r>
              <w:rPr>
                <w:bCs/>
                <w:color w:val="auto"/>
                <w:sz w:val="24"/>
                <w:vertAlign w:val="superscript"/>
              </w:rPr>
              <w:t>3</w:t>
            </w:r>
            <w:r>
              <w:rPr>
                <w:bCs/>
                <w:color w:val="auto"/>
                <w:sz w:val="24"/>
              </w:rPr>
              <w:t>，H</w:t>
            </w:r>
            <w:r>
              <w:rPr>
                <w:bCs/>
                <w:color w:val="auto"/>
                <w:sz w:val="24"/>
                <w:vertAlign w:val="subscript"/>
              </w:rPr>
              <w:t>2</w:t>
            </w:r>
            <w:r>
              <w:rPr>
                <w:bCs/>
                <w:color w:val="auto"/>
                <w:sz w:val="24"/>
              </w:rPr>
              <w:t>S0.06mg/m</w:t>
            </w:r>
            <w:r>
              <w:rPr>
                <w:bCs/>
                <w:color w:val="auto"/>
                <w:sz w:val="24"/>
                <w:vertAlign w:val="superscript"/>
              </w:rPr>
              <w:t>3</w:t>
            </w:r>
            <w:r>
              <w:rPr>
                <w:bCs/>
                <w:color w:val="auto"/>
                <w:sz w:val="24"/>
              </w:rPr>
              <w:t>，臭气浓度小于20(无量纲)的要求。</w:t>
            </w:r>
          </w:p>
          <w:p w14:paraId="00E139B2">
            <w:pPr>
              <w:spacing w:line="360" w:lineRule="auto"/>
              <w:ind w:firstLine="480" w:firstLineChars="200"/>
              <w:rPr>
                <w:bCs/>
                <w:color w:val="auto"/>
                <w:sz w:val="24"/>
              </w:rPr>
            </w:pPr>
            <w:r>
              <w:rPr>
                <w:bCs/>
                <w:color w:val="auto"/>
                <w:sz w:val="24"/>
              </w:rPr>
              <w:t>根据美国EPA对城市污水处理厂恶臭污染物产生情况的研究，每去除1g的BOD</w:t>
            </w:r>
            <w:r>
              <w:rPr>
                <w:bCs/>
                <w:color w:val="auto"/>
                <w:sz w:val="24"/>
                <w:vertAlign w:val="subscript"/>
              </w:rPr>
              <w:t>5</w:t>
            </w:r>
            <w:r>
              <w:rPr>
                <w:bCs/>
                <w:color w:val="auto"/>
                <w:sz w:val="24"/>
              </w:rPr>
              <w:t>，可产生0.0031g的NH</w:t>
            </w:r>
            <w:r>
              <w:rPr>
                <w:bCs/>
                <w:color w:val="auto"/>
                <w:sz w:val="24"/>
                <w:vertAlign w:val="subscript"/>
              </w:rPr>
              <w:t>3</w:t>
            </w:r>
            <w:r>
              <w:rPr>
                <w:bCs/>
                <w:color w:val="auto"/>
                <w:sz w:val="24"/>
              </w:rPr>
              <w:t>、0.00012g的H</w:t>
            </w:r>
            <w:r>
              <w:rPr>
                <w:bCs/>
                <w:color w:val="auto"/>
                <w:sz w:val="24"/>
                <w:vertAlign w:val="subscript"/>
              </w:rPr>
              <w:t>2</w:t>
            </w:r>
            <w:r>
              <w:rPr>
                <w:bCs/>
                <w:color w:val="auto"/>
                <w:sz w:val="24"/>
              </w:rPr>
              <w:t>S，拟建项目NH</w:t>
            </w:r>
            <w:r>
              <w:rPr>
                <w:bCs/>
                <w:color w:val="auto"/>
                <w:sz w:val="24"/>
                <w:vertAlign w:val="subscript"/>
              </w:rPr>
              <w:t>3</w:t>
            </w:r>
            <w:r>
              <w:rPr>
                <w:bCs/>
                <w:color w:val="auto"/>
                <w:sz w:val="24"/>
              </w:rPr>
              <w:t>和H</w:t>
            </w:r>
            <w:r>
              <w:rPr>
                <w:bCs/>
                <w:color w:val="auto"/>
                <w:sz w:val="24"/>
                <w:vertAlign w:val="subscript"/>
              </w:rPr>
              <w:t>2</w:t>
            </w:r>
            <w:r>
              <w:rPr>
                <w:bCs/>
                <w:color w:val="auto"/>
                <w:sz w:val="24"/>
              </w:rPr>
              <w:t>S的排放总量分别为0.00</w:t>
            </w:r>
            <w:r>
              <w:rPr>
                <w:rFonts w:hint="eastAsia"/>
                <w:bCs/>
                <w:color w:val="auto"/>
                <w:sz w:val="24"/>
                <w:lang w:val="en-US" w:eastAsia="zh-CN"/>
              </w:rPr>
              <w:t>16</w:t>
            </w:r>
            <w:r>
              <w:rPr>
                <w:bCs/>
                <w:color w:val="auto"/>
                <w:sz w:val="24"/>
              </w:rPr>
              <w:t>t/a、0.0000</w:t>
            </w:r>
            <w:r>
              <w:rPr>
                <w:rFonts w:hint="eastAsia"/>
                <w:bCs/>
                <w:color w:val="auto"/>
                <w:sz w:val="24"/>
                <w:lang w:val="en-US" w:eastAsia="zh-CN"/>
              </w:rPr>
              <w:t>6</w:t>
            </w:r>
            <w:r>
              <w:rPr>
                <w:bCs/>
                <w:color w:val="auto"/>
                <w:sz w:val="24"/>
              </w:rPr>
              <w:t>t/a。</w:t>
            </w:r>
          </w:p>
          <w:p w14:paraId="2075F2A9">
            <w:pPr>
              <w:keepLines w:val="0"/>
              <w:pageBreakBefore w:val="0"/>
              <w:widowControl w:val="0"/>
              <w:kinsoku/>
              <w:wordWrap/>
              <w:topLinePunct w:val="0"/>
              <w:autoSpaceDE/>
              <w:autoSpaceDN/>
              <w:bidi w:val="0"/>
              <w:adjustRightInd/>
              <w:snapToGrid/>
              <w:spacing w:line="360" w:lineRule="auto"/>
              <w:textAlignment w:val="auto"/>
              <w:rPr>
                <w:rFonts w:hint="default" w:ascii="Times New Roman" w:hAnsi="Times New Roman" w:eastAsia="宋体" w:cs="Times New Roman"/>
                <w:b/>
                <w:bCs w:val="0"/>
                <w:color w:val="auto"/>
                <w:kern w:val="0"/>
                <w:sz w:val="24"/>
              </w:rPr>
            </w:pPr>
            <w:r>
              <w:rPr>
                <w:rFonts w:hint="default" w:ascii="Times New Roman" w:hAnsi="Times New Roman" w:eastAsia="宋体" w:cs="Times New Roman"/>
                <w:b/>
                <w:bCs w:val="0"/>
                <w:color w:val="auto"/>
                <w:kern w:val="0"/>
                <w:sz w:val="24"/>
              </w:rPr>
              <w:t>4</w:t>
            </w:r>
            <w:r>
              <w:rPr>
                <w:rFonts w:hint="default" w:ascii="Times New Roman" w:hAnsi="Times New Roman" w:eastAsia="宋体" w:cs="Times New Roman"/>
                <w:b/>
                <w:bCs w:val="0"/>
                <w:color w:val="auto"/>
                <w:kern w:val="0"/>
                <w:sz w:val="24"/>
                <w:lang w:val="en-US" w:eastAsia="zh-CN"/>
              </w:rPr>
              <w:t>.2.</w:t>
            </w:r>
            <w:r>
              <w:rPr>
                <w:rFonts w:hint="eastAsia" w:ascii="Times New Roman" w:hAnsi="Times New Roman" w:cs="Times New Roman"/>
                <w:b/>
                <w:bCs w:val="0"/>
                <w:color w:val="auto"/>
                <w:kern w:val="0"/>
                <w:sz w:val="24"/>
                <w:lang w:val="en-US" w:eastAsia="zh-CN"/>
              </w:rPr>
              <w:t xml:space="preserve">2 </w:t>
            </w:r>
            <w:r>
              <w:rPr>
                <w:rFonts w:hint="default" w:ascii="Times New Roman" w:hAnsi="Times New Roman" w:eastAsia="宋体" w:cs="Times New Roman"/>
                <w:b/>
                <w:bCs w:val="0"/>
                <w:color w:val="auto"/>
                <w:kern w:val="0"/>
                <w:sz w:val="24"/>
              </w:rPr>
              <w:t>自行监测计划</w:t>
            </w:r>
          </w:p>
          <w:p w14:paraId="41800243">
            <w:pPr>
              <w:keepNext w:val="0"/>
              <w:keepLines w:val="0"/>
              <w:suppressLineNumbers w:val="0"/>
              <w:adjustRightInd w:val="0"/>
              <w:spacing w:before="0" w:beforeAutospacing="0" w:after="0" w:afterAutospacing="0" w:line="360" w:lineRule="auto"/>
              <w:ind w:left="0" w:right="0" w:firstLine="480" w:firstLineChars="200"/>
              <w:rPr>
                <w:rFonts w:hint="default"/>
                <w:bCs/>
                <w:color w:val="auto"/>
                <w:sz w:val="24"/>
                <w:szCs w:val="32"/>
              </w:rPr>
            </w:pPr>
            <w:r>
              <w:rPr>
                <w:rFonts w:hint="default"/>
                <w:bCs/>
                <w:color w:val="auto"/>
                <w:sz w:val="24"/>
                <w:szCs w:val="32"/>
              </w:rPr>
              <w:t>根据《排污单位自行监测技术指南 总则》（HJ819-2017）</w:t>
            </w:r>
            <w:r>
              <w:rPr>
                <w:rFonts w:hint="eastAsia"/>
                <w:bCs/>
                <w:color w:val="auto"/>
                <w:sz w:val="24"/>
                <w:szCs w:val="32"/>
              </w:rPr>
              <w:t>、《</w:t>
            </w:r>
            <w:r>
              <w:rPr>
                <w:rFonts w:hint="default"/>
                <w:bCs/>
                <w:color w:val="auto"/>
                <w:sz w:val="24"/>
                <w:szCs w:val="32"/>
              </w:rPr>
              <w:t>排污许可证申请与核发技术规范 废弃资源加工工业</w:t>
            </w:r>
            <w:r>
              <w:rPr>
                <w:rFonts w:hint="eastAsia"/>
                <w:bCs/>
                <w:color w:val="auto"/>
                <w:sz w:val="24"/>
                <w:szCs w:val="32"/>
              </w:rPr>
              <w:t>》</w:t>
            </w:r>
            <w:r>
              <w:rPr>
                <w:rFonts w:hint="default"/>
                <w:bCs/>
                <w:color w:val="auto"/>
                <w:sz w:val="24"/>
                <w:szCs w:val="32"/>
              </w:rPr>
              <w:t>（HJ1034—2019）</w:t>
            </w:r>
            <w:r>
              <w:rPr>
                <w:rFonts w:hint="eastAsia"/>
                <w:bCs/>
                <w:color w:val="auto"/>
                <w:sz w:val="24"/>
                <w:szCs w:val="32"/>
              </w:rPr>
              <w:t>中</w:t>
            </w:r>
            <w:r>
              <w:rPr>
                <w:rFonts w:hint="default"/>
                <w:bCs/>
                <w:color w:val="auto"/>
                <w:sz w:val="24"/>
                <w:szCs w:val="32"/>
              </w:rPr>
              <w:t>相关要求，项目在投入运行后，需定期对项目污染源开展监测活动，具体如下所示。</w:t>
            </w:r>
          </w:p>
          <w:p w14:paraId="5029268C">
            <w:pPr>
              <w:pStyle w:val="134"/>
              <w:keepNext w:val="0"/>
              <w:keepLines w:val="0"/>
              <w:pageBreakBefore w:val="0"/>
              <w:widowControl w:val="0"/>
              <w:kinsoku/>
              <w:wordWrap/>
              <w:overflowPunct/>
              <w:topLinePunct w:val="0"/>
              <w:autoSpaceDE/>
              <w:autoSpaceDN/>
              <w:bidi w:val="0"/>
              <w:adjustRightInd/>
              <w:snapToGrid/>
              <w:spacing w:before="157" w:beforeLines="50" w:line="240" w:lineRule="auto"/>
              <w:ind w:right="102"/>
              <w:jc w:val="center"/>
              <w:textAlignment w:val="auto"/>
              <w:rPr>
                <w:rFonts w:hint="default" w:ascii="Times New Roman" w:hAnsi="Times New Roman" w:eastAsia="黑体" w:cs="Times New Roman"/>
                <w:color w:val="auto"/>
                <w:spacing w:val="0"/>
                <w:sz w:val="24"/>
                <w:szCs w:val="24"/>
                <w:lang w:val="en-US" w:eastAsia="zh-CN"/>
              </w:rPr>
            </w:pPr>
            <w:r>
              <w:rPr>
                <w:rFonts w:hint="eastAsia" w:ascii="Times New Roman" w:hAnsi="Times New Roman" w:eastAsia="黑体" w:cs="Times New Roman"/>
                <w:color w:val="auto"/>
                <w:spacing w:val="0"/>
                <w:sz w:val="24"/>
                <w:szCs w:val="24"/>
                <w:lang w:val="en-US" w:eastAsia="zh-CN"/>
              </w:rPr>
              <w:t xml:space="preserve">表4.2-1  </w:t>
            </w:r>
            <w:r>
              <w:rPr>
                <w:rFonts w:hint="default" w:ascii="Times New Roman" w:hAnsi="Times New Roman" w:eastAsia="黑体" w:cs="Times New Roman"/>
                <w:color w:val="auto"/>
                <w:spacing w:val="0"/>
                <w:sz w:val="24"/>
                <w:szCs w:val="24"/>
                <w:lang w:val="en-US" w:eastAsia="zh-CN"/>
              </w:rPr>
              <w:t>营运期环境监测计划</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552"/>
              <w:gridCol w:w="2792"/>
              <w:gridCol w:w="2436"/>
            </w:tblGrid>
            <w:tr w14:paraId="339D5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pct"/>
                  <w:tcBorders>
                    <w:tl2br w:val="nil"/>
                    <w:tr2bl w:val="nil"/>
                  </w:tcBorders>
                  <w:vAlign w:val="center"/>
                </w:tcPr>
                <w:p w14:paraId="694EEB5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40" w:lineRule="exact"/>
                    <w:ind w:left="0" w:right="0"/>
                    <w:jc w:val="center"/>
                    <w:textAlignment w:val="baseline"/>
                    <w:rPr>
                      <w:rFonts w:hint="default" w:ascii="Times New Roman" w:hAnsi="Times New Roman" w:eastAsia="宋体" w:cs="Times New Roman"/>
                      <w:b w:val="0"/>
                      <w:bCs w:val="0"/>
                      <w:color w:val="auto"/>
                      <w:kern w:val="24"/>
                      <w:sz w:val="21"/>
                      <w:szCs w:val="21"/>
                    </w:rPr>
                  </w:pPr>
                  <w:r>
                    <w:rPr>
                      <w:rFonts w:hint="default" w:ascii="Times New Roman" w:hAnsi="Times New Roman" w:eastAsia="宋体" w:cs="Times New Roman"/>
                      <w:b w:val="0"/>
                      <w:bCs w:val="0"/>
                      <w:color w:val="auto"/>
                      <w:kern w:val="24"/>
                      <w:sz w:val="21"/>
                      <w:szCs w:val="21"/>
                    </w:rPr>
                    <w:t>产污节点</w:t>
                  </w:r>
                </w:p>
              </w:tc>
              <w:tc>
                <w:tcPr>
                  <w:tcW w:w="942" w:type="pct"/>
                  <w:tcBorders>
                    <w:tl2br w:val="nil"/>
                    <w:tr2bl w:val="nil"/>
                  </w:tcBorders>
                  <w:vAlign w:val="center"/>
                </w:tcPr>
                <w:p w14:paraId="6EEC0BC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40" w:lineRule="exact"/>
                    <w:ind w:left="0" w:right="0"/>
                    <w:jc w:val="center"/>
                    <w:textAlignment w:val="baseline"/>
                    <w:rPr>
                      <w:rFonts w:hint="default" w:ascii="Times New Roman" w:hAnsi="Times New Roman" w:eastAsia="宋体" w:cs="Times New Roman"/>
                      <w:b w:val="0"/>
                      <w:bCs w:val="0"/>
                      <w:color w:val="auto"/>
                      <w:kern w:val="24"/>
                      <w:sz w:val="21"/>
                      <w:szCs w:val="21"/>
                    </w:rPr>
                  </w:pPr>
                  <w:r>
                    <w:rPr>
                      <w:rFonts w:hint="default" w:ascii="Times New Roman" w:hAnsi="Times New Roman" w:eastAsia="宋体" w:cs="Times New Roman"/>
                      <w:b w:val="0"/>
                      <w:bCs w:val="0"/>
                      <w:color w:val="auto"/>
                      <w:kern w:val="24"/>
                      <w:sz w:val="21"/>
                      <w:szCs w:val="21"/>
                    </w:rPr>
                    <w:t>监测点位</w:t>
                  </w:r>
                </w:p>
              </w:tc>
              <w:tc>
                <w:tcPr>
                  <w:tcW w:w="1695" w:type="pct"/>
                  <w:tcBorders>
                    <w:tl2br w:val="nil"/>
                    <w:tr2bl w:val="nil"/>
                  </w:tcBorders>
                  <w:vAlign w:val="center"/>
                </w:tcPr>
                <w:p w14:paraId="5271D4E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40" w:lineRule="exact"/>
                    <w:ind w:left="0" w:right="0"/>
                    <w:jc w:val="center"/>
                    <w:textAlignment w:val="baseline"/>
                    <w:rPr>
                      <w:rFonts w:hint="default" w:ascii="Times New Roman" w:hAnsi="Times New Roman" w:eastAsia="宋体" w:cs="Times New Roman"/>
                      <w:b w:val="0"/>
                      <w:bCs w:val="0"/>
                      <w:color w:val="auto"/>
                      <w:kern w:val="24"/>
                      <w:sz w:val="21"/>
                      <w:szCs w:val="21"/>
                    </w:rPr>
                  </w:pPr>
                  <w:r>
                    <w:rPr>
                      <w:rFonts w:hint="default" w:ascii="Times New Roman" w:hAnsi="Times New Roman" w:eastAsia="宋体" w:cs="Times New Roman"/>
                      <w:b w:val="0"/>
                      <w:bCs w:val="0"/>
                      <w:color w:val="auto"/>
                      <w:kern w:val="24"/>
                      <w:sz w:val="21"/>
                      <w:szCs w:val="21"/>
                    </w:rPr>
                    <w:t>监测指标</w:t>
                  </w:r>
                </w:p>
              </w:tc>
              <w:tc>
                <w:tcPr>
                  <w:tcW w:w="1479" w:type="pct"/>
                  <w:tcBorders>
                    <w:tl2br w:val="nil"/>
                    <w:tr2bl w:val="nil"/>
                  </w:tcBorders>
                  <w:vAlign w:val="center"/>
                </w:tcPr>
                <w:p w14:paraId="65E1366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40" w:lineRule="exact"/>
                    <w:ind w:left="0" w:right="0"/>
                    <w:jc w:val="center"/>
                    <w:textAlignment w:val="baseline"/>
                    <w:rPr>
                      <w:rFonts w:hint="default" w:ascii="Times New Roman" w:hAnsi="Times New Roman" w:eastAsia="宋体" w:cs="Times New Roman"/>
                      <w:b w:val="0"/>
                      <w:bCs w:val="0"/>
                      <w:color w:val="auto"/>
                      <w:kern w:val="24"/>
                      <w:sz w:val="21"/>
                      <w:szCs w:val="21"/>
                    </w:rPr>
                  </w:pPr>
                  <w:r>
                    <w:rPr>
                      <w:rFonts w:hint="default" w:ascii="Times New Roman" w:hAnsi="Times New Roman" w:eastAsia="宋体" w:cs="Times New Roman"/>
                      <w:b w:val="0"/>
                      <w:bCs w:val="0"/>
                      <w:color w:val="auto"/>
                      <w:kern w:val="24"/>
                      <w:sz w:val="21"/>
                      <w:szCs w:val="21"/>
                    </w:rPr>
                    <w:t>最低监测频次</w:t>
                  </w:r>
                </w:p>
              </w:tc>
            </w:tr>
            <w:tr w14:paraId="5B70B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pct"/>
                  <w:tcBorders>
                    <w:tl2br w:val="nil"/>
                    <w:tr2bl w:val="nil"/>
                  </w:tcBorders>
                  <w:vAlign w:val="center"/>
                </w:tcPr>
                <w:p w14:paraId="2EB4190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40" w:lineRule="exact"/>
                    <w:ind w:left="0" w:right="0"/>
                    <w:jc w:val="center"/>
                    <w:rPr>
                      <w:rFonts w:hint="default" w:ascii="Times New Roman" w:hAnsi="Times New Roman" w:eastAsia="宋体" w:cs="Times New Roman"/>
                      <w:b w:val="0"/>
                      <w:bCs w:val="0"/>
                      <w:color w:val="auto"/>
                      <w:kern w:val="24"/>
                      <w:sz w:val="21"/>
                      <w:szCs w:val="21"/>
                    </w:rPr>
                  </w:pPr>
                  <w:r>
                    <w:rPr>
                      <w:rFonts w:hint="default" w:ascii="Times New Roman" w:hAnsi="Times New Roman" w:eastAsia="宋体" w:cs="Times New Roman"/>
                      <w:b w:val="0"/>
                      <w:bCs w:val="0"/>
                      <w:color w:val="auto"/>
                      <w:kern w:val="24"/>
                      <w:sz w:val="21"/>
                      <w:szCs w:val="21"/>
                    </w:rPr>
                    <w:t>污水处理站</w:t>
                  </w:r>
                </w:p>
              </w:tc>
              <w:tc>
                <w:tcPr>
                  <w:tcW w:w="942" w:type="pct"/>
                  <w:tcBorders>
                    <w:tl2br w:val="nil"/>
                    <w:tr2bl w:val="nil"/>
                  </w:tcBorders>
                  <w:vAlign w:val="center"/>
                </w:tcPr>
                <w:p w14:paraId="6E5D034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40" w:lineRule="exact"/>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厂界</w:t>
                  </w:r>
                </w:p>
              </w:tc>
              <w:tc>
                <w:tcPr>
                  <w:tcW w:w="1695" w:type="pct"/>
                  <w:tcBorders>
                    <w:tl2br w:val="nil"/>
                    <w:tr2bl w:val="nil"/>
                  </w:tcBorders>
                  <w:vAlign w:val="center"/>
                </w:tcPr>
                <w:p w14:paraId="174ED2A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40" w:lineRule="exact"/>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氨、硫化氢</w:t>
                  </w:r>
                </w:p>
              </w:tc>
              <w:tc>
                <w:tcPr>
                  <w:tcW w:w="1479" w:type="pct"/>
                  <w:tcBorders>
                    <w:tl2br w:val="nil"/>
                    <w:tr2bl w:val="nil"/>
                  </w:tcBorders>
                  <w:vAlign w:val="center"/>
                </w:tcPr>
                <w:p w14:paraId="280D469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40" w:lineRule="exact"/>
                    <w:ind w:left="0" w:right="0"/>
                    <w:jc w:val="center"/>
                    <w:rPr>
                      <w:rFonts w:hint="default" w:ascii="Times New Roman" w:hAnsi="Times New Roman" w:eastAsia="宋体" w:cs="Times New Roman"/>
                      <w:b w:val="0"/>
                      <w:bCs w:val="0"/>
                      <w:color w:val="auto"/>
                      <w:kern w:val="24"/>
                      <w:sz w:val="21"/>
                      <w:szCs w:val="21"/>
                    </w:rPr>
                  </w:pPr>
                  <w:r>
                    <w:rPr>
                      <w:rFonts w:hint="default" w:ascii="Times New Roman" w:hAnsi="Times New Roman" w:eastAsia="宋体" w:cs="Times New Roman"/>
                      <w:b w:val="0"/>
                      <w:bCs w:val="0"/>
                      <w:color w:val="auto"/>
                      <w:kern w:val="24"/>
                      <w:sz w:val="21"/>
                      <w:szCs w:val="21"/>
                    </w:rPr>
                    <w:t>1次/年</w:t>
                  </w:r>
                </w:p>
              </w:tc>
            </w:tr>
          </w:tbl>
          <w:p w14:paraId="07CA1C89">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sz w:val="24"/>
                <w:szCs w:val="24"/>
                <w:highlight w:val="none"/>
                <w:lang w:eastAsia="zh-CN"/>
              </w:rPr>
            </w:pPr>
          </w:p>
        </w:tc>
      </w:tr>
    </w:tbl>
    <w:p w14:paraId="6654D1C7">
      <w:pPr>
        <w:pStyle w:val="22"/>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napToGrid w:val="0"/>
          <w:color w:val="auto"/>
          <w:sz w:val="30"/>
          <w:szCs w:val="30"/>
        </w:rPr>
      </w:pPr>
    </w:p>
    <w:p w14:paraId="14B74C1F">
      <w:pPr>
        <w:pStyle w:val="22"/>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napToGrid w:val="0"/>
          <w:color w:val="auto"/>
          <w:sz w:val="30"/>
          <w:szCs w:val="30"/>
        </w:rPr>
      </w:pPr>
    </w:p>
    <w:p w14:paraId="1792582E">
      <w:pPr>
        <w:pStyle w:val="22"/>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napToGrid w:val="0"/>
          <w:color w:val="auto"/>
          <w:sz w:val="30"/>
          <w:szCs w:val="30"/>
        </w:rPr>
      </w:pPr>
    </w:p>
    <w:p w14:paraId="685F1D6E">
      <w:pPr>
        <w:pStyle w:val="22"/>
        <w:numPr>
          <w:ilvl w:val="0"/>
          <w:numId w:val="0"/>
        </w:numPr>
        <w:jc w:val="both"/>
        <w:outlineLvl w:val="9"/>
        <w:rPr>
          <w:rFonts w:hint="default" w:ascii="Times New Roman" w:hAnsi="Times New Roman" w:eastAsia="宋体" w:cs="Times New Roman"/>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1"/>
        <w:gridCol w:w="8507"/>
      </w:tblGrid>
      <w:tr w14:paraId="44A6A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401" w:type="dxa"/>
            <w:noWrap w:val="0"/>
            <w:tcMar>
              <w:left w:w="28" w:type="dxa"/>
              <w:right w:w="28" w:type="dxa"/>
            </w:tcMar>
            <w:vAlign w:val="center"/>
          </w:tcPr>
          <w:p w14:paraId="54812E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2C8954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52FD23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1EBB78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6D2F37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14:paraId="20E858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 w:val="24"/>
                <w:szCs w:val="24"/>
              </w:rPr>
              <w:t>措施</w:t>
            </w:r>
          </w:p>
        </w:tc>
        <w:tc>
          <w:tcPr>
            <w:tcW w:w="8507" w:type="dxa"/>
            <w:noWrap w:val="0"/>
            <w:vAlign w:val="center"/>
          </w:tcPr>
          <w:p w14:paraId="0A672F13">
            <w:pPr>
              <w:pStyle w:val="3"/>
              <w:keepNext/>
              <w:keepLines/>
              <w:pageBreakBefore w:val="0"/>
              <w:widowControl w:val="0"/>
              <w:numPr>
                <w:ilvl w:val="1"/>
                <w:numId w:val="0"/>
              </w:numPr>
              <w:kinsoku/>
              <w:wordWrap/>
              <w:overflowPunct/>
              <w:topLinePunct w:val="0"/>
              <w:autoSpaceDE/>
              <w:autoSpaceDN/>
              <w:bidi w:val="0"/>
              <w:adjustRightInd/>
              <w:snapToGrid/>
              <w:spacing w:before="157" w:beforeLines="50"/>
              <w:ind w:leftChars="0"/>
              <w:textAlignment w:val="auto"/>
              <w:rPr>
                <w:rFonts w:hint="default" w:ascii="Times New Roman" w:hAnsi="Times New Roman" w:cs="Times New Roman"/>
                <w:color w:val="auto"/>
              </w:rPr>
            </w:pPr>
            <w:r>
              <w:rPr>
                <w:rFonts w:hint="default" w:ascii="Times New Roman" w:hAnsi="Times New Roman" w:eastAsia="宋体" w:cs="Times New Roman"/>
                <w:bCs w:val="0"/>
                <w:color w:val="auto"/>
                <w:kern w:val="2"/>
              </w:rPr>
              <w:t>4.</w:t>
            </w:r>
            <w:r>
              <w:rPr>
                <w:rFonts w:hint="default" w:ascii="Times New Roman" w:hAnsi="Times New Roman" w:eastAsia="宋体" w:cs="Times New Roman"/>
                <w:bCs w:val="0"/>
                <w:color w:val="auto"/>
                <w:kern w:val="2"/>
                <w:lang w:val="en-US" w:eastAsia="zh-CN"/>
              </w:rPr>
              <w:t>3</w:t>
            </w:r>
            <w:r>
              <w:rPr>
                <w:rFonts w:hint="default" w:ascii="Times New Roman" w:hAnsi="Times New Roman" w:eastAsia="宋体" w:cs="Times New Roman"/>
                <w:bCs w:val="0"/>
                <w:color w:val="auto"/>
                <w:kern w:val="2"/>
              </w:rPr>
              <w:t xml:space="preserve"> 运营期水环境影响分析和污染防治措施</w:t>
            </w:r>
          </w:p>
          <w:p w14:paraId="0BE89803">
            <w:pPr>
              <w:pStyle w:val="4"/>
              <w:pageBreakBefore w:val="0"/>
              <w:widowControl w:val="0"/>
              <w:kinsoku/>
              <w:wordWrap/>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rPr>
            </w:pPr>
            <w:bookmarkStart w:id="25" w:name="_Toc18741"/>
            <w:r>
              <w:rPr>
                <w:rFonts w:hint="default" w:ascii="Times New Roman" w:hAnsi="Times New Roman" w:eastAsia="宋体" w:cs="Times New Roman"/>
                <w:b/>
                <w:color w:val="auto"/>
                <w:sz w:val="24"/>
              </w:rPr>
              <w:t>4.</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.1 运营期废水源强核算</w:t>
            </w:r>
            <w:bookmarkEnd w:id="25"/>
          </w:p>
          <w:p w14:paraId="2092967A">
            <w:pPr>
              <w:pStyle w:val="134"/>
              <w:keepNext w:val="0"/>
              <w:keepLines w:val="0"/>
              <w:pageBreakBefore w:val="0"/>
              <w:widowControl w:val="0"/>
              <w:kinsoku/>
              <w:wordWrap/>
              <w:overflowPunct/>
              <w:topLinePunct w:val="0"/>
              <w:autoSpaceDE/>
              <w:autoSpaceDN/>
              <w:bidi w:val="0"/>
              <w:adjustRightInd/>
              <w:snapToGrid/>
              <w:spacing w:line="360" w:lineRule="auto"/>
              <w:ind w:left="110" w:right="41"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1</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生产废水</w:t>
            </w:r>
          </w:p>
          <w:p w14:paraId="0ACE3E81">
            <w:pPr>
              <w:pStyle w:val="134"/>
              <w:keepNext w:val="0"/>
              <w:keepLines w:val="0"/>
              <w:pageBreakBefore w:val="0"/>
              <w:widowControl w:val="0"/>
              <w:kinsoku/>
              <w:wordWrap/>
              <w:overflowPunct/>
              <w:topLinePunct w:val="0"/>
              <w:autoSpaceDE/>
              <w:autoSpaceDN/>
              <w:bidi w:val="0"/>
              <w:adjustRightInd/>
              <w:snapToGrid/>
              <w:spacing w:line="360" w:lineRule="auto"/>
              <w:ind w:left="110" w:right="41" w:firstLine="480" w:firstLineChars="200"/>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项目生产装置均在车间内，原料储存区及成品区均在设置在厂房内，因此本环评均不考虑初期雨水。</w:t>
            </w:r>
          </w:p>
          <w:p w14:paraId="25A680A9">
            <w:pPr>
              <w:pStyle w:val="134"/>
              <w:keepNext w:val="0"/>
              <w:keepLines w:val="0"/>
              <w:pageBreakBefore w:val="0"/>
              <w:widowControl w:val="0"/>
              <w:kinsoku/>
              <w:wordWrap/>
              <w:overflowPunct/>
              <w:topLinePunct w:val="0"/>
              <w:autoSpaceDE/>
              <w:autoSpaceDN/>
              <w:bidi w:val="0"/>
              <w:adjustRightInd/>
              <w:snapToGrid/>
              <w:spacing w:line="360" w:lineRule="auto"/>
              <w:ind w:left="110" w:right="41"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根据前文工艺流程分析，未被污染的输液瓶（袋）已由各医疗机构分拣过，并已倒出输液瓶（袋）内的残留液体后由密闭车辆运输进入本项目进行回收加工，因此项目回收的未被污染的输液瓶（</w:t>
            </w:r>
            <w:r>
              <w:rPr>
                <w:rFonts w:hint="eastAsia" w:ascii="Times New Roman" w:hAnsi="Times New Roman" w:eastAsia="宋体" w:cs="Times New Roman"/>
                <w:b w:val="0"/>
                <w:bCs w:val="0"/>
                <w:color w:val="auto"/>
                <w:spacing w:val="0"/>
                <w:sz w:val="24"/>
                <w:szCs w:val="24"/>
                <w:highlight w:val="none"/>
                <w:lang w:val="en-US" w:eastAsia="zh-CN"/>
              </w:rPr>
              <w:t>袋）残留药液可以忽略不计且输液瓶（袋）中主要成分为葡萄糖、盐分、抗生素、氨基酸等，此部分液体由于使用时药剂经过0.9%生理盐水或5%葡萄糖溶液稀释，</w:t>
            </w:r>
            <w:r>
              <w:rPr>
                <w:rFonts w:hint="eastAsia" w:ascii="Times New Roman" w:hAnsi="Times New Roman" w:eastAsia="宋体" w:cs="Times New Roman"/>
                <w:b w:val="0"/>
                <w:bCs w:val="0"/>
                <w:color w:val="auto"/>
                <w:spacing w:val="0"/>
                <w:sz w:val="24"/>
                <w:szCs w:val="24"/>
                <w:lang w:val="en-US" w:eastAsia="zh-CN"/>
              </w:rPr>
              <w:t>药物成分微量、安全且对人体无害，不属于《新污染物治理行动方案》（国办发〔2022〕15号）中规定的管控范围。因此本项目不对抗生素等新污染物进行定量分析。</w:t>
            </w:r>
          </w:p>
          <w:p w14:paraId="1A7FDF49">
            <w:pPr>
              <w:pStyle w:val="134"/>
              <w:keepNext w:val="0"/>
              <w:keepLines w:val="0"/>
              <w:pageBreakBefore w:val="0"/>
              <w:widowControl w:val="0"/>
              <w:kinsoku/>
              <w:wordWrap/>
              <w:overflowPunct/>
              <w:topLinePunct w:val="0"/>
              <w:autoSpaceDE/>
              <w:autoSpaceDN/>
              <w:bidi w:val="0"/>
              <w:adjustRightInd/>
              <w:snapToGrid/>
              <w:spacing w:line="360" w:lineRule="auto"/>
              <w:ind w:left="110" w:right="41" w:firstLine="480" w:firstLineChars="200"/>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项目生产过程中原材料采用湿法粉碎+清洗的生产工艺，根据前文计算，项目湿法粉碎、清洗废水量为10480m</w:t>
            </w:r>
            <w:r>
              <w:rPr>
                <w:rFonts w:hint="default" w:ascii="Times New Roman" w:hAnsi="Times New Roman" w:eastAsia="宋体" w:cs="Times New Roman"/>
                <w:color w:val="auto"/>
                <w:spacing w:val="0"/>
                <w:sz w:val="24"/>
                <w:szCs w:val="24"/>
                <w:vertAlign w:val="superscript"/>
              </w:rPr>
              <w:t>3</w:t>
            </w:r>
            <w:r>
              <w:rPr>
                <w:rFonts w:hint="default" w:ascii="Times New Roman" w:hAnsi="Times New Roman" w:eastAsia="宋体" w:cs="Times New Roman"/>
                <w:color w:val="auto"/>
                <w:spacing w:val="0"/>
                <w:sz w:val="24"/>
                <w:szCs w:val="24"/>
              </w:rPr>
              <w:t>/a（31.76m</w:t>
            </w:r>
            <w:r>
              <w:rPr>
                <w:rFonts w:hint="default" w:ascii="Times New Roman" w:hAnsi="Times New Roman" w:eastAsia="宋体" w:cs="Times New Roman"/>
                <w:color w:val="auto"/>
                <w:spacing w:val="0"/>
                <w:sz w:val="24"/>
                <w:szCs w:val="24"/>
                <w:vertAlign w:val="superscript"/>
              </w:rPr>
              <w:t>3</w:t>
            </w:r>
            <w:r>
              <w:rPr>
                <w:rFonts w:hint="default" w:ascii="Times New Roman" w:hAnsi="Times New Roman" w:eastAsia="宋体" w:cs="Times New Roman"/>
                <w:color w:val="auto"/>
                <w:spacing w:val="0"/>
                <w:sz w:val="24"/>
                <w:szCs w:val="24"/>
              </w:rPr>
              <w:t>/d），本项目拟新建</w:t>
            </w:r>
            <w:r>
              <w:rPr>
                <w:rFonts w:hint="eastAsia" w:ascii="Times New Roman" w:hAnsi="Times New Roman" w:eastAsia="宋体" w:cs="Times New Roman"/>
                <w:color w:val="auto"/>
                <w:spacing w:val="0"/>
                <w:sz w:val="24"/>
                <w:szCs w:val="24"/>
                <w:lang w:val="en-US" w:eastAsia="zh-CN"/>
              </w:rPr>
              <w:t>污水处理设施</w:t>
            </w:r>
            <w:r>
              <w:rPr>
                <w:rFonts w:hint="default" w:ascii="Times New Roman" w:hAnsi="Times New Roman" w:eastAsia="宋体" w:cs="Times New Roman"/>
                <w:color w:val="auto"/>
                <w:spacing w:val="0"/>
                <w:sz w:val="24"/>
                <w:szCs w:val="24"/>
              </w:rPr>
              <w:t>一座，</w:t>
            </w:r>
            <w:r>
              <w:rPr>
                <w:rFonts w:hint="eastAsia" w:ascii="Times New Roman" w:hAnsi="Times New Roman" w:eastAsia="宋体" w:cs="Times New Roman"/>
                <w:color w:val="auto"/>
                <w:spacing w:val="0"/>
                <w:sz w:val="24"/>
                <w:szCs w:val="24"/>
                <w:lang w:val="en-US" w:eastAsia="zh-CN"/>
              </w:rPr>
              <w:t>有效处理能力</w:t>
            </w:r>
            <w:r>
              <w:rPr>
                <w:rFonts w:hint="default" w:ascii="Times New Roman" w:hAnsi="Times New Roman" w:eastAsia="宋体" w:cs="Times New Roman"/>
                <w:color w:val="auto"/>
                <w:spacing w:val="0"/>
                <w:sz w:val="24"/>
                <w:szCs w:val="24"/>
              </w:rPr>
              <w:t>为</w:t>
            </w:r>
            <w:r>
              <w:rPr>
                <w:rFonts w:hint="default" w:ascii="Times New Roman" w:hAnsi="Times New Roman" w:eastAsia="宋体" w:cs="Times New Roman"/>
                <w:color w:val="auto"/>
                <w:spacing w:val="0"/>
                <w:sz w:val="24"/>
                <w:szCs w:val="24"/>
                <w:lang w:val="en-US" w:eastAsia="zh-CN"/>
              </w:rPr>
              <w:t>40</w:t>
            </w:r>
            <w:r>
              <w:rPr>
                <w:rFonts w:hint="default" w:ascii="Times New Roman" w:hAnsi="Times New Roman" w:eastAsia="宋体" w:cs="Times New Roman"/>
                <w:color w:val="auto"/>
                <w:spacing w:val="0"/>
                <w:sz w:val="24"/>
                <w:szCs w:val="24"/>
              </w:rPr>
              <w:t>m</w:t>
            </w:r>
            <w:r>
              <w:rPr>
                <w:rFonts w:hint="default" w:ascii="Times New Roman" w:hAnsi="Times New Roman" w:eastAsia="宋体" w:cs="Times New Roman"/>
                <w:color w:val="auto"/>
                <w:spacing w:val="0"/>
                <w:sz w:val="24"/>
                <w:szCs w:val="24"/>
                <w:vertAlign w:val="superscript"/>
                <w:lang w:val="en-US" w:eastAsia="zh-CN"/>
              </w:rPr>
              <w:t>3</w:t>
            </w:r>
            <w:r>
              <w:rPr>
                <w:rFonts w:hint="default" w:ascii="Times New Roman" w:hAnsi="Times New Roman" w:eastAsia="宋体" w:cs="Times New Roman"/>
                <w:color w:val="auto"/>
                <w:spacing w:val="0"/>
                <w:sz w:val="24"/>
                <w:szCs w:val="24"/>
              </w:rPr>
              <w:t>/</w:t>
            </w:r>
            <w:r>
              <w:rPr>
                <w:rFonts w:hint="default" w:ascii="Times New Roman" w:hAnsi="Times New Roman" w:eastAsia="宋体" w:cs="Times New Roman"/>
                <w:color w:val="auto"/>
                <w:spacing w:val="0"/>
                <w:sz w:val="24"/>
                <w:szCs w:val="24"/>
                <w:lang w:val="en-US" w:eastAsia="zh-CN"/>
              </w:rPr>
              <w:t>d</w:t>
            </w:r>
            <w:r>
              <w:rPr>
                <w:rFonts w:hint="default" w:ascii="Times New Roman" w:hAnsi="Times New Roman" w:eastAsia="宋体" w:cs="Times New Roman"/>
                <w:color w:val="auto"/>
                <w:spacing w:val="0"/>
                <w:sz w:val="24"/>
                <w:szCs w:val="24"/>
              </w:rPr>
              <w:t>，项目湿法粉碎、清洗废水经集水渠流入内处理后再进入厂区污水处理站处理。</w:t>
            </w:r>
          </w:p>
          <w:p w14:paraId="709B3E77">
            <w:pPr>
              <w:pStyle w:val="134"/>
              <w:keepNext w:val="0"/>
              <w:keepLines w:val="0"/>
              <w:pageBreakBefore w:val="0"/>
              <w:widowControl w:val="0"/>
              <w:kinsoku/>
              <w:wordWrap/>
              <w:overflowPunct/>
              <w:topLinePunct w:val="0"/>
              <w:autoSpaceDE/>
              <w:autoSpaceDN/>
              <w:bidi w:val="0"/>
              <w:adjustRightInd/>
              <w:snapToGrid/>
              <w:spacing w:line="360" w:lineRule="auto"/>
              <w:ind w:left="107" w:right="103" w:firstLine="480" w:firstLineChars="200"/>
              <w:textAlignment w:val="auto"/>
              <w:rPr>
                <w:rFonts w:hint="default"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lang w:val="en-US" w:eastAsia="zh-CN"/>
              </w:rPr>
              <w:t>根据</w:t>
            </w:r>
            <w:r>
              <w:rPr>
                <w:rFonts w:hint="default" w:ascii="Times New Roman" w:hAnsi="Times New Roman" w:eastAsia="宋体" w:cs="Times New Roman"/>
                <w:color w:val="auto"/>
                <w:spacing w:val="0"/>
                <w:sz w:val="24"/>
                <w:szCs w:val="24"/>
                <w:lang w:val="en-US" w:eastAsia="zh-CN"/>
              </w:rPr>
              <w:t>《废塑料污染控制技术规范》（HJ364-2022）</w:t>
            </w:r>
            <w:r>
              <w:rPr>
                <w:rFonts w:hint="eastAsia" w:ascii="Times New Roman" w:hAnsi="Times New Roman" w:eastAsia="宋体" w:cs="Times New Roman"/>
                <w:color w:val="auto"/>
                <w:spacing w:val="0"/>
                <w:sz w:val="24"/>
                <w:szCs w:val="24"/>
                <w:lang w:val="en-US" w:eastAsia="zh-CN"/>
              </w:rPr>
              <w:t>，医疗机构中废塑料同样适用于该技术规范，因此，项目回收加工的</w:t>
            </w:r>
            <w:r>
              <w:rPr>
                <w:rFonts w:hint="eastAsia" w:ascii="Times New Roman" w:hAnsi="Times New Roman" w:eastAsia="宋体" w:cs="Times New Roman"/>
                <w:b w:val="0"/>
                <w:bCs w:val="0"/>
                <w:color w:val="auto"/>
                <w:spacing w:val="0"/>
                <w:sz w:val="24"/>
                <w:szCs w:val="24"/>
                <w:lang w:val="en-US" w:eastAsia="zh-CN"/>
              </w:rPr>
              <w:t>未受污染的塑料</w:t>
            </w:r>
            <w:r>
              <w:rPr>
                <w:rFonts w:hint="eastAsia" w:ascii="Times New Roman" w:hAnsi="Times New Roman" w:eastAsia="宋体" w:cs="Times New Roman"/>
                <w:color w:val="auto"/>
                <w:spacing w:val="0"/>
                <w:sz w:val="24"/>
                <w:szCs w:val="24"/>
                <w:lang w:val="en-US" w:eastAsia="zh-CN"/>
              </w:rPr>
              <w:t>输液瓶（袋）可参照废塑料回收进行评价。</w:t>
            </w:r>
          </w:p>
          <w:p w14:paraId="59C52B31">
            <w:pPr>
              <w:pStyle w:val="134"/>
              <w:keepNext w:val="0"/>
              <w:keepLines w:val="0"/>
              <w:pageBreakBefore w:val="0"/>
              <w:widowControl w:val="0"/>
              <w:kinsoku/>
              <w:wordWrap/>
              <w:overflowPunct/>
              <w:topLinePunct w:val="0"/>
              <w:autoSpaceDE/>
              <w:autoSpaceDN/>
              <w:bidi w:val="0"/>
              <w:adjustRightInd/>
              <w:snapToGrid/>
              <w:spacing w:line="360" w:lineRule="auto"/>
              <w:ind w:left="107" w:right="103"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rPr>
              <w:t>根据《排放源统计调查产排污核算方法和系数手册》“42  废弃资源综合利用行业”</w:t>
            </w:r>
            <w:r>
              <w:rPr>
                <w:rFonts w:hint="default" w:ascii="Times New Roman" w:hAnsi="Times New Roman" w:eastAsia="宋体" w:cs="Times New Roman"/>
                <w:color w:val="auto"/>
                <w:spacing w:val="0"/>
                <w:sz w:val="24"/>
                <w:szCs w:val="24"/>
                <w:lang w:val="en-US" w:eastAsia="zh-CN"/>
              </w:rPr>
              <w:t>及类比同类型企业《福建庆浦物资再生利用有限公司废旧塑料回收利用项目一期生产再生塑料PE粒子1500t、PP粒子3500t</w:t>
            </w:r>
            <w:r>
              <w:rPr>
                <w:rFonts w:hint="eastAsia" w:ascii="Times New Roman" w:hAnsi="Times New Roman" w:eastAsia="宋体" w:cs="Times New Roman"/>
                <w:color w:val="auto"/>
                <w:spacing w:val="0"/>
                <w:sz w:val="24"/>
                <w:szCs w:val="24"/>
                <w:lang w:val="en-US" w:eastAsia="zh-CN"/>
              </w:rPr>
              <w:t>；</w:t>
            </w:r>
            <w:r>
              <w:rPr>
                <w:rFonts w:hint="default" w:ascii="Times New Roman" w:hAnsi="Times New Roman" w:eastAsia="宋体" w:cs="Times New Roman"/>
                <w:color w:val="auto"/>
                <w:spacing w:val="0"/>
                <w:sz w:val="24"/>
                <w:szCs w:val="24"/>
                <w:lang w:val="en-US" w:eastAsia="zh-CN"/>
              </w:rPr>
              <w:t>二期生产再生塑料PP粒子1000t环境保护验收监测报告》污水处理设施进出水水质监测结果，本项目与福建庆浦物资再生利用有限公司废水源强类比可行性见表4</w:t>
            </w:r>
            <w:r>
              <w:rPr>
                <w:rFonts w:hint="eastAsia" w:ascii="Times New Roman" w:hAnsi="Times New Roman" w:eastAsia="宋体" w:cs="Times New Roman"/>
                <w:color w:val="auto"/>
                <w:spacing w:val="0"/>
                <w:sz w:val="24"/>
                <w:szCs w:val="24"/>
                <w:lang w:val="en-US" w:eastAsia="zh-CN"/>
              </w:rPr>
              <w:t>.3-1</w:t>
            </w:r>
            <w:r>
              <w:rPr>
                <w:rFonts w:hint="default" w:ascii="Times New Roman" w:hAnsi="Times New Roman" w:eastAsia="宋体" w:cs="Times New Roman"/>
                <w:color w:val="auto"/>
                <w:spacing w:val="0"/>
                <w:sz w:val="24"/>
                <w:szCs w:val="24"/>
                <w:lang w:val="en-US" w:eastAsia="zh-CN"/>
              </w:rPr>
              <w:t>。</w:t>
            </w:r>
          </w:p>
          <w:p w14:paraId="468A83E7">
            <w:pPr>
              <w:pStyle w:val="134"/>
              <w:keepNext w:val="0"/>
              <w:keepLines w:val="0"/>
              <w:pageBreakBefore w:val="0"/>
              <w:widowControl w:val="0"/>
              <w:kinsoku/>
              <w:wordWrap/>
              <w:overflowPunct/>
              <w:topLinePunct w:val="0"/>
              <w:autoSpaceDE/>
              <w:autoSpaceDN/>
              <w:bidi w:val="0"/>
              <w:adjustRightInd/>
              <w:snapToGrid/>
              <w:spacing w:before="157" w:beforeLines="50" w:line="240" w:lineRule="auto"/>
              <w:ind w:right="102"/>
              <w:jc w:val="center"/>
              <w:textAlignment w:val="auto"/>
              <w:rPr>
                <w:rFonts w:hint="eastAsia" w:ascii="黑体" w:hAnsi="黑体" w:eastAsia="黑体" w:cs="黑体"/>
                <w:color w:val="auto"/>
                <w:spacing w:val="0"/>
                <w:sz w:val="24"/>
                <w:szCs w:val="24"/>
                <w:lang w:val="en-US" w:eastAsia="zh-CN"/>
              </w:rPr>
            </w:pPr>
          </w:p>
          <w:p w14:paraId="7F662FD2">
            <w:pPr>
              <w:pStyle w:val="134"/>
              <w:keepNext w:val="0"/>
              <w:keepLines w:val="0"/>
              <w:pageBreakBefore w:val="0"/>
              <w:widowControl w:val="0"/>
              <w:kinsoku/>
              <w:wordWrap/>
              <w:overflowPunct/>
              <w:topLinePunct w:val="0"/>
              <w:autoSpaceDE/>
              <w:autoSpaceDN/>
              <w:bidi w:val="0"/>
              <w:adjustRightInd/>
              <w:snapToGrid/>
              <w:spacing w:before="157" w:beforeLines="50" w:line="240" w:lineRule="auto"/>
              <w:ind w:right="102"/>
              <w:jc w:val="center"/>
              <w:textAlignment w:val="auto"/>
              <w:rPr>
                <w:rFonts w:hint="eastAsia" w:ascii="黑体" w:hAnsi="黑体" w:eastAsia="黑体" w:cs="黑体"/>
                <w:color w:val="auto"/>
                <w:spacing w:val="0"/>
                <w:sz w:val="24"/>
                <w:szCs w:val="24"/>
                <w:lang w:val="en-US" w:eastAsia="zh-CN"/>
              </w:rPr>
            </w:pPr>
          </w:p>
          <w:p w14:paraId="4EAD7E8C">
            <w:pPr>
              <w:pStyle w:val="134"/>
              <w:keepNext w:val="0"/>
              <w:keepLines w:val="0"/>
              <w:pageBreakBefore w:val="0"/>
              <w:widowControl w:val="0"/>
              <w:kinsoku/>
              <w:wordWrap/>
              <w:overflowPunct/>
              <w:topLinePunct w:val="0"/>
              <w:autoSpaceDE/>
              <w:autoSpaceDN/>
              <w:bidi w:val="0"/>
              <w:adjustRightInd/>
              <w:snapToGrid/>
              <w:spacing w:before="157" w:beforeLines="50" w:line="240" w:lineRule="auto"/>
              <w:ind w:right="102"/>
              <w:jc w:val="center"/>
              <w:textAlignment w:val="auto"/>
              <w:rPr>
                <w:rFonts w:hint="eastAsia" w:ascii="黑体" w:hAnsi="黑体" w:eastAsia="黑体" w:cs="黑体"/>
                <w:color w:val="auto"/>
                <w:spacing w:val="0"/>
                <w:sz w:val="24"/>
                <w:szCs w:val="24"/>
                <w:lang w:val="en-US" w:eastAsia="zh-CN"/>
              </w:rPr>
            </w:pPr>
          </w:p>
          <w:p w14:paraId="5F47CAC1">
            <w:pPr>
              <w:pStyle w:val="134"/>
              <w:keepNext w:val="0"/>
              <w:keepLines w:val="0"/>
              <w:pageBreakBefore w:val="0"/>
              <w:widowControl w:val="0"/>
              <w:kinsoku/>
              <w:wordWrap/>
              <w:overflowPunct/>
              <w:topLinePunct w:val="0"/>
              <w:autoSpaceDE/>
              <w:autoSpaceDN/>
              <w:bidi w:val="0"/>
              <w:adjustRightInd/>
              <w:snapToGrid/>
              <w:spacing w:before="157" w:beforeLines="50" w:line="240" w:lineRule="auto"/>
              <w:ind w:right="102"/>
              <w:jc w:val="center"/>
              <w:textAlignment w:val="auto"/>
              <w:rPr>
                <w:rFonts w:hint="eastAsia" w:ascii="黑体" w:hAnsi="黑体" w:eastAsia="黑体" w:cs="黑体"/>
                <w:color w:val="auto"/>
                <w:spacing w:val="0"/>
                <w:sz w:val="24"/>
                <w:szCs w:val="24"/>
                <w:lang w:val="en-US" w:eastAsia="zh-CN"/>
              </w:rPr>
            </w:pPr>
            <w:r>
              <w:rPr>
                <w:rFonts w:hint="eastAsia" w:ascii="黑体" w:hAnsi="黑体" w:eastAsia="黑体" w:cs="黑体"/>
                <w:color w:val="auto"/>
                <w:spacing w:val="0"/>
                <w:sz w:val="24"/>
                <w:szCs w:val="24"/>
                <w:lang w:val="en-US" w:eastAsia="zh-CN"/>
              </w:rPr>
              <w:t>表4.3-1 同类企业对比一览表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968"/>
              <w:gridCol w:w="2217"/>
              <w:gridCol w:w="2217"/>
              <w:gridCol w:w="1739"/>
            </w:tblGrid>
            <w:tr w14:paraId="19DAA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pct"/>
                  <w:gridSpan w:val="2"/>
                  <w:tcBorders>
                    <w:tl2br w:val="nil"/>
                    <w:tr2bl w:val="nil"/>
                  </w:tcBorders>
                  <w:vAlign w:val="center"/>
                </w:tcPr>
                <w:p w14:paraId="54BCF68B">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lang w:val="en-US" w:eastAsia="zh-CN"/>
                    </w:rPr>
                    <w:t>内</w:t>
                  </w:r>
                  <w:r>
                    <w:rPr>
                      <w:rFonts w:hint="eastAsia" w:ascii="Times New Roman" w:hAnsi="Times New Roman" w:eastAsia="宋体" w:cs="Times New Roman"/>
                      <w:color w:val="auto"/>
                      <w:spacing w:val="0"/>
                      <w:sz w:val="21"/>
                      <w:szCs w:val="21"/>
                      <w:lang w:val="en-US" w:eastAsia="zh-CN"/>
                    </w:rPr>
                    <w:t>容</w:t>
                  </w:r>
                </w:p>
              </w:tc>
              <w:tc>
                <w:tcPr>
                  <w:tcW w:w="1337" w:type="pct"/>
                  <w:tcBorders>
                    <w:tl2br w:val="nil"/>
                    <w:tr2bl w:val="nil"/>
                  </w:tcBorders>
                  <w:vAlign w:val="center"/>
                </w:tcPr>
                <w:p w14:paraId="2B31CE0D">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lang w:val="en-US" w:eastAsia="zh-CN"/>
                    </w:rPr>
                    <w:t>庆浦物资公司</w:t>
                  </w:r>
                </w:p>
              </w:tc>
              <w:tc>
                <w:tcPr>
                  <w:tcW w:w="1337" w:type="pct"/>
                  <w:tcBorders>
                    <w:tl2br w:val="nil"/>
                    <w:tr2bl w:val="nil"/>
                  </w:tcBorders>
                  <w:vAlign w:val="center"/>
                </w:tcPr>
                <w:p w14:paraId="78308E57">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lang w:val="en-US" w:eastAsia="zh-CN"/>
                    </w:rPr>
                    <w:t>本项目</w:t>
                  </w:r>
                </w:p>
              </w:tc>
              <w:tc>
                <w:tcPr>
                  <w:tcW w:w="1048" w:type="pct"/>
                  <w:tcBorders>
                    <w:tl2br w:val="nil"/>
                    <w:tr2bl w:val="nil"/>
                  </w:tcBorders>
                  <w:vAlign w:val="center"/>
                </w:tcPr>
                <w:p w14:paraId="0E27A87E">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对比说明</w:t>
                  </w:r>
                </w:p>
              </w:tc>
            </w:tr>
            <w:tr w14:paraId="56CDD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pct"/>
                  <w:gridSpan w:val="2"/>
                  <w:tcBorders>
                    <w:tl2br w:val="nil"/>
                    <w:tr2bl w:val="nil"/>
                  </w:tcBorders>
                  <w:vAlign w:val="center"/>
                </w:tcPr>
                <w:p w14:paraId="4839D544">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原辅材料</w:t>
                  </w:r>
                </w:p>
              </w:tc>
              <w:tc>
                <w:tcPr>
                  <w:tcW w:w="1337" w:type="pct"/>
                  <w:tcBorders>
                    <w:tl2br w:val="nil"/>
                    <w:tr2bl w:val="nil"/>
                  </w:tcBorders>
                  <w:vAlign w:val="center"/>
                </w:tcPr>
                <w:p w14:paraId="17C0C676">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电器外壳、未被污染的输液瓶（袋）等</w:t>
                  </w:r>
                </w:p>
              </w:tc>
              <w:tc>
                <w:tcPr>
                  <w:tcW w:w="1337" w:type="pct"/>
                  <w:tcBorders>
                    <w:tl2br w:val="nil"/>
                    <w:tr2bl w:val="nil"/>
                  </w:tcBorders>
                  <w:vAlign w:val="center"/>
                </w:tcPr>
                <w:p w14:paraId="15B99C33">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未被污染的输液瓶（袋）、矿泉水瓶</w:t>
                  </w:r>
                </w:p>
              </w:tc>
              <w:tc>
                <w:tcPr>
                  <w:tcW w:w="1048" w:type="pct"/>
                  <w:vMerge w:val="restart"/>
                  <w:tcBorders>
                    <w:tl2br w:val="nil"/>
                    <w:tr2bl w:val="nil"/>
                  </w:tcBorders>
                  <w:vAlign w:val="center"/>
                </w:tcPr>
                <w:p w14:paraId="38AFBE8D">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lang w:val="en-US" w:eastAsia="zh-CN"/>
                    </w:rPr>
                    <w:t>原辅材料主要为一次性医用塑料输液瓶(袋)，废水主要为清洗废水</w:t>
                  </w:r>
                </w:p>
              </w:tc>
            </w:tr>
            <w:tr w14:paraId="65B5B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pct"/>
                  <w:gridSpan w:val="2"/>
                  <w:tcBorders>
                    <w:tl2br w:val="nil"/>
                    <w:tr2bl w:val="nil"/>
                  </w:tcBorders>
                  <w:vAlign w:val="center"/>
                </w:tcPr>
                <w:p w14:paraId="5C1F6E9D">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lang w:val="en-US" w:eastAsia="zh-CN"/>
                    </w:rPr>
                    <w:t>主要产品</w:t>
                  </w:r>
                </w:p>
              </w:tc>
              <w:tc>
                <w:tcPr>
                  <w:tcW w:w="1337" w:type="pct"/>
                  <w:tcBorders>
                    <w:tl2br w:val="nil"/>
                    <w:tr2bl w:val="nil"/>
                  </w:tcBorders>
                  <w:vAlign w:val="center"/>
                </w:tcPr>
                <w:p w14:paraId="559F13C8">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lang w:val="en-US" w:eastAsia="zh-CN"/>
                    </w:rPr>
                    <w:t>PE、PP粒子</w:t>
                  </w:r>
                </w:p>
              </w:tc>
              <w:tc>
                <w:tcPr>
                  <w:tcW w:w="1337" w:type="pct"/>
                  <w:tcBorders>
                    <w:tl2br w:val="nil"/>
                    <w:tr2bl w:val="nil"/>
                  </w:tcBorders>
                  <w:vAlign w:val="center"/>
                </w:tcPr>
                <w:p w14:paraId="0E15C251">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lang w:val="en-US" w:eastAsia="zh-CN"/>
                    </w:rPr>
                    <w:t>塑料、玻璃碎片</w:t>
                  </w:r>
                </w:p>
              </w:tc>
              <w:tc>
                <w:tcPr>
                  <w:tcW w:w="1048" w:type="pct"/>
                  <w:vMerge w:val="continue"/>
                  <w:tcBorders>
                    <w:tl2br w:val="nil"/>
                    <w:tr2bl w:val="nil"/>
                  </w:tcBorders>
                  <w:vAlign w:val="center"/>
                </w:tcPr>
                <w:p w14:paraId="0EF93903">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p>
              </w:tc>
            </w:tr>
            <w:tr w14:paraId="4B20F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692" w:type="pct"/>
                  <w:tcBorders>
                    <w:tl2br w:val="nil"/>
                    <w:tr2bl w:val="nil"/>
                  </w:tcBorders>
                  <w:vAlign w:val="center"/>
                </w:tcPr>
                <w:p w14:paraId="21D19D4D">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lang w:val="en-US" w:eastAsia="zh-CN"/>
                    </w:rPr>
                    <w:t>主要废水产生工序</w:t>
                  </w:r>
                </w:p>
              </w:tc>
              <w:tc>
                <w:tcPr>
                  <w:tcW w:w="583" w:type="pct"/>
                  <w:tcBorders>
                    <w:tl2br w:val="nil"/>
                    <w:tr2bl w:val="nil"/>
                  </w:tcBorders>
                  <w:vAlign w:val="center"/>
                </w:tcPr>
                <w:p w14:paraId="3C54DD6F">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lang w:val="en-US" w:eastAsia="zh-CN"/>
                    </w:rPr>
                    <w:t>废塑料清洗</w:t>
                  </w:r>
                </w:p>
              </w:tc>
              <w:tc>
                <w:tcPr>
                  <w:tcW w:w="1337" w:type="pct"/>
                  <w:tcBorders>
                    <w:tl2br w:val="nil"/>
                    <w:tr2bl w:val="nil"/>
                  </w:tcBorders>
                  <w:vAlign w:val="center"/>
                </w:tcPr>
                <w:p w14:paraId="6F0ABD8C">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破碎、清洗废水</w:t>
                  </w:r>
                </w:p>
              </w:tc>
              <w:tc>
                <w:tcPr>
                  <w:tcW w:w="1337" w:type="pct"/>
                  <w:tcBorders>
                    <w:tl2br w:val="nil"/>
                    <w:tr2bl w:val="nil"/>
                  </w:tcBorders>
                  <w:vAlign w:val="center"/>
                </w:tcPr>
                <w:p w14:paraId="7359B737">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破碎、清洗废水</w:t>
                  </w:r>
                </w:p>
              </w:tc>
              <w:tc>
                <w:tcPr>
                  <w:tcW w:w="1048" w:type="pct"/>
                  <w:vMerge w:val="continue"/>
                  <w:tcBorders>
                    <w:tl2br w:val="nil"/>
                    <w:tr2bl w:val="nil"/>
                  </w:tcBorders>
                  <w:vAlign w:val="center"/>
                </w:tcPr>
                <w:p w14:paraId="33AC874F">
                  <w:pPr>
                    <w:pStyle w:val="134"/>
                    <w:keepNext w:val="0"/>
                    <w:keepLines w:val="0"/>
                    <w:pageBreakBefore w:val="0"/>
                    <w:widowControl w:val="0"/>
                    <w:kinsoku/>
                    <w:wordWrap/>
                    <w:overflowPunct/>
                    <w:topLinePunct w:val="0"/>
                    <w:autoSpaceDE/>
                    <w:autoSpaceDN/>
                    <w:bidi w:val="0"/>
                    <w:adjustRightInd/>
                    <w:snapToGrid/>
                    <w:spacing w:line="340" w:lineRule="exact"/>
                    <w:ind w:right="102"/>
                    <w:jc w:val="center"/>
                    <w:textAlignment w:val="auto"/>
                    <w:rPr>
                      <w:rFonts w:hint="default" w:ascii="Times New Roman" w:hAnsi="Times New Roman" w:eastAsia="宋体" w:cs="Times New Roman"/>
                      <w:color w:val="auto"/>
                      <w:spacing w:val="0"/>
                      <w:sz w:val="21"/>
                      <w:szCs w:val="21"/>
                      <w:vertAlign w:val="baseline"/>
                      <w:lang w:val="en-US" w:eastAsia="zh-CN"/>
                    </w:rPr>
                  </w:pPr>
                </w:p>
              </w:tc>
            </w:tr>
          </w:tbl>
          <w:p w14:paraId="3EFF484C">
            <w:pPr>
              <w:pStyle w:val="134"/>
              <w:keepNext w:val="0"/>
              <w:keepLines w:val="0"/>
              <w:pageBreakBefore w:val="0"/>
              <w:widowControl w:val="0"/>
              <w:kinsoku/>
              <w:wordWrap/>
              <w:overflowPunct/>
              <w:topLinePunct w:val="0"/>
              <w:autoSpaceDE/>
              <w:autoSpaceDN/>
              <w:bidi w:val="0"/>
              <w:adjustRightInd/>
              <w:snapToGrid/>
              <w:spacing w:before="157" w:beforeLines="50" w:line="240" w:lineRule="auto"/>
              <w:ind w:right="102"/>
              <w:jc w:val="center"/>
              <w:textAlignment w:val="auto"/>
              <w:rPr>
                <w:rFonts w:hint="default" w:ascii="Times New Roman" w:hAnsi="Times New Roman" w:eastAsia="黑体" w:cs="Times New Roman"/>
                <w:color w:val="auto"/>
                <w:spacing w:val="0"/>
                <w:sz w:val="24"/>
                <w:szCs w:val="24"/>
                <w:lang w:val="en-US" w:eastAsia="zh-CN"/>
              </w:rPr>
            </w:pPr>
            <w:r>
              <w:rPr>
                <w:rFonts w:hint="default" w:ascii="Times New Roman" w:hAnsi="Times New Roman" w:eastAsia="黑体" w:cs="Times New Roman"/>
                <w:color w:val="auto"/>
                <w:spacing w:val="0"/>
                <w:sz w:val="24"/>
                <w:szCs w:val="24"/>
                <w:lang w:val="en-US" w:eastAsia="zh-CN"/>
              </w:rPr>
              <w:t>表4.3-</w:t>
            </w:r>
            <w:r>
              <w:rPr>
                <w:rFonts w:hint="eastAsia" w:ascii="Times New Roman" w:hAnsi="Times New Roman" w:eastAsia="黑体" w:cs="Times New Roman"/>
                <w:color w:val="auto"/>
                <w:spacing w:val="0"/>
                <w:sz w:val="24"/>
                <w:szCs w:val="24"/>
                <w:lang w:val="en-US" w:eastAsia="zh-CN"/>
              </w:rPr>
              <w:t>2</w:t>
            </w:r>
            <w:r>
              <w:rPr>
                <w:rFonts w:hint="default" w:ascii="Times New Roman" w:hAnsi="Times New Roman" w:eastAsia="黑体" w:cs="Times New Roman"/>
                <w:color w:val="auto"/>
                <w:spacing w:val="0"/>
                <w:sz w:val="24"/>
                <w:szCs w:val="24"/>
                <w:lang w:val="en-US" w:eastAsia="zh-CN"/>
              </w:rPr>
              <w:t xml:space="preserve"> </w:t>
            </w:r>
            <w:r>
              <w:rPr>
                <w:rFonts w:hint="eastAsia" w:ascii="Times New Roman" w:hAnsi="Times New Roman" w:eastAsia="黑体" w:cs="Times New Roman"/>
                <w:color w:val="auto"/>
                <w:spacing w:val="0"/>
                <w:sz w:val="24"/>
                <w:szCs w:val="24"/>
                <w:lang w:val="en-US" w:eastAsia="zh-CN"/>
              </w:rPr>
              <w:t xml:space="preserve"> </w:t>
            </w:r>
            <w:r>
              <w:rPr>
                <w:rFonts w:hint="default" w:ascii="Times New Roman" w:hAnsi="Times New Roman" w:eastAsia="黑体" w:cs="Times New Roman"/>
                <w:color w:val="auto"/>
                <w:spacing w:val="0"/>
                <w:sz w:val="24"/>
                <w:szCs w:val="24"/>
                <w:lang w:val="en-US" w:eastAsia="zh-CN"/>
              </w:rPr>
              <w:t>4220 非金属废料和碎屑加工处理行业系数表（摘录）</w:t>
            </w:r>
          </w:p>
          <w:tbl>
            <w:tblPr>
              <w:tblStyle w:val="2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381"/>
              <w:gridCol w:w="1382"/>
              <w:gridCol w:w="1382"/>
              <w:gridCol w:w="1382"/>
              <w:gridCol w:w="1382"/>
            </w:tblGrid>
            <w:tr w14:paraId="3FC5F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tcBorders>
                    <w:tl2br w:val="nil"/>
                    <w:tr2bl w:val="nil"/>
                  </w:tcBorders>
                  <w:vAlign w:val="center"/>
                </w:tcPr>
                <w:p w14:paraId="5EFD061A">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原料名称及用量</w:t>
                  </w:r>
                </w:p>
              </w:tc>
              <w:tc>
                <w:tcPr>
                  <w:tcW w:w="833" w:type="pct"/>
                  <w:tcBorders>
                    <w:tl2br w:val="nil"/>
                    <w:tr2bl w:val="nil"/>
                  </w:tcBorders>
                  <w:vAlign w:val="center"/>
                </w:tcPr>
                <w:p w14:paraId="66141E46">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工艺名称</w:t>
                  </w:r>
                </w:p>
              </w:tc>
              <w:tc>
                <w:tcPr>
                  <w:tcW w:w="833" w:type="pct"/>
                  <w:tcBorders>
                    <w:tl2br w:val="nil"/>
                    <w:tr2bl w:val="nil"/>
                  </w:tcBorders>
                  <w:vAlign w:val="center"/>
                </w:tcPr>
                <w:p w14:paraId="71BE0F0A">
                  <w:pPr>
                    <w:keepNext w:val="0"/>
                    <w:keepLines w:val="0"/>
                    <w:pageBreakBefore w:val="0"/>
                    <w:widowControl/>
                    <w:suppressLineNumbers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污染物指标</w:t>
                  </w:r>
                </w:p>
              </w:tc>
              <w:tc>
                <w:tcPr>
                  <w:tcW w:w="833" w:type="pct"/>
                  <w:tcBorders>
                    <w:tl2br w:val="nil"/>
                    <w:tr2bl w:val="nil"/>
                  </w:tcBorders>
                  <w:vAlign w:val="center"/>
                </w:tcPr>
                <w:p w14:paraId="6962DD9A">
                  <w:pPr>
                    <w:keepNext w:val="0"/>
                    <w:keepLines w:val="0"/>
                    <w:pageBreakBefore w:val="0"/>
                    <w:widowControl/>
                    <w:suppressLineNumbers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单位</w:t>
                  </w:r>
                </w:p>
              </w:tc>
              <w:tc>
                <w:tcPr>
                  <w:tcW w:w="833" w:type="pct"/>
                  <w:tcBorders>
                    <w:tl2br w:val="nil"/>
                    <w:tr2bl w:val="nil"/>
                  </w:tcBorders>
                  <w:vAlign w:val="center"/>
                </w:tcPr>
                <w:p w14:paraId="22A0529C">
                  <w:pPr>
                    <w:keepNext w:val="0"/>
                    <w:keepLines w:val="0"/>
                    <w:pageBreakBefore w:val="0"/>
                    <w:widowControl/>
                    <w:suppressLineNumbers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产污系数</w:t>
                  </w:r>
                </w:p>
              </w:tc>
              <w:tc>
                <w:tcPr>
                  <w:tcW w:w="833" w:type="pct"/>
                  <w:tcBorders>
                    <w:tl2br w:val="nil"/>
                    <w:tr2bl w:val="nil"/>
                  </w:tcBorders>
                  <w:vAlign w:val="center"/>
                </w:tcPr>
                <w:p w14:paraId="0CCB39E0">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产生源强t/a</w:t>
                  </w:r>
                </w:p>
              </w:tc>
            </w:tr>
            <w:tr w14:paraId="45F02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restart"/>
                  <w:tcBorders>
                    <w:tl2br w:val="nil"/>
                    <w:tr2bl w:val="nil"/>
                  </w:tcBorders>
                  <w:vAlign w:val="center"/>
                </w:tcPr>
                <w:p w14:paraId="6480A6D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废PE/PP</w:t>
                  </w:r>
                </w:p>
                <w:p w14:paraId="23204686">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rPr>
                  </w:pPr>
                  <w:r>
                    <w:rPr>
                      <w:rFonts w:hint="default" w:ascii="Times New Roman" w:hAnsi="Times New Roman" w:eastAsia="宋体" w:cs="Times New Roman"/>
                      <w:color w:val="auto"/>
                      <w:spacing w:val="0"/>
                      <w:sz w:val="21"/>
                      <w:szCs w:val="21"/>
                      <w:vertAlign w:val="baseline"/>
                      <w:lang w:val="en-US" w:eastAsia="zh-CN"/>
                    </w:rPr>
                    <w:t>10400t/a</w:t>
                  </w:r>
                </w:p>
              </w:tc>
              <w:tc>
                <w:tcPr>
                  <w:tcW w:w="833" w:type="pct"/>
                  <w:vMerge w:val="restart"/>
                  <w:tcBorders>
                    <w:tl2br w:val="nil"/>
                    <w:tr2bl w:val="nil"/>
                  </w:tcBorders>
                  <w:vAlign w:val="center"/>
                </w:tcPr>
                <w:p w14:paraId="17AAEC64">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r>
                    <w:rPr>
                      <w:rFonts w:hint="default" w:ascii="Times New Roman" w:hAnsi="Times New Roman" w:eastAsia="宋体" w:cs="Times New Roman"/>
                      <w:color w:val="auto"/>
                      <w:spacing w:val="0"/>
                      <w:sz w:val="21"/>
                      <w:szCs w:val="21"/>
                      <w:lang w:val="en-US" w:eastAsia="zh-CN"/>
                    </w:rPr>
                    <w:t>清洗或湿法破碎+清洗</w:t>
                  </w:r>
                </w:p>
              </w:tc>
              <w:tc>
                <w:tcPr>
                  <w:tcW w:w="833" w:type="pct"/>
                  <w:tcBorders>
                    <w:tl2br w:val="nil"/>
                    <w:tr2bl w:val="nil"/>
                  </w:tcBorders>
                  <w:vAlign w:val="center"/>
                </w:tcPr>
                <w:p w14:paraId="06E625AB">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COD</w:t>
                  </w:r>
                </w:p>
              </w:tc>
              <w:tc>
                <w:tcPr>
                  <w:tcW w:w="833" w:type="pct"/>
                  <w:tcBorders>
                    <w:tl2br w:val="nil"/>
                    <w:tr2bl w:val="nil"/>
                  </w:tcBorders>
                  <w:vAlign w:val="center"/>
                </w:tcPr>
                <w:p w14:paraId="080D5971">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r>
                    <w:rPr>
                      <w:rFonts w:hint="default" w:ascii="Times New Roman" w:hAnsi="Times New Roman" w:eastAsia="宋体" w:cs="Times New Roman"/>
                      <w:color w:val="auto"/>
                      <w:spacing w:val="0"/>
                      <w:sz w:val="21"/>
                      <w:szCs w:val="21"/>
                    </w:rPr>
                    <w:t>克/吨原料</w:t>
                  </w:r>
                </w:p>
              </w:tc>
              <w:tc>
                <w:tcPr>
                  <w:tcW w:w="833" w:type="pct"/>
                  <w:tcBorders>
                    <w:tl2br w:val="nil"/>
                    <w:tr2bl w:val="nil"/>
                  </w:tcBorders>
                  <w:vAlign w:val="center"/>
                </w:tcPr>
                <w:p w14:paraId="75A4F24C">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420</w:t>
                  </w:r>
                </w:p>
              </w:tc>
              <w:tc>
                <w:tcPr>
                  <w:tcW w:w="833" w:type="pct"/>
                  <w:tcBorders>
                    <w:tl2br w:val="nil"/>
                    <w:tr2bl w:val="nil"/>
                  </w:tcBorders>
                  <w:vAlign w:val="center"/>
                </w:tcPr>
                <w:p w14:paraId="0D796C43">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4.368</w:t>
                  </w:r>
                </w:p>
              </w:tc>
            </w:tr>
            <w:tr w14:paraId="5952F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continue"/>
                  <w:tcBorders>
                    <w:tl2br w:val="nil"/>
                    <w:tr2bl w:val="nil"/>
                  </w:tcBorders>
                  <w:vAlign w:val="center"/>
                </w:tcPr>
                <w:p w14:paraId="170416E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p>
              </w:tc>
              <w:tc>
                <w:tcPr>
                  <w:tcW w:w="833" w:type="pct"/>
                  <w:vMerge w:val="continue"/>
                  <w:tcBorders>
                    <w:tl2br w:val="nil"/>
                    <w:tr2bl w:val="nil"/>
                  </w:tcBorders>
                  <w:vAlign w:val="center"/>
                </w:tcPr>
                <w:p w14:paraId="213CF546">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lang w:val="en-US" w:eastAsia="zh-CN"/>
                    </w:rPr>
                  </w:pPr>
                </w:p>
              </w:tc>
              <w:tc>
                <w:tcPr>
                  <w:tcW w:w="833" w:type="pct"/>
                  <w:tcBorders>
                    <w:tl2br w:val="nil"/>
                    <w:tr2bl w:val="nil"/>
                  </w:tcBorders>
                  <w:vAlign w:val="center"/>
                </w:tcPr>
                <w:p w14:paraId="00452DE6">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lang w:val="en-US" w:eastAsia="zh-CN"/>
                    </w:rPr>
                    <w:t>BOD</w:t>
                  </w:r>
                  <w:r>
                    <w:rPr>
                      <w:rFonts w:hint="default" w:ascii="Times New Roman" w:hAnsi="Times New Roman" w:eastAsia="宋体" w:cs="Times New Roman"/>
                      <w:color w:val="auto"/>
                      <w:spacing w:val="0"/>
                      <w:sz w:val="21"/>
                      <w:szCs w:val="21"/>
                      <w:vertAlign w:val="subscript"/>
                      <w:lang w:val="en-US" w:eastAsia="zh-CN"/>
                    </w:rPr>
                    <w:t>5</w:t>
                  </w:r>
                </w:p>
              </w:tc>
              <w:tc>
                <w:tcPr>
                  <w:tcW w:w="833" w:type="pct"/>
                  <w:tcBorders>
                    <w:tl2br w:val="nil"/>
                    <w:tr2bl w:val="nil"/>
                  </w:tcBorders>
                  <w:vAlign w:val="center"/>
                </w:tcPr>
                <w:p w14:paraId="699073A8">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4"/>
                      <w:szCs w:val="24"/>
                      <w:lang w:val="en-US" w:eastAsia="zh-CN"/>
                    </w:rPr>
                    <w:t>mg/L</w:t>
                  </w:r>
                </w:p>
              </w:tc>
              <w:tc>
                <w:tcPr>
                  <w:tcW w:w="833" w:type="pct"/>
                  <w:tcBorders>
                    <w:tl2br w:val="nil"/>
                    <w:tr2bl w:val="nil"/>
                  </w:tcBorders>
                  <w:vAlign w:val="center"/>
                </w:tcPr>
                <w:p w14:paraId="2F74711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150</w:t>
                  </w:r>
                </w:p>
              </w:tc>
              <w:tc>
                <w:tcPr>
                  <w:tcW w:w="833" w:type="pct"/>
                  <w:tcBorders>
                    <w:tl2br w:val="nil"/>
                    <w:tr2bl w:val="nil"/>
                  </w:tcBorders>
                  <w:vAlign w:val="center"/>
                </w:tcPr>
                <w:p w14:paraId="1CB2DDC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1.60</w:t>
                  </w:r>
                </w:p>
              </w:tc>
            </w:tr>
            <w:tr w14:paraId="41692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continue"/>
                  <w:tcBorders>
                    <w:tl2br w:val="nil"/>
                    <w:tr2bl w:val="nil"/>
                  </w:tcBorders>
                  <w:vAlign w:val="center"/>
                </w:tcPr>
                <w:p w14:paraId="20AD5DDB">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p>
              </w:tc>
              <w:tc>
                <w:tcPr>
                  <w:tcW w:w="833" w:type="pct"/>
                  <w:vMerge w:val="continue"/>
                  <w:tcBorders>
                    <w:tl2br w:val="nil"/>
                    <w:tr2bl w:val="nil"/>
                  </w:tcBorders>
                  <w:vAlign w:val="center"/>
                </w:tcPr>
                <w:p w14:paraId="7BBB752D">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lang w:val="en-US" w:eastAsia="zh-CN"/>
                    </w:rPr>
                  </w:pPr>
                </w:p>
              </w:tc>
              <w:tc>
                <w:tcPr>
                  <w:tcW w:w="833" w:type="pct"/>
                  <w:tcBorders>
                    <w:tl2br w:val="nil"/>
                    <w:tr2bl w:val="nil"/>
                  </w:tcBorders>
                  <w:vAlign w:val="center"/>
                </w:tcPr>
                <w:p w14:paraId="33290D8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SS</w:t>
                  </w:r>
                </w:p>
              </w:tc>
              <w:tc>
                <w:tcPr>
                  <w:tcW w:w="833" w:type="pct"/>
                  <w:tcBorders>
                    <w:tl2br w:val="nil"/>
                    <w:tr2bl w:val="nil"/>
                  </w:tcBorders>
                  <w:vAlign w:val="center"/>
                </w:tcPr>
                <w:p w14:paraId="1B22E918">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4"/>
                      <w:szCs w:val="24"/>
                      <w:lang w:val="en-US" w:eastAsia="zh-CN"/>
                    </w:rPr>
                    <w:t>mg/L</w:t>
                  </w:r>
                </w:p>
              </w:tc>
              <w:tc>
                <w:tcPr>
                  <w:tcW w:w="833" w:type="pct"/>
                  <w:tcBorders>
                    <w:tl2br w:val="nil"/>
                    <w:tr2bl w:val="nil"/>
                  </w:tcBorders>
                  <w:vAlign w:val="center"/>
                </w:tcPr>
                <w:p w14:paraId="2EDF45B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300</w:t>
                  </w:r>
                </w:p>
              </w:tc>
              <w:tc>
                <w:tcPr>
                  <w:tcW w:w="833" w:type="pct"/>
                  <w:tcBorders>
                    <w:tl2br w:val="nil"/>
                    <w:tr2bl w:val="nil"/>
                  </w:tcBorders>
                  <w:vAlign w:val="center"/>
                </w:tcPr>
                <w:p w14:paraId="560C8D0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3.19</w:t>
                  </w:r>
                </w:p>
              </w:tc>
            </w:tr>
            <w:tr w14:paraId="70C23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continue"/>
                  <w:tcBorders>
                    <w:tl2br w:val="nil"/>
                    <w:tr2bl w:val="nil"/>
                  </w:tcBorders>
                  <w:vAlign w:val="center"/>
                </w:tcPr>
                <w:p w14:paraId="0DF23162">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vMerge w:val="continue"/>
                  <w:tcBorders>
                    <w:tl2br w:val="nil"/>
                    <w:tr2bl w:val="nil"/>
                  </w:tcBorders>
                  <w:vAlign w:val="center"/>
                </w:tcPr>
                <w:p w14:paraId="16E2902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tcBorders>
                    <w:tl2br w:val="nil"/>
                    <w:tr2bl w:val="nil"/>
                  </w:tcBorders>
                  <w:vAlign w:val="center"/>
                </w:tcPr>
                <w:p w14:paraId="50DAF70B">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NH</w:t>
                  </w:r>
                  <w:r>
                    <w:rPr>
                      <w:rFonts w:hint="default" w:ascii="Times New Roman" w:hAnsi="Times New Roman" w:eastAsia="宋体" w:cs="Times New Roman"/>
                      <w:color w:val="auto"/>
                      <w:spacing w:val="0"/>
                      <w:sz w:val="21"/>
                      <w:szCs w:val="21"/>
                      <w:vertAlign w:val="subscript"/>
                      <w:lang w:val="en-US" w:eastAsia="zh-CN"/>
                    </w:rPr>
                    <w:t>3</w:t>
                  </w:r>
                  <w:r>
                    <w:rPr>
                      <w:rFonts w:hint="default" w:ascii="Times New Roman" w:hAnsi="Times New Roman" w:eastAsia="宋体" w:cs="Times New Roman"/>
                      <w:color w:val="auto"/>
                      <w:spacing w:val="0"/>
                      <w:sz w:val="21"/>
                      <w:szCs w:val="21"/>
                      <w:vertAlign w:val="baseline"/>
                      <w:lang w:val="en-US" w:eastAsia="zh-CN"/>
                    </w:rPr>
                    <w:t>-N</w:t>
                  </w:r>
                </w:p>
              </w:tc>
              <w:tc>
                <w:tcPr>
                  <w:tcW w:w="833" w:type="pct"/>
                  <w:tcBorders>
                    <w:tl2br w:val="nil"/>
                    <w:tr2bl w:val="nil"/>
                  </w:tcBorders>
                  <w:vAlign w:val="center"/>
                </w:tcPr>
                <w:p w14:paraId="46411D77">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r>
                    <w:rPr>
                      <w:rFonts w:hint="default" w:ascii="Times New Roman" w:hAnsi="Times New Roman" w:eastAsia="宋体" w:cs="Times New Roman"/>
                      <w:color w:val="auto"/>
                      <w:spacing w:val="0"/>
                      <w:sz w:val="21"/>
                      <w:szCs w:val="21"/>
                    </w:rPr>
                    <w:t>克/吨原料</w:t>
                  </w:r>
                </w:p>
              </w:tc>
              <w:tc>
                <w:tcPr>
                  <w:tcW w:w="833" w:type="pct"/>
                  <w:tcBorders>
                    <w:tl2br w:val="nil"/>
                    <w:tr2bl w:val="nil"/>
                  </w:tcBorders>
                  <w:vAlign w:val="center"/>
                </w:tcPr>
                <w:p w14:paraId="3A1C3B0F">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21.2</w:t>
                  </w:r>
                </w:p>
              </w:tc>
              <w:tc>
                <w:tcPr>
                  <w:tcW w:w="833" w:type="pct"/>
                  <w:tcBorders>
                    <w:tl2br w:val="nil"/>
                    <w:tr2bl w:val="nil"/>
                  </w:tcBorders>
                  <w:vAlign w:val="center"/>
                </w:tcPr>
                <w:p w14:paraId="4E91407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0.220</w:t>
                  </w:r>
                </w:p>
              </w:tc>
            </w:tr>
            <w:tr w14:paraId="64AD46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continue"/>
                  <w:tcBorders>
                    <w:tl2br w:val="nil"/>
                    <w:tr2bl w:val="nil"/>
                  </w:tcBorders>
                  <w:vAlign w:val="center"/>
                </w:tcPr>
                <w:p w14:paraId="3C1E0A9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vMerge w:val="continue"/>
                  <w:tcBorders>
                    <w:tl2br w:val="nil"/>
                    <w:tr2bl w:val="nil"/>
                  </w:tcBorders>
                  <w:vAlign w:val="center"/>
                </w:tcPr>
                <w:p w14:paraId="149F3371">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tcBorders>
                    <w:tl2br w:val="nil"/>
                    <w:tr2bl w:val="nil"/>
                  </w:tcBorders>
                  <w:vAlign w:val="center"/>
                </w:tcPr>
                <w:p w14:paraId="1F84E162">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石油类</w:t>
                  </w:r>
                </w:p>
              </w:tc>
              <w:tc>
                <w:tcPr>
                  <w:tcW w:w="833" w:type="pct"/>
                  <w:tcBorders>
                    <w:tl2br w:val="nil"/>
                    <w:tr2bl w:val="nil"/>
                  </w:tcBorders>
                  <w:vAlign w:val="center"/>
                </w:tcPr>
                <w:p w14:paraId="38B110F1">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r>
                    <w:rPr>
                      <w:rFonts w:hint="default" w:ascii="Times New Roman" w:hAnsi="Times New Roman" w:eastAsia="宋体" w:cs="Times New Roman"/>
                      <w:color w:val="auto"/>
                      <w:spacing w:val="0"/>
                      <w:sz w:val="21"/>
                      <w:szCs w:val="21"/>
                    </w:rPr>
                    <w:t>克/吨原料</w:t>
                  </w:r>
                </w:p>
              </w:tc>
              <w:tc>
                <w:tcPr>
                  <w:tcW w:w="833" w:type="pct"/>
                  <w:tcBorders>
                    <w:tl2br w:val="nil"/>
                    <w:tr2bl w:val="nil"/>
                  </w:tcBorders>
                  <w:vAlign w:val="center"/>
                </w:tcPr>
                <w:p w14:paraId="508F6C33">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18.5</w:t>
                  </w:r>
                </w:p>
              </w:tc>
              <w:tc>
                <w:tcPr>
                  <w:tcW w:w="833" w:type="pct"/>
                  <w:tcBorders>
                    <w:tl2br w:val="nil"/>
                    <w:tr2bl w:val="nil"/>
                  </w:tcBorders>
                  <w:vAlign w:val="center"/>
                </w:tcPr>
                <w:p w14:paraId="3FD4DB90">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0.192</w:t>
                  </w:r>
                </w:p>
              </w:tc>
            </w:tr>
            <w:tr w14:paraId="68FC4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continue"/>
                  <w:tcBorders>
                    <w:tl2br w:val="nil"/>
                    <w:tr2bl w:val="nil"/>
                  </w:tcBorders>
                  <w:vAlign w:val="center"/>
                </w:tcPr>
                <w:p w14:paraId="2A3B9E41">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vMerge w:val="continue"/>
                  <w:tcBorders>
                    <w:tl2br w:val="nil"/>
                    <w:tr2bl w:val="nil"/>
                  </w:tcBorders>
                  <w:vAlign w:val="center"/>
                </w:tcPr>
                <w:p w14:paraId="5B6DFBAA">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tcBorders>
                    <w:tl2br w:val="nil"/>
                    <w:tr2bl w:val="nil"/>
                  </w:tcBorders>
                  <w:vAlign w:val="center"/>
                </w:tcPr>
                <w:p w14:paraId="15B72BE4">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TN</w:t>
                  </w:r>
                </w:p>
              </w:tc>
              <w:tc>
                <w:tcPr>
                  <w:tcW w:w="833" w:type="pct"/>
                  <w:tcBorders>
                    <w:tl2br w:val="nil"/>
                    <w:tr2bl w:val="nil"/>
                  </w:tcBorders>
                  <w:vAlign w:val="center"/>
                </w:tcPr>
                <w:p w14:paraId="750FDF8B">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r>
                    <w:rPr>
                      <w:rFonts w:hint="default" w:ascii="Times New Roman" w:hAnsi="Times New Roman" w:eastAsia="宋体" w:cs="Times New Roman"/>
                      <w:color w:val="auto"/>
                      <w:spacing w:val="0"/>
                      <w:sz w:val="21"/>
                      <w:szCs w:val="21"/>
                    </w:rPr>
                    <w:t>克/吨原料</w:t>
                  </w:r>
                </w:p>
              </w:tc>
              <w:tc>
                <w:tcPr>
                  <w:tcW w:w="833" w:type="pct"/>
                  <w:tcBorders>
                    <w:tl2br w:val="nil"/>
                    <w:tr2bl w:val="nil"/>
                  </w:tcBorders>
                  <w:vAlign w:val="center"/>
                </w:tcPr>
                <w:p w14:paraId="3AC2879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32.5</w:t>
                  </w:r>
                </w:p>
              </w:tc>
              <w:tc>
                <w:tcPr>
                  <w:tcW w:w="833" w:type="pct"/>
                  <w:tcBorders>
                    <w:tl2br w:val="nil"/>
                    <w:tr2bl w:val="nil"/>
                  </w:tcBorders>
                  <w:vAlign w:val="center"/>
                </w:tcPr>
                <w:p w14:paraId="7106C10B">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0.338</w:t>
                  </w:r>
                </w:p>
              </w:tc>
            </w:tr>
            <w:tr w14:paraId="76375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continue"/>
                  <w:tcBorders>
                    <w:tl2br w:val="nil"/>
                    <w:tr2bl w:val="nil"/>
                  </w:tcBorders>
                  <w:vAlign w:val="center"/>
                </w:tcPr>
                <w:p w14:paraId="58E22CF3">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vMerge w:val="continue"/>
                  <w:tcBorders>
                    <w:tl2br w:val="nil"/>
                    <w:tr2bl w:val="nil"/>
                  </w:tcBorders>
                  <w:vAlign w:val="center"/>
                </w:tcPr>
                <w:p w14:paraId="56ECC4FE">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tcBorders>
                    <w:tl2br w:val="nil"/>
                    <w:tr2bl w:val="nil"/>
                  </w:tcBorders>
                  <w:vAlign w:val="center"/>
                </w:tcPr>
                <w:p w14:paraId="59ADAB9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TP</w:t>
                  </w:r>
                </w:p>
              </w:tc>
              <w:tc>
                <w:tcPr>
                  <w:tcW w:w="833" w:type="pct"/>
                  <w:tcBorders>
                    <w:tl2br w:val="nil"/>
                    <w:tr2bl w:val="nil"/>
                  </w:tcBorders>
                  <w:vAlign w:val="center"/>
                </w:tcPr>
                <w:p w14:paraId="5C9380C2">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r>
                    <w:rPr>
                      <w:rFonts w:hint="default" w:ascii="Times New Roman" w:hAnsi="Times New Roman" w:eastAsia="宋体" w:cs="Times New Roman"/>
                      <w:color w:val="auto"/>
                      <w:spacing w:val="0"/>
                      <w:sz w:val="21"/>
                      <w:szCs w:val="21"/>
                    </w:rPr>
                    <w:t>克/吨原料</w:t>
                  </w:r>
                </w:p>
              </w:tc>
              <w:tc>
                <w:tcPr>
                  <w:tcW w:w="833" w:type="pct"/>
                  <w:tcBorders>
                    <w:tl2br w:val="nil"/>
                    <w:tr2bl w:val="nil"/>
                  </w:tcBorders>
                  <w:vAlign w:val="center"/>
                </w:tcPr>
                <w:p w14:paraId="4776899B">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1.2</w:t>
                  </w:r>
                </w:p>
              </w:tc>
              <w:tc>
                <w:tcPr>
                  <w:tcW w:w="833" w:type="pct"/>
                  <w:tcBorders>
                    <w:tl2br w:val="nil"/>
                    <w:tr2bl w:val="nil"/>
                  </w:tcBorders>
                  <w:vAlign w:val="center"/>
                </w:tcPr>
                <w:p w14:paraId="783F37A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0.0</w:t>
                  </w:r>
                  <w:r>
                    <w:rPr>
                      <w:rFonts w:hint="eastAsia" w:ascii="Times New Roman" w:hAnsi="Times New Roman" w:eastAsia="宋体" w:cs="Times New Roman"/>
                      <w:color w:val="auto"/>
                      <w:spacing w:val="0"/>
                      <w:sz w:val="21"/>
                      <w:szCs w:val="21"/>
                      <w:vertAlign w:val="baseline"/>
                      <w:lang w:val="en-US" w:eastAsia="zh-CN"/>
                    </w:rPr>
                    <w:t>12</w:t>
                  </w:r>
                </w:p>
              </w:tc>
            </w:tr>
            <w:tr w14:paraId="27428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restart"/>
                  <w:tcBorders>
                    <w:tl2br w:val="nil"/>
                    <w:tr2bl w:val="nil"/>
                  </w:tcBorders>
                  <w:vAlign w:val="center"/>
                </w:tcPr>
                <w:p w14:paraId="4B0DC490">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废玻璃</w:t>
                  </w:r>
                </w:p>
                <w:p w14:paraId="0D6D3551">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4000</w:t>
                  </w:r>
                  <w:r>
                    <w:rPr>
                      <w:rFonts w:hint="default" w:ascii="Times New Roman" w:hAnsi="Times New Roman" w:eastAsia="宋体" w:cs="Times New Roman"/>
                      <w:color w:val="auto"/>
                      <w:spacing w:val="0"/>
                      <w:sz w:val="21"/>
                      <w:szCs w:val="21"/>
                      <w:vertAlign w:val="baseline"/>
                      <w:lang w:val="en-US" w:eastAsia="zh-CN"/>
                    </w:rPr>
                    <w:t>t/a</w:t>
                  </w:r>
                </w:p>
              </w:tc>
              <w:tc>
                <w:tcPr>
                  <w:tcW w:w="833" w:type="pct"/>
                  <w:vMerge w:val="restart"/>
                  <w:tcBorders>
                    <w:tl2br w:val="nil"/>
                    <w:tr2bl w:val="nil"/>
                  </w:tcBorders>
                  <w:vAlign w:val="center"/>
                </w:tcPr>
                <w:p w14:paraId="32E414C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r>
                    <w:rPr>
                      <w:rFonts w:hint="default" w:ascii="Times New Roman" w:hAnsi="Times New Roman" w:eastAsia="宋体" w:cs="Times New Roman"/>
                      <w:color w:val="auto"/>
                      <w:spacing w:val="0"/>
                      <w:sz w:val="21"/>
                      <w:szCs w:val="21"/>
                      <w:lang w:val="en-US" w:eastAsia="zh-CN"/>
                    </w:rPr>
                    <w:t>破碎+分选+水洗</w:t>
                  </w:r>
                </w:p>
              </w:tc>
              <w:tc>
                <w:tcPr>
                  <w:tcW w:w="833" w:type="pct"/>
                  <w:tcBorders>
                    <w:tl2br w:val="nil"/>
                    <w:tr2bl w:val="nil"/>
                  </w:tcBorders>
                  <w:vAlign w:val="center"/>
                </w:tcPr>
                <w:p w14:paraId="324908E0">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COD</w:t>
                  </w:r>
                </w:p>
              </w:tc>
              <w:tc>
                <w:tcPr>
                  <w:tcW w:w="833" w:type="pct"/>
                  <w:tcBorders>
                    <w:tl2br w:val="nil"/>
                    <w:tr2bl w:val="nil"/>
                  </w:tcBorders>
                  <w:vAlign w:val="center"/>
                </w:tcPr>
                <w:p w14:paraId="13BFFF97">
                  <w:pPr>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克/吨原料</w:t>
                  </w:r>
                </w:p>
              </w:tc>
              <w:tc>
                <w:tcPr>
                  <w:tcW w:w="833" w:type="pct"/>
                  <w:tcBorders>
                    <w:tl2br w:val="nil"/>
                    <w:tr2bl w:val="nil"/>
                  </w:tcBorders>
                  <w:vAlign w:val="center"/>
                </w:tcPr>
                <w:p w14:paraId="6154E010">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2.3</w:t>
                  </w:r>
                </w:p>
              </w:tc>
              <w:tc>
                <w:tcPr>
                  <w:tcW w:w="833" w:type="pct"/>
                  <w:tcBorders>
                    <w:tl2br w:val="nil"/>
                    <w:tr2bl w:val="nil"/>
                  </w:tcBorders>
                  <w:vAlign w:val="center"/>
                </w:tcPr>
                <w:p w14:paraId="6670BE86">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0.009</w:t>
                  </w:r>
                </w:p>
              </w:tc>
            </w:tr>
            <w:tr w14:paraId="3A590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continue"/>
                  <w:tcBorders>
                    <w:tl2br w:val="nil"/>
                    <w:tr2bl w:val="nil"/>
                  </w:tcBorders>
                  <w:vAlign w:val="center"/>
                </w:tcPr>
                <w:p w14:paraId="7649A656">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vMerge w:val="continue"/>
                  <w:tcBorders>
                    <w:tl2br w:val="nil"/>
                    <w:tr2bl w:val="nil"/>
                  </w:tcBorders>
                  <w:vAlign w:val="center"/>
                </w:tcPr>
                <w:p w14:paraId="312AE522">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tcBorders>
                    <w:tl2br w:val="nil"/>
                    <w:tr2bl w:val="nil"/>
                  </w:tcBorders>
                  <w:vAlign w:val="center"/>
                </w:tcPr>
                <w:p w14:paraId="63886BC9">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NH</w:t>
                  </w:r>
                  <w:r>
                    <w:rPr>
                      <w:rFonts w:hint="default" w:ascii="Times New Roman" w:hAnsi="Times New Roman" w:eastAsia="宋体" w:cs="Times New Roman"/>
                      <w:color w:val="auto"/>
                      <w:spacing w:val="0"/>
                      <w:sz w:val="21"/>
                      <w:szCs w:val="21"/>
                      <w:vertAlign w:val="subscript"/>
                      <w:lang w:val="en-US" w:eastAsia="zh-CN"/>
                    </w:rPr>
                    <w:t>3</w:t>
                  </w:r>
                  <w:r>
                    <w:rPr>
                      <w:rFonts w:hint="default" w:ascii="Times New Roman" w:hAnsi="Times New Roman" w:eastAsia="宋体" w:cs="Times New Roman"/>
                      <w:color w:val="auto"/>
                      <w:spacing w:val="0"/>
                      <w:sz w:val="21"/>
                      <w:szCs w:val="21"/>
                      <w:vertAlign w:val="baseline"/>
                      <w:lang w:val="en-US" w:eastAsia="zh-CN"/>
                    </w:rPr>
                    <w:t>-N</w:t>
                  </w:r>
                </w:p>
              </w:tc>
              <w:tc>
                <w:tcPr>
                  <w:tcW w:w="833" w:type="pct"/>
                  <w:tcBorders>
                    <w:tl2br w:val="nil"/>
                    <w:tr2bl w:val="nil"/>
                  </w:tcBorders>
                  <w:vAlign w:val="center"/>
                </w:tcPr>
                <w:p w14:paraId="2C656161">
                  <w:pPr>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克/吨原料</w:t>
                  </w:r>
                </w:p>
              </w:tc>
              <w:tc>
                <w:tcPr>
                  <w:tcW w:w="833" w:type="pct"/>
                  <w:tcBorders>
                    <w:tl2br w:val="nil"/>
                    <w:tr2bl w:val="nil"/>
                  </w:tcBorders>
                  <w:vAlign w:val="center"/>
                </w:tcPr>
                <w:p w14:paraId="5CBF5BE5">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5.5</w:t>
                  </w:r>
                </w:p>
              </w:tc>
              <w:tc>
                <w:tcPr>
                  <w:tcW w:w="833" w:type="pct"/>
                  <w:tcBorders>
                    <w:tl2br w:val="nil"/>
                    <w:tr2bl w:val="nil"/>
                  </w:tcBorders>
                  <w:vAlign w:val="center"/>
                </w:tcPr>
                <w:p w14:paraId="142072ED">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0.022</w:t>
                  </w:r>
                </w:p>
              </w:tc>
            </w:tr>
            <w:tr w14:paraId="13713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continue"/>
                  <w:tcBorders>
                    <w:tl2br w:val="nil"/>
                    <w:tr2bl w:val="nil"/>
                  </w:tcBorders>
                  <w:vAlign w:val="center"/>
                </w:tcPr>
                <w:p w14:paraId="0755903F">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vMerge w:val="continue"/>
                  <w:tcBorders>
                    <w:tl2br w:val="nil"/>
                    <w:tr2bl w:val="nil"/>
                  </w:tcBorders>
                  <w:vAlign w:val="center"/>
                </w:tcPr>
                <w:p w14:paraId="6D428EC5">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tcBorders>
                    <w:tl2br w:val="nil"/>
                    <w:tr2bl w:val="nil"/>
                  </w:tcBorders>
                  <w:vAlign w:val="center"/>
                </w:tcPr>
                <w:p w14:paraId="3AE025B6">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TN</w:t>
                  </w:r>
                </w:p>
              </w:tc>
              <w:tc>
                <w:tcPr>
                  <w:tcW w:w="833" w:type="pct"/>
                  <w:tcBorders>
                    <w:tl2br w:val="nil"/>
                    <w:tr2bl w:val="nil"/>
                  </w:tcBorders>
                  <w:vAlign w:val="center"/>
                </w:tcPr>
                <w:p w14:paraId="47153AE4">
                  <w:pPr>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克/吨原料</w:t>
                  </w:r>
                </w:p>
              </w:tc>
              <w:tc>
                <w:tcPr>
                  <w:tcW w:w="833" w:type="pct"/>
                  <w:tcBorders>
                    <w:tl2br w:val="nil"/>
                    <w:tr2bl w:val="nil"/>
                  </w:tcBorders>
                  <w:vAlign w:val="center"/>
                </w:tcPr>
                <w:p w14:paraId="40F2780B">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10.4</w:t>
                  </w:r>
                </w:p>
              </w:tc>
              <w:tc>
                <w:tcPr>
                  <w:tcW w:w="833" w:type="pct"/>
                  <w:tcBorders>
                    <w:tl2br w:val="nil"/>
                    <w:tr2bl w:val="nil"/>
                  </w:tcBorders>
                  <w:vAlign w:val="center"/>
                </w:tcPr>
                <w:p w14:paraId="16984881">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0.042</w:t>
                  </w:r>
                </w:p>
              </w:tc>
            </w:tr>
            <w:tr w14:paraId="77418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32" w:type="pct"/>
                  <w:vMerge w:val="continue"/>
                  <w:tcBorders>
                    <w:tl2br w:val="nil"/>
                    <w:tr2bl w:val="nil"/>
                  </w:tcBorders>
                  <w:vAlign w:val="center"/>
                </w:tcPr>
                <w:p w14:paraId="3BFCD98C">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vMerge w:val="continue"/>
                  <w:tcBorders>
                    <w:tl2br w:val="nil"/>
                    <w:tr2bl w:val="nil"/>
                  </w:tcBorders>
                  <w:vAlign w:val="center"/>
                </w:tcPr>
                <w:p w14:paraId="482F33EF">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rPr>
                  </w:pPr>
                </w:p>
              </w:tc>
              <w:tc>
                <w:tcPr>
                  <w:tcW w:w="833" w:type="pct"/>
                  <w:tcBorders>
                    <w:tl2br w:val="nil"/>
                    <w:tr2bl w:val="nil"/>
                  </w:tcBorders>
                  <w:vAlign w:val="center"/>
                </w:tcPr>
                <w:p w14:paraId="2E5A069F">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TP</w:t>
                  </w:r>
                </w:p>
              </w:tc>
              <w:tc>
                <w:tcPr>
                  <w:tcW w:w="833" w:type="pct"/>
                  <w:tcBorders>
                    <w:tl2br w:val="nil"/>
                    <w:tr2bl w:val="nil"/>
                  </w:tcBorders>
                  <w:vAlign w:val="center"/>
                </w:tcPr>
                <w:p w14:paraId="6CB1340D">
                  <w:pPr>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克/吨原料</w:t>
                  </w:r>
                </w:p>
              </w:tc>
              <w:tc>
                <w:tcPr>
                  <w:tcW w:w="833" w:type="pct"/>
                  <w:tcBorders>
                    <w:tl2br w:val="nil"/>
                    <w:tr2bl w:val="nil"/>
                  </w:tcBorders>
                  <w:vAlign w:val="center"/>
                </w:tcPr>
                <w:p w14:paraId="5B54646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0.5</w:t>
                  </w:r>
                </w:p>
              </w:tc>
              <w:tc>
                <w:tcPr>
                  <w:tcW w:w="833" w:type="pct"/>
                  <w:tcBorders>
                    <w:tl2br w:val="nil"/>
                    <w:tr2bl w:val="nil"/>
                  </w:tcBorders>
                  <w:vAlign w:val="center"/>
                </w:tcPr>
                <w:p w14:paraId="6B0F5CB5">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0.002</w:t>
                  </w:r>
                </w:p>
              </w:tc>
            </w:tr>
          </w:tbl>
          <w:p w14:paraId="7BE23BB8">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根据</w:t>
            </w:r>
            <w:r>
              <w:rPr>
                <w:rFonts w:hint="default" w:ascii="Times New Roman" w:hAnsi="Times New Roman" w:eastAsia="宋体" w:cs="Times New Roman"/>
                <w:color w:val="auto"/>
                <w:spacing w:val="0"/>
                <w:sz w:val="24"/>
                <w:szCs w:val="24"/>
              </w:rPr>
              <w:t>《排放源统计调查产排污核算方法和系数手册》“42  废弃资源综合利用行业”</w:t>
            </w:r>
            <w:r>
              <w:rPr>
                <w:rFonts w:hint="default" w:ascii="Times New Roman" w:hAnsi="Times New Roman" w:eastAsia="宋体" w:cs="Times New Roman"/>
                <w:color w:val="auto"/>
                <w:spacing w:val="0"/>
                <w:sz w:val="24"/>
                <w:szCs w:val="24"/>
                <w:lang w:val="en-US" w:eastAsia="zh-CN"/>
              </w:rPr>
              <w:t>及《生物接触氧化法污水处理工程技术规范》（HJ2009-2011）</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物理处理法+好氧生物处理法对</w:t>
            </w:r>
            <w:r>
              <w:rPr>
                <w:rFonts w:hint="default" w:ascii="Times New Roman" w:hAnsi="Times New Roman" w:eastAsia="宋体" w:cs="Times New Roman"/>
                <w:color w:val="auto"/>
                <w:spacing w:val="0"/>
                <w:sz w:val="24"/>
                <w:szCs w:val="24"/>
                <w:vertAlign w:val="baseline"/>
                <w:lang w:val="en-US" w:eastAsia="zh-CN"/>
              </w:rPr>
              <w:t>COD、BOD</w:t>
            </w:r>
            <w:r>
              <w:rPr>
                <w:rFonts w:hint="default" w:ascii="Times New Roman" w:hAnsi="Times New Roman" w:eastAsia="宋体" w:cs="Times New Roman"/>
                <w:color w:val="auto"/>
                <w:spacing w:val="0"/>
                <w:sz w:val="24"/>
                <w:szCs w:val="24"/>
                <w:vertAlign w:val="subscript"/>
                <w:lang w:val="en-US" w:eastAsia="zh-CN"/>
              </w:rPr>
              <w:t>5</w:t>
            </w:r>
            <w:r>
              <w:rPr>
                <w:rFonts w:hint="default" w:ascii="Times New Roman" w:hAnsi="Times New Roman" w:eastAsia="宋体" w:cs="Times New Roman"/>
                <w:color w:val="auto"/>
                <w:spacing w:val="0"/>
                <w:sz w:val="24"/>
                <w:szCs w:val="24"/>
                <w:vertAlign w:val="baseline"/>
                <w:lang w:val="en-US" w:eastAsia="zh-CN"/>
              </w:rPr>
              <w:t>、SS、NH</w:t>
            </w:r>
            <w:r>
              <w:rPr>
                <w:rFonts w:hint="default" w:ascii="Times New Roman" w:hAnsi="Times New Roman" w:eastAsia="宋体" w:cs="Times New Roman"/>
                <w:color w:val="auto"/>
                <w:spacing w:val="0"/>
                <w:sz w:val="24"/>
                <w:szCs w:val="24"/>
                <w:vertAlign w:val="subscript"/>
                <w:lang w:val="en-US" w:eastAsia="zh-CN"/>
              </w:rPr>
              <w:t>3</w:t>
            </w:r>
            <w:r>
              <w:rPr>
                <w:rFonts w:hint="default" w:ascii="Times New Roman" w:hAnsi="Times New Roman" w:eastAsia="宋体" w:cs="Times New Roman"/>
                <w:color w:val="auto"/>
                <w:spacing w:val="0"/>
                <w:sz w:val="24"/>
                <w:szCs w:val="24"/>
                <w:vertAlign w:val="baseline"/>
                <w:lang w:val="en-US" w:eastAsia="zh-CN"/>
              </w:rPr>
              <w:t>-N、石油类、TN、TP的处理效率分别为90%、80%、90%、80%、95%、60%、50%。</w:t>
            </w:r>
          </w:p>
          <w:p w14:paraId="26042981">
            <w:pPr>
              <w:pStyle w:val="125"/>
              <w:pageBreakBefore w:val="0"/>
              <w:widowControl w:val="0"/>
              <w:numPr>
                <w:ilvl w:val="0"/>
                <w:numId w:val="13"/>
              </w:numPr>
              <w:kinsoku/>
              <w:wordWrap/>
              <w:topLinePunct w:val="0"/>
              <w:autoSpaceDE/>
              <w:autoSpaceDN/>
              <w:bidi w:val="0"/>
              <w:spacing w:line="360" w:lineRule="auto"/>
              <w:ind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地面冲洗废水</w:t>
            </w:r>
          </w:p>
          <w:p w14:paraId="32F26CEF">
            <w:pPr>
              <w:pStyle w:val="8"/>
              <w:spacing w:line="360" w:lineRule="auto"/>
              <w:ind w:firstLine="480" w:firstLineChars="200"/>
              <w:rPr>
                <w:color w:val="auto"/>
                <w:sz w:val="24"/>
              </w:rPr>
            </w:pPr>
            <w:r>
              <w:rPr>
                <w:rFonts w:hint="eastAsia"/>
                <w:color w:val="auto"/>
                <w:sz w:val="24"/>
              </w:rPr>
              <w:t>建设单位拟每周清洗一次车间地面</w:t>
            </w:r>
            <w:r>
              <w:rPr>
                <w:color w:val="auto"/>
                <w:sz w:val="24"/>
              </w:rPr>
              <w:t>（含原料储存区），</w:t>
            </w:r>
            <w:r>
              <w:rPr>
                <w:rFonts w:hint="eastAsia"/>
                <w:color w:val="auto"/>
                <w:sz w:val="24"/>
              </w:rPr>
              <w:t>地面冲洗</w:t>
            </w:r>
            <w:r>
              <w:rPr>
                <w:color w:val="auto"/>
                <w:sz w:val="24"/>
              </w:rPr>
              <w:t>废水成份与</w:t>
            </w:r>
            <w:r>
              <w:rPr>
                <w:rFonts w:hint="eastAsia"/>
                <w:color w:val="auto"/>
                <w:sz w:val="24"/>
              </w:rPr>
              <w:t>生产</w:t>
            </w:r>
            <w:r>
              <w:rPr>
                <w:color w:val="auto"/>
                <w:sz w:val="24"/>
              </w:rPr>
              <w:t>清洗废水相似，主要污染物为SS、COD等。地面冲洗废水</w:t>
            </w:r>
            <w:r>
              <w:rPr>
                <w:rFonts w:hint="eastAsia"/>
                <w:color w:val="auto"/>
                <w:sz w:val="24"/>
              </w:rPr>
              <w:t>经导流沟进入项目自建污水预处理设施处理</w:t>
            </w:r>
            <w:r>
              <w:rPr>
                <w:color w:val="auto"/>
                <w:sz w:val="24"/>
              </w:rPr>
              <w:t>。</w:t>
            </w:r>
          </w:p>
          <w:p w14:paraId="497ADAFA">
            <w:pPr>
              <w:pStyle w:val="125"/>
              <w:pageBreakBefore w:val="0"/>
              <w:widowControl w:val="0"/>
              <w:kinsoku/>
              <w:wordWrap/>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）生活污水</w:t>
            </w:r>
          </w:p>
          <w:p w14:paraId="6B11661C">
            <w:pPr>
              <w:pStyle w:val="125"/>
              <w:pageBreakBefore w:val="0"/>
              <w:widowControl w:val="0"/>
              <w:kinsoku/>
              <w:wordWrap/>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项目职工均不在厂区内食宿，</w:t>
            </w:r>
            <w:r>
              <w:rPr>
                <w:rFonts w:hint="default" w:ascii="Times New Roman" w:hAnsi="Times New Roman" w:eastAsia="宋体" w:cs="Times New Roman"/>
                <w:b w:val="0"/>
                <w:bCs w:val="0"/>
                <w:color w:val="auto"/>
                <w:sz w:val="24"/>
                <w:szCs w:val="24"/>
              </w:rPr>
              <w:t>生活污水产生量为</w:t>
            </w:r>
            <w:r>
              <w:rPr>
                <w:rFonts w:hint="default" w:ascii="Times New Roman" w:hAnsi="Times New Roman" w:cs="Times New Roman"/>
                <w:b w:val="0"/>
                <w:bCs w:val="0"/>
                <w:color w:val="auto"/>
                <w:sz w:val="24"/>
                <w:szCs w:val="24"/>
                <w:lang w:val="en-US" w:eastAsia="zh-CN"/>
              </w:rPr>
              <w:t>0.51</w:t>
            </w:r>
            <w:r>
              <w:rPr>
                <w:rFonts w:hint="default" w:ascii="Times New Roman" w:hAnsi="Times New Roman" w:eastAsia="宋体" w:cs="Times New Roman"/>
                <w:b w:val="0"/>
                <w:bCs w:val="0"/>
                <w:color w:val="auto"/>
                <w:sz w:val="24"/>
                <w:szCs w:val="24"/>
              </w:rPr>
              <w:t>t/d(</w:t>
            </w:r>
            <w:r>
              <w:rPr>
                <w:rFonts w:hint="default" w:ascii="Times New Roman" w:hAnsi="Times New Roman" w:cs="Times New Roman"/>
                <w:b w:val="0"/>
                <w:bCs w:val="0"/>
                <w:color w:val="auto"/>
                <w:sz w:val="24"/>
                <w:szCs w:val="24"/>
                <w:lang w:val="en-US" w:eastAsia="zh-CN"/>
              </w:rPr>
              <w:t>168.3</w:t>
            </w:r>
            <w:r>
              <w:rPr>
                <w:rFonts w:hint="default" w:ascii="Times New Roman" w:hAnsi="Times New Roman" w:eastAsia="宋体" w:cs="Times New Roman"/>
                <w:b w:val="0"/>
                <w:bCs w:val="0"/>
                <w:color w:val="auto"/>
                <w:sz w:val="24"/>
                <w:szCs w:val="24"/>
              </w:rPr>
              <w:t>t/a)。参考《排放源统计调查产排污核算方法和系数手册》(公告2021年第24号)中“生活污染源产排污系数手册”可知，职工产生的生活污水中各主要污染物浓度按CODcr：340mg/L，BOD</w:t>
            </w:r>
            <w:r>
              <w:rPr>
                <w:rFonts w:hint="default" w:ascii="Times New Roman" w:hAnsi="Times New Roman" w:eastAsia="宋体" w:cs="Times New Roman"/>
                <w:b w:val="0"/>
                <w:bCs w:val="0"/>
                <w:color w:val="auto"/>
                <w:sz w:val="24"/>
                <w:szCs w:val="24"/>
                <w:vertAlign w:val="subscript"/>
              </w:rPr>
              <w:t>5</w:t>
            </w:r>
            <w:r>
              <w:rPr>
                <w:rFonts w:hint="default" w:ascii="Times New Roman" w:hAnsi="Times New Roman" w:eastAsia="宋体" w:cs="Times New Roman"/>
                <w:b w:val="0"/>
                <w:bCs w:val="0"/>
                <w:color w:val="auto"/>
                <w:sz w:val="24"/>
                <w:szCs w:val="24"/>
              </w:rPr>
              <w:t>：200mg/L，SS：220mg/L，NH</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rPr>
              <w:t>-N：32.6mg/L计算。</w:t>
            </w:r>
          </w:p>
          <w:p w14:paraId="69804B5A">
            <w:pPr>
              <w:pStyle w:val="125"/>
              <w:pageBreakBefore w:val="0"/>
              <w:widowControl w:val="0"/>
              <w:kinsoku/>
              <w:wordWrap/>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highlight w:val="none"/>
                <w:u w:val="none"/>
                <w:lang w:val="en-US" w:eastAsia="zh-CN"/>
              </w:rPr>
              <w:t>化粪池处理效率参照《村镇生活污染防治最佳可行技术指南(试行)》（HJ-BAT-9），化粪池对污染物的去除效率为：COD：40%、BOD</w:t>
            </w:r>
            <w:r>
              <w:rPr>
                <w:rFonts w:hint="default" w:ascii="Times New Roman" w:hAnsi="Times New Roman" w:eastAsia="宋体" w:cs="Times New Roman"/>
                <w:color w:val="auto"/>
                <w:sz w:val="24"/>
                <w:szCs w:val="24"/>
                <w:highlight w:val="none"/>
                <w:u w:val="none"/>
                <w:vertAlign w:val="subscript"/>
                <w:lang w:val="en-US" w:eastAsia="zh-CN"/>
              </w:rPr>
              <w:t>5</w:t>
            </w:r>
            <w:r>
              <w:rPr>
                <w:rFonts w:hint="default" w:ascii="Times New Roman" w:hAnsi="Times New Roman" w:eastAsia="宋体" w:cs="Times New Roman"/>
                <w:color w:val="auto"/>
                <w:sz w:val="24"/>
                <w:szCs w:val="24"/>
                <w:highlight w:val="none"/>
                <w:u w:val="none"/>
                <w:lang w:val="en-US" w:eastAsia="zh-CN"/>
              </w:rPr>
              <w:t>：22%、SS：60%、NH</w:t>
            </w:r>
            <w:r>
              <w:rPr>
                <w:rFonts w:hint="default" w:ascii="Times New Roman" w:hAnsi="Times New Roman" w:eastAsia="宋体" w:cs="Times New Roman"/>
                <w:color w:val="auto"/>
                <w:sz w:val="24"/>
                <w:szCs w:val="24"/>
                <w:highlight w:val="none"/>
                <w:u w:val="none"/>
                <w:vertAlign w:val="subscript"/>
                <w:lang w:val="en-US" w:eastAsia="zh-CN"/>
              </w:rPr>
              <w:t>3</w:t>
            </w:r>
            <w:r>
              <w:rPr>
                <w:rFonts w:hint="default" w:ascii="Times New Roman" w:hAnsi="Times New Roman" w:eastAsia="宋体" w:cs="Times New Roman"/>
                <w:color w:val="auto"/>
                <w:sz w:val="24"/>
                <w:szCs w:val="24"/>
                <w:highlight w:val="none"/>
                <w:u w:val="none"/>
                <w:lang w:val="en-US" w:eastAsia="zh-CN"/>
              </w:rPr>
              <w:t>-N：10%。</w:t>
            </w:r>
          </w:p>
          <w:p w14:paraId="63772DB4">
            <w:pPr>
              <w:keepNext/>
              <w:keepLines w:val="0"/>
              <w:pageBreakBefore w:val="0"/>
              <w:widowControl w:val="0"/>
              <w:kinsoku/>
              <w:wordWrap/>
              <w:overflowPunct w:val="0"/>
              <w:topLinePunct w:val="0"/>
              <w:autoSpaceDE/>
              <w:autoSpaceDN/>
              <w:bidi w:val="0"/>
              <w:adjustRightInd w:val="0"/>
              <w:snapToGrid w:val="0"/>
              <w:spacing w:before="0" w:after="0" w:line="360" w:lineRule="auto"/>
              <w:ind w:lef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bookmarkStart w:id="26" w:name="_Toc6048"/>
            <w:r>
              <w:rPr>
                <w:rFonts w:hint="default" w:ascii="Times New Roman" w:hAnsi="Times New Roman" w:eastAsia="宋体" w:cs="Times New Roman"/>
                <w:b w:val="0"/>
                <w:bCs w:val="0"/>
                <w:color w:val="auto"/>
                <w:sz w:val="24"/>
                <w:szCs w:val="24"/>
              </w:rPr>
              <w:t>项目属于</w:t>
            </w:r>
            <w:r>
              <w:rPr>
                <w:rFonts w:hint="default" w:ascii="Times New Roman" w:hAnsi="Times New Roman" w:eastAsia="宋体" w:cs="Times New Roman"/>
                <w:b w:val="0"/>
                <w:bCs w:val="0"/>
                <w:color w:val="auto"/>
                <w:sz w:val="24"/>
                <w:szCs w:val="24"/>
                <w:lang w:eastAsia="zh-CN"/>
              </w:rPr>
              <w:t>江镜华侨农场污水处理厂</w:t>
            </w:r>
            <w:r>
              <w:rPr>
                <w:rFonts w:hint="default" w:ascii="Times New Roman" w:hAnsi="Times New Roman" w:eastAsia="宋体" w:cs="Times New Roman"/>
                <w:b w:val="0"/>
                <w:bCs w:val="0"/>
                <w:color w:val="auto"/>
                <w:sz w:val="24"/>
                <w:szCs w:val="24"/>
              </w:rPr>
              <w:t>服务范围，本项目生活污水经预处理后通过厂区总排放口排入市政污水管网，排放源强情况见表4.</w:t>
            </w:r>
            <w:r>
              <w:rPr>
                <w:rFonts w:hint="default"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-1。</w:t>
            </w:r>
            <w:bookmarkEnd w:id="26"/>
          </w:p>
        </w:tc>
      </w:tr>
    </w:tbl>
    <w:p w14:paraId="09733D45">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Layout w:type="autofit"/>
        <w:tblCellMar>
          <w:top w:w="0" w:type="dxa"/>
          <w:left w:w="108" w:type="dxa"/>
          <w:bottom w:w="0" w:type="dxa"/>
          <w:right w:w="108" w:type="dxa"/>
        </w:tblCellMar>
      </w:tblPr>
      <w:tblGrid>
        <w:gridCol w:w="932"/>
        <w:gridCol w:w="13853"/>
      </w:tblGrid>
      <w:tr w14:paraId="392F6A4E">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c>
          <w:tcPr>
            <w:tcW w:w="315" w:type="pct"/>
            <w:tcBorders>
              <w:tl2br w:val="nil"/>
              <w:tr2bl w:val="nil"/>
            </w:tcBorders>
            <w:noWrap w:val="0"/>
            <w:vAlign w:val="center"/>
          </w:tcPr>
          <w:p w14:paraId="6B30738A">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3A441A6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0A83921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3C3540A0">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723E3626">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70CE9D7A">
            <w:pPr>
              <w:adjustRightInd w:val="0"/>
              <w:snapToGrid w:val="0"/>
              <w:jc w:val="center"/>
              <w:rPr>
                <w:rFonts w:hint="default" w:ascii="Times New Roman" w:hAnsi="Times New Roman" w:cs="Times New Roman"/>
                <w:color w:val="auto"/>
                <w:vertAlign w:val="baseline"/>
              </w:rPr>
            </w:pPr>
            <w:r>
              <w:rPr>
                <w:rFonts w:hint="default" w:ascii="Times New Roman" w:hAnsi="Times New Roman" w:eastAsia="宋体" w:cs="Times New Roman"/>
                <w:bCs/>
                <w:color w:val="auto"/>
                <w:szCs w:val="21"/>
                <w:lang w:val="en-US" w:eastAsia="zh-CN"/>
              </w:rPr>
              <w:t>措施</w:t>
            </w:r>
          </w:p>
        </w:tc>
        <w:tc>
          <w:tcPr>
            <w:tcW w:w="4684" w:type="pct"/>
            <w:tcBorders>
              <w:tl2br w:val="nil"/>
              <w:tr2bl w:val="nil"/>
            </w:tcBorders>
            <w:noWrap w:val="0"/>
            <w:vAlign w:val="center"/>
          </w:tcPr>
          <w:p w14:paraId="217C8A6B">
            <w:pPr>
              <w:pStyle w:val="123"/>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3</w:t>
            </w:r>
            <w:r>
              <w:rPr>
                <w:rFonts w:hint="default" w:ascii="Times New Roman" w:hAnsi="Times New Roman" w:cs="Times New Roman"/>
                <w:color w:val="auto"/>
              </w:rPr>
              <w:t>-1 项目污水污染源源强核算结果及相关参数一览表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416"/>
              <w:gridCol w:w="236"/>
              <w:gridCol w:w="689"/>
              <w:gridCol w:w="294"/>
              <w:gridCol w:w="660"/>
              <w:gridCol w:w="518"/>
              <w:gridCol w:w="701"/>
              <w:gridCol w:w="575"/>
              <w:gridCol w:w="638"/>
              <w:gridCol w:w="548"/>
              <w:gridCol w:w="674"/>
              <w:gridCol w:w="608"/>
              <w:gridCol w:w="611"/>
              <w:gridCol w:w="469"/>
              <w:gridCol w:w="876"/>
              <w:gridCol w:w="469"/>
              <w:gridCol w:w="960"/>
              <w:gridCol w:w="658"/>
              <w:gridCol w:w="1454"/>
              <w:gridCol w:w="628"/>
              <w:gridCol w:w="947"/>
            </w:tblGrid>
            <w:tr w14:paraId="54601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restart"/>
                  <w:shd w:val="clear" w:color="auto" w:fill="auto"/>
                  <w:noWrap w:val="0"/>
                  <w:vAlign w:val="center"/>
                </w:tcPr>
                <w:p w14:paraId="681F60A2">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产排污环节</w:t>
                  </w:r>
                </w:p>
              </w:tc>
              <w:tc>
                <w:tcPr>
                  <w:tcW w:w="86" w:type="pct"/>
                  <w:vMerge w:val="restart"/>
                  <w:shd w:val="clear" w:color="auto" w:fill="auto"/>
                  <w:noWrap w:val="0"/>
                  <w:vAlign w:val="center"/>
                </w:tcPr>
                <w:p w14:paraId="48E0CA18">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类别</w:t>
                  </w:r>
                </w:p>
              </w:tc>
              <w:tc>
                <w:tcPr>
                  <w:tcW w:w="253" w:type="pct"/>
                  <w:vMerge w:val="restart"/>
                  <w:shd w:val="clear" w:color="auto" w:fill="auto"/>
                  <w:noWrap w:val="0"/>
                  <w:vAlign w:val="center"/>
                </w:tcPr>
                <w:p w14:paraId="03605F3A">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污染物种类</w:t>
                  </w:r>
                </w:p>
              </w:tc>
              <w:tc>
                <w:tcPr>
                  <w:tcW w:w="797" w:type="pct"/>
                  <w:gridSpan w:val="4"/>
                  <w:shd w:val="clear" w:color="auto" w:fill="auto"/>
                  <w:noWrap w:val="0"/>
                  <w:vAlign w:val="center"/>
                </w:tcPr>
                <w:p w14:paraId="00B98228">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污染源产生</w:t>
                  </w:r>
                </w:p>
              </w:tc>
              <w:tc>
                <w:tcPr>
                  <w:tcW w:w="645" w:type="pct"/>
                  <w:gridSpan w:val="3"/>
                  <w:shd w:val="clear" w:color="auto" w:fill="auto"/>
                  <w:noWrap w:val="0"/>
                  <w:vAlign w:val="center"/>
                </w:tcPr>
                <w:p w14:paraId="4F4FDF15">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治理措施</w:t>
                  </w:r>
                </w:p>
              </w:tc>
              <w:tc>
                <w:tcPr>
                  <w:tcW w:w="694" w:type="pct"/>
                  <w:gridSpan w:val="3"/>
                  <w:shd w:val="clear" w:color="auto" w:fill="auto"/>
                  <w:noWrap w:val="0"/>
                  <w:vAlign w:val="center"/>
                </w:tcPr>
                <w:p w14:paraId="508D22F8">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污染物排放</w:t>
                  </w:r>
                </w:p>
              </w:tc>
              <w:tc>
                <w:tcPr>
                  <w:tcW w:w="172" w:type="pct"/>
                  <w:vMerge w:val="restart"/>
                  <w:shd w:val="clear" w:color="auto" w:fill="auto"/>
                  <w:noWrap w:val="0"/>
                  <w:vAlign w:val="center"/>
                </w:tcPr>
                <w:p w14:paraId="3F464655">
                  <w:pPr>
                    <w:pStyle w:val="96"/>
                    <w:spacing w:line="24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排放</w:t>
                  </w:r>
                </w:p>
                <w:p w14:paraId="67355844">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方式</w:t>
                  </w:r>
                </w:p>
              </w:tc>
              <w:tc>
                <w:tcPr>
                  <w:tcW w:w="321" w:type="pct"/>
                  <w:vMerge w:val="restart"/>
                  <w:shd w:val="clear" w:color="auto" w:fill="auto"/>
                  <w:noWrap w:val="0"/>
                  <w:vAlign w:val="center"/>
                </w:tcPr>
                <w:p w14:paraId="1E5FD446">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排放去向</w:t>
                  </w:r>
                </w:p>
              </w:tc>
              <w:tc>
                <w:tcPr>
                  <w:tcW w:w="172" w:type="pct"/>
                  <w:vMerge w:val="restart"/>
                  <w:shd w:val="clear" w:color="auto" w:fill="auto"/>
                  <w:noWrap w:val="0"/>
                  <w:vAlign w:val="center"/>
                </w:tcPr>
                <w:p w14:paraId="589B4D3E">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排放规律</w:t>
                  </w:r>
                </w:p>
              </w:tc>
              <w:tc>
                <w:tcPr>
                  <w:tcW w:w="1126" w:type="pct"/>
                  <w:gridSpan w:val="3"/>
                  <w:shd w:val="clear" w:color="auto" w:fill="auto"/>
                  <w:noWrap w:val="0"/>
                  <w:vAlign w:val="center"/>
                </w:tcPr>
                <w:p w14:paraId="1B0C7618">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排放口基本情况</w:t>
                  </w:r>
                </w:p>
              </w:tc>
              <w:tc>
                <w:tcPr>
                  <w:tcW w:w="230" w:type="pct"/>
                  <w:vMerge w:val="restart"/>
                  <w:shd w:val="clear" w:color="auto" w:fill="auto"/>
                  <w:noWrap w:val="0"/>
                  <w:vAlign w:val="center"/>
                </w:tcPr>
                <w:p w14:paraId="18303014">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w:t>
                  </w:r>
                </w:p>
                <w:p w14:paraId="7DF3CD59">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时间</w:t>
                  </w:r>
                </w:p>
                <w:p w14:paraId="32C5392C">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w:t>
                  </w:r>
                </w:p>
              </w:tc>
              <w:tc>
                <w:tcPr>
                  <w:tcW w:w="347" w:type="pct"/>
                  <w:shd w:val="clear" w:color="auto" w:fill="auto"/>
                  <w:noWrap w:val="0"/>
                  <w:vAlign w:val="center"/>
                </w:tcPr>
                <w:p w14:paraId="4D9EAC9A">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排放标准</w:t>
                  </w:r>
                </w:p>
              </w:tc>
            </w:tr>
            <w:tr w14:paraId="42784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71026F8F">
                  <w:pPr>
                    <w:pStyle w:val="96"/>
                    <w:spacing w:line="240" w:lineRule="exact"/>
                    <w:rPr>
                      <w:rFonts w:hint="default" w:ascii="Times New Roman" w:hAnsi="Times New Roman" w:cs="Times New Roman"/>
                      <w:color w:val="auto"/>
                      <w:sz w:val="18"/>
                      <w:szCs w:val="18"/>
                    </w:rPr>
                  </w:pPr>
                </w:p>
              </w:tc>
              <w:tc>
                <w:tcPr>
                  <w:tcW w:w="86" w:type="pct"/>
                  <w:vMerge w:val="continue"/>
                  <w:shd w:val="clear" w:color="auto" w:fill="auto"/>
                  <w:noWrap w:val="0"/>
                  <w:vAlign w:val="center"/>
                </w:tcPr>
                <w:p w14:paraId="72D2F98E">
                  <w:pPr>
                    <w:pStyle w:val="96"/>
                    <w:spacing w:line="240" w:lineRule="exact"/>
                    <w:rPr>
                      <w:rFonts w:hint="default" w:ascii="Times New Roman" w:hAnsi="Times New Roman" w:cs="Times New Roman"/>
                      <w:color w:val="auto"/>
                      <w:sz w:val="18"/>
                      <w:szCs w:val="18"/>
                    </w:rPr>
                  </w:pPr>
                </w:p>
              </w:tc>
              <w:tc>
                <w:tcPr>
                  <w:tcW w:w="253" w:type="pct"/>
                  <w:vMerge w:val="continue"/>
                  <w:shd w:val="clear" w:color="auto" w:fill="auto"/>
                  <w:noWrap w:val="0"/>
                  <w:vAlign w:val="center"/>
                </w:tcPr>
                <w:p w14:paraId="0272A1D8">
                  <w:pPr>
                    <w:pStyle w:val="96"/>
                    <w:spacing w:line="240" w:lineRule="exact"/>
                    <w:rPr>
                      <w:rFonts w:hint="default" w:ascii="Times New Roman" w:hAnsi="Times New Roman" w:cs="Times New Roman"/>
                      <w:color w:val="auto"/>
                      <w:sz w:val="18"/>
                      <w:szCs w:val="18"/>
                    </w:rPr>
                  </w:pPr>
                </w:p>
              </w:tc>
              <w:tc>
                <w:tcPr>
                  <w:tcW w:w="108" w:type="pct"/>
                  <w:shd w:val="clear" w:color="auto" w:fill="auto"/>
                  <w:noWrap w:val="0"/>
                  <w:vAlign w:val="center"/>
                </w:tcPr>
                <w:p w14:paraId="06FBA2D3">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核算</w:t>
                  </w:r>
                </w:p>
                <w:p w14:paraId="43B8AD5C">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方法</w:t>
                  </w:r>
                </w:p>
              </w:tc>
              <w:tc>
                <w:tcPr>
                  <w:tcW w:w="242" w:type="pct"/>
                  <w:shd w:val="clear" w:color="auto" w:fill="auto"/>
                  <w:noWrap w:val="0"/>
                  <w:vAlign w:val="center"/>
                </w:tcPr>
                <w:p w14:paraId="77CC80E3">
                  <w:pPr>
                    <w:pStyle w:val="96"/>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产生废水量/m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/a</w:t>
                  </w:r>
                </w:p>
              </w:tc>
              <w:tc>
                <w:tcPr>
                  <w:tcW w:w="190" w:type="pct"/>
                  <w:shd w:val="clear" w:color="auto" w:fill="auto"/>
                  <w:noWrap w:val="0"/>
                  <w:vAlign w:val="center"/>
                </w:tcPr>
                <w:p w14:paraId="54F3893D">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产生浓度</w:t>
                  </w:r>
                </w:p>
                <w:p w14:paraId="7E17A1B1">
                  <w:pPr>
                    <w:pStyle w:val="96"/>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/mg/L</w:t>
                  </w:r>
                </w:p>
              </w:tc>
              <w:tc>
                <w:tcPr>
                  <w:tcW w:w="255" w:type="pct"/>
                  <w:shd w:val="clear" w:color="auto" w:fill="auto"/>
                  <w:noWrap w:val="0"/>
                  <w:vAlign w:val="center"/>
                </w:tcPr>
                <w:p w14:paraId="31B8082D">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产生量</w:t>
                  </w:r>
                </w:p>
                <w:p w14:paraId="15352395">
                  <w:pPr>
                    <w:pStyle w:val="96"/>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210" w:type="pct"/>
                  <w:shd w:val="clear" w:color="auto" w:fill="auto"/>
                  <w:noWrap w:val="0"/>
                  <w:vAlign w:val="center"/>
                </w:tcPr>
                <w:p w14:paraId="37C8643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处理能力</w:t>
                  </w:r>
                </w:p>
              </w:tc>
              <w:tc>
                <w:tcPr>
                  <w:tcW w:w="234" w:type="pct"/>
                  <w:shd w:val="clear" w:color="auto" w:fill="auto"/>
                  <w:noWrap w:val="0"/>
                  <w:vAlign w:val="center"/>
                </w:tcPr>
                <w:p w14:paraId="076EEF5C">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治理效率</w:t>
                  </w:r>
                </w:p>
              </w:tc>
              <w:tc>
                <w:tcPr>
                  <w:tcW w:w="200" w:type="pct"/>
                  <w:shd w:val="clear" w:color="auto" w:fill="auto"/>
                  <w:noWrap w:val="0"/>
                  <w:vAlign w:val="center"/>
                </w:tcPr>
                <w:p w14:paraId="2507A99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是否为可行技术</w:t>
                  </w:r>
                </w:p>
              </w:tc>
              <w:tc>
                <w:tcPr>
                  <w:tcW w:w="247" w:type="pct"/>
                  <w:shd w:val="clear" w:color="auto" w:fill="auto"/>
                  <w:noWrap w:val="0"/>
                  <w:vAlign w:val="center"/>
                </w:tcPr>
                <w:p w14:paraId="10DFDF9B">
                  <w:pPr>
                    <w:pStyle w:val="96"/>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排放废水量/m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/a</w:t>
                  </w:r>
                </w:p>
              </w:tc>
              <w:tc>
                <w:tcPr>
                  <w:tcW w:w="223" w:type="pct"/>
                  <w:shd w:val="clear" w:color="auto" w:fill="auto"/>
                  <w:noWrap w:val="0"/>
                  <w:vAlign w:val="center"/>
                </w:tcPr>
                <w:p w14:paraId="7B1D83BC">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排放浓度/mg/L</w:t>
                  </w:r>
                </w:p>
              </w:tc>
              <w:tc>
                <w:tcPr>
                  <w:tcW w:w="224" w:type="pct"/>
                  <w:shd w:val="clear" w:color="auto" w:fill="auto"/>
                  <w:noWrap w:val="0"/>
                  <w:vAlign w:val="center"/>
                </w:tcPr>
                <w:p w14:paraId="09B46AF9">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w:t>
                  </w:r>
                </w:p>
                <w:p w14:paraId="1A7BFE69">
                  <w:pPr>
                    <w:pStyle w:val="96"/>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72" w:type="pct"/>
                  <w:vMerge w:val="continue"/>
                  <w:shd w:val="clear" w:color="auto" w:fill="auto"/>
                  <w:noWrap w:val="0"/>
                  <w:vAlign w:val="center"/>
                </w:tcPr>
                <w:p w14:paraId="28C8325A">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7A6F3EB5">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7FA4C3CE">
                  <w:pPr>
                    <w:pStyle w:val="96"/>
                    <w:spacing w:line="240" w:lineRule="exact"/>
                    <w:rPr>
                      <w:rFonts w:hint="default" w:ascii="Times New Roman" w:hAnsi="Times New Roman" w:cs="Times New Roman"/>
                      <w:color w:val="auto"/>
                      <w:sz w:val="18"/>
                      <w:szCs w:val="18"/>
                    </w:rPr>
                  </w:pPr>
                </w:p>
              </w:tc>
              <w:tc>
                <w:tcPr>
                  <w:tcW w:w="352" w:type="pct"/>
                  <w:shd w:val="clear" w:color="auto" w:fill="auto"/>
                  <w:noWrap w:val="0"/>
                  <w:vAlign w:val="center"/>
                </w:tcPr>
                <w:p w14:paraId="63E699B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编号及名称</w:t>
                  </w:r>
                </w:p>
              </w:tc>
              <w:tc>
                <w:tcPr>
                  <w:tcW w:w="241" w:type="pct"/>
                  <w:shd w:val="clear" w:color="auto" w:fill="auto"/>
                  <w:noWrap w:val="0"/>
                  <w:vAlign w:val="center"/>
                </w:tcPr>
                <w:p w14:paraId="671F0738">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类型</w:t>
                  </w:r>
                </w:p>
              </w:tc>
              <w:tc>
                <w:tcPr>
                  <w:tcW w:w="532" w:type="pct"/>
                  <w:shd w:val="clear" w:color="auto" w:fill="auto"/>
                  <w:noWrap w:val="0"/>
                  <w:vAlign w:val="center"/>
                </w:tcPr>
                <w:p w14:paraId="7A1F5A2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地理</w:t>
                  </w:r>
                </w:p>
                <w:p w14:paraId="3DCCC6A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坐标</w:t>
                  </w:r>
                </w:p>
              </w:tc>
              <w:tc>
                <w:tcPr>
                  <w:tcW w:w="230" w:type="pct"/>
                  <w:vMerge w:val="continue"/>
                  <w:shd w:val="clear" w:color="auto" w:fill="auto"/>
                  <w:noWrap w:val="0"/>
                  <w:vAlign w:val="center"/>
                </w:tcPr>
                <w:p w14:paraId="60CD19EB">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2FA1DE10">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浓度</w:t>
                  </w:r>
                </w:p>
                <w:p w14:paraId="6B04797B">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/mg/L</w:t>
                  </w:r>
                </w:p>
              </w:tc>
            </w:tr>
            <w:tr w14:paraId="042EA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2" w:type="pct"/>
                  <w:vMerge w:val="restart"/>
                  <w:shd w:val="clear" w:color="auto" w:fill="auto"/>
                  <w:noWrap w:val="0"/>
                  <w:vAlign w:val="center"/>
                </w:tcPr>
                <w:p w14:paraId="76286F51">
                  <w:pPr>
                    <w:pStyle w:val="96"/>
                    <w:spacing w:line="240" w:lineRule="exact"/>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8"/>
                    </w:rPr>
                    <w:t>职工</w:t>
                  </w:r>
                </w:p>
              </w:tc>
              <w:tc>
                <w:tcPr>
                  <w:tcW w:w="86" w:type="pct"/>
                  <w:vMerge w:val="restart"/>
                  <w:shd w:val="clear" w:color="auto" w:fill="auto"/>
                  <w:noWrap w:val="0"/>
                  <w:vAlign w:val="center"/>
                </w:tcPr>
                <w:p w14:paraId="46062472">
                  <w:pPr>
                    <w:pStyle w:val="96"/>
                    <w:spacing w:line="24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生活</w:t>
                  </w:r>
                </w:p>
                <w:p w14:paraId="44E5790C">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污水</w:t>
                  </w:r>
                </w:p>
              </w:tc>
              <w:tc>
                <w:tcPr>
                  <w:tcW w:w="253" w:type="pct"/>
                  <w:shd w:val="clear" w:color="auto" w:fill="auto"/>
                  <w:noWrap w:val="0"/>
                  <w:vAlign w:val="center"/>
                </w:tcPr>
                <w:p w14:paraId="3E9DFDF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pH</w:t>
                  </w:r>
                </w:p>
              </w:tc>
              <w:tc>
                <w:tcPr>
                  <w:tcW w:w="108" w:type="pct"/>
                  <w:vMerge w:val="restart"/>
                  <w:shd w:val="clear" w:color="auto" w:fill="auto"/>
                  <w:noWrap w:val="0"/>
                  <w:vAlign w:val="center"/>
                </w:tcPr>
                <w:p w14:paraId="64A0C52D">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产污系数法</w:t>
                  </w:r>
                </w:p>
              </w:tc>
              <w:tc>
                <w:tcPr>
                  <w:tcW w:w="242" w:type="pct"/>
                  <w:vMerge w:val="restart"/>
                  <w:shd w:val="clear" w:color="auto" w:fill="auto"/>
                  <w:noWrap w:val="0"/>
                  <w:vAlign w:val="center"/>
                </w:tcPr>
                <w:p w14:paraId="650F8F92">
                  <w:pPr>
                    <w:pStyle w:val="96"/>
                    <w:spacing w:line="240" w:lineRule="exac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168.3</w:t>
                  </w:r>
                </w:p>
              </w:tc>
              <w:tc>
                <w:tcPr>
                  <w:tcW w:w="190" w:type="pct"/>
                  <w:shd w:val="clear" w:color="auto" w:fill="auto"/>
                  <w:noWrap w:val="0"/>
                  <w:vAlign w:val="center"/>
                </w:tcPr>
                <w:p w14:paraId="3C9BA34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6-9</w:t>
                  </w:r>
                </w:p>
              </w:tc>
              <w:tc>
                <w:tcPr>
                  <w:tcW w:w="255" w:type="pct"/>
                  <w:shd w:val="clear" w:color="auto" w:fill="auto"/>
                  <w:noWrap w:val="0"/>
                  <w:vAlign w:val="center"/>
                </w:tcPr>
                <w:p w14:paraId="2A76D4D7">
                  <w:pPr>
                    <w:widowControl/>
                    <w:jc w:val="center"/>
                    <w:textAlignment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lang w:bidi="ar"/>
                    </w:rPr>
                    <w:t>/</w:t>
                  </w:r>
                </w:p>
              </w:tc>
              <w:tc>
                <w:tcPr>
                  <w:tcW w:w="210" w:type="pct"/>
                  <w:vMerge w:val="restart"/>
                  <w:shd w:val="clear" w:color="auto" w:fill="auto"/>
                  <w:noWrap w:val="0"/>
                  <w:vAlign w:val="center"/>
                </w:tcPr>
                <w:p w14:paraId="4BB8A54C">
                  <w:pPr>
                    <w:pStyle w:val="96"/>
                    <w:spacing w:line="240" w:lineRule="exact"/>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化粪池</w:t>
                  </w:r>
                  <w:r>
                    <w:rPr>
                      <w:rFonts w:hint="default" w:ascii="Times New Roman" w:hAnsi="Times New Roman" w:cs="Times New Roman"/>
                      <w:bCs/>
                      <w:color w:val="auto"/>
                      <w:sz w:val="18"/>
                      <w:szCs w:val="18"/>
                      <w:highlight w:val="none"/>
                      <w:lang w:val="en-US" w:eastAsia="zh-CN"/>
                    </w:rPr>
                    <w:t>3m</w:t>
                  </w:r>
                  <w:r>
                    <w:rPr>
                      <w:rFonts w:hint="default" w:ascii="Times New Roman" w:hAnsi="Times New Roman" w:cs="Times New Roman"/>
                      <w:bCs/>
                      <w:color w:val="auto"/>
                      <w:sz w:val="18"/>
                      <w:szCs w:val="18"/>
                      <w:highlight w:val="none"/>
                      <w:vertAlign w:val="superscript"/>
                      <w:lang w:val="en-US" w:eastAsia="zh-CN"/>
                    </w:rPr>
                    <w:t>3</w:t>
                  </w:r>
                </w:p>
              </w:tc>
              <w:tc>
                <w:tcPr>
                  <w:tcW w:w="234" w:type="pct"/>
                  <w:shd w:val="clear" w:color="auto" w:fill="auto"/>
                  <w:noWrap w:val="0"/>
                  <w:vAlign w:val="center"/>
                </w:tcPr>
                <w:p w14:paraId="30E2555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200" w:type="pct"/>
                  <w:vMerge w:val="restart"/>
                  <w:shd w:val="clear" w:color="auto" w:fill="auto"/>
                  <w:noWrap w:val="0"/>
                  <w:vAlign w:val="center"/>
                </w:tcPr>
                <w:p w14:paraId="6FE2DB90">
                  <w:pPr>
                    <w:pStyle w:val="96"/>
                    <w:spacing w:line="240" w:lineRule="exact"/>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247" w:type="pct"/>
                  <w:vMerge w:val="restart"/>
                  <w:shd w:val="clear" w:color="auto" w:fill="auto"/>
                  <w:noWrap w:val="0"/>
                  <w:vAlign w:val="center"/>
                </w:tcPr>
                <w:p w14:paraId="4CBEAC95">
                  <w:pPr>
                    <w:pStyle w:val="96"/>
                    <w:spacing w:line="240" w:lineRule="exac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168.3</w:t>
                  </w:r>
                </w:p>
              </w:tc>
              <w:tc>
                <w:tcPr>
                  <w:tcW w:w="223" w:type="pct"/>
                  <w:shd w:val="clear" w:color="auto" w:fill="auto"/>
                  <w:noWrap w:val="0"/>
                  <w:vAlign w:val="center"/>
                </w:tcPr>
                <w:p w14:paraId="7F69F715">
                  <w:pPr>
                    <w:widowControl/>
                    <w:jc w:val="center"/>
                    <w:textAlignment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lang w:bidi="ar"/>
                    </w:rPr>
                    <w:t>/</w:t>
                  </w:r>
                </w:p>
              </w:tc>
              <w:tc>
                <w:tcPr>
                  <w:tcW w:w="224" w:type="pct"/>
                  <w:shd w:val="clear" w:color="auto" w:fill="auto"/>
                  <w:noWrap w:val="0"/>
                  <w:vAlign w:val="center"/>
                </w:tcPr>
                <w:p w14:paraId="3862BC2B">
                  <w:pPr>
                    <w:widowControl/>
                    <w:jc w:val="center"/>
                    <w:textAlignment w:val="center"/>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lang w:bidi="ar"/>
                    </w:rPr>
                    <w:t>/</w:t>
                  </w:r>
                </w:p>
              </w:tc>
              <w:tc>
                <w:tcPr>
                  <w:tcW w:w="172" w:type="pct"/>
                  <w:vMerge w:val="restart"/>
                  <w:shd w:val="clear" w:color="auto" w:fill="auto"/>
                  <w:noWrap w:val="0"/>
                  <w:vAlign w:val="center"/>
                </w:tcPr>
                <w:p w14:paraId="58B5EFE2">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间接排放</w:t>
                  </w:r>
                </w:p>
              </w:tc>
              <w:tc>
                <w:tcPr>
                  <w:tcW w:w="321" w:type="pct"/>
                  <w:vMerge w:val="restart"/>
                  <w:shd w:val="clear" w:color="auto" w:fill="auto"/>
                  <w:noWrap w:val="0"/>
                  <w:vAlign w:val="center"/>
                </w:tcPr>
                <w:p w14:paraId="21A0E148">
                  <w:pPr>
                    <w:pStyle w:val="96"/>
                    <w:spacing w:line="240" w:lineRule="exact"/>
                    <w:rPr>
                      <w:rFonts w:hint="default" w:ascii="Times New Roman" w:hAnsi="Times New Roman" w:cs="Times New Roman"/>
                      <w:color w:val="auto"/>
                      <w:sz w:val="18"/>
                      <w:szCs w:val="18"/>
                    </w:rPr>
                  </w:pPr>
                  <w:r>
                    <w:rPr>
                      <w:rFonts w:hint="eastAsia" w:cs="Times New Roman"/>
                      <w:bCs/>
                      <w:color w:val="auto"/>
                      <w:sz w:val="18"/>
                      <w:szCs w:val="18"/>
                      <w:lang w:val="en-US" w:eastAsia="zh-CN"/>
                    </w:rPr>
                    <w:t>生产废水处理后90%回用与生产，10%排入</w:t>
                  </w:r>
                  <w:r>
                    <w:rPr>
                      <w:rFonts w:hint="default" w:ascii="Times New Roman" w:hAnsi="Times New Roman" w:cs="Times New Roman"/>
                      <w:bCs/>
                      <w:color w:val="auto"/>
                      <w:sz w:val="18"/>
                      <w:szCs w:val="18"/>
                    </w:rPr>
                    <w:t>市政污水管网，送往</w:t>
                  </w:r>
                  <w:r>
                    <w:rPr>
                      <w:rFonts w:hint="default" w:ascii="Times New Roman" w:hAnsi="Times New Roman" w:cs="Times New Roman"/>
                      <w:bCs/>
                      <w:color w:val="auto"/>
                      <w:sz w:val="18"/>
                      <w:szCs w:val="18"/>
                      <w:lang w:eastAsia="zh-CN"/>
                    </w:rPr>
                    <w:t>江镜华侨农场污水处理厂</w:t>
                  </w:r>
                  <w:r>
                    <w:rPr>
                      <w:rFonts w:hint="default" w:ascii="Times New Roman" w:hAnsi="Times New Roman" w:cs="Times New Roman"/>
                      <w:bCs/>
                      <w:color w:val="auto"/>
                      <w:sz w:val="18"/>
                      <w:szCs w:val="18"/>
                    </w:rPr>
                    <w:t>集中处理</w:t>
                  </w:r>
                </w:p>
              </w:tc>
              <w:tc>
                <w:tcPr>
                  <w:tcW w:w="172" w:type="pct"/>
                  <w:vMerge w:val="restart"/>
                  <w:shd w:val="clear" w:color="auto" w:fill="auto"/>
                  <w:noWrap w:val="0"/>
                  <w:vAlign w:val="center"/>
                </w:tcPr>
                <w:p w14:paraId="0ACC3AEC">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间歇排放</w:t>
                  </w:r>
                </w:p>
              </w:tc>
              <w:tc>
                <w:tcPr>
                  <w:tcW w:w="352" w:type="pct"/>
                  <w:vMerge w:val="restart"/>
                  <w:shd w:val="clear" w:color="auto" w:fill="auto"/>
                  <w:noWrap w:val="0"/>
                  <w:vAlign w:val="center"/>
                </w:tcPr>
                <w:p w14:paraId="66E7BF2C">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编号DW001，</w:t>
                  </w:r>
                  <w:r>
                    <w:rPr>
                      <w:rFonts w:hint="default" w:ascii="Times New Roman" w:hAnsi="Times New Roman" w:cs="Times New Roman"/>
                      <w:color w:val="auto"/>
                      <w:sz w:val="18"/>
                      <w:szCs w:val="18"/>
                    </w:rPr>
                    <w:t>厂区污水总排口</w:t>
                  </w:r>
                </w:p>
              </w:tc>
              <w:tc>
                <w:tcPr>
                  <w:tcW w:w="241" w:type="pct"/>
                  <w:vMerge w:val="restart"/>
                  <w:shd w:val="clear" w:color="auto" w:fill="auto"/>
                  <w:noWrap w:val="0"/>
                  <w:vAlign w:val="center"/>
                </w:tcPr>
                <w:p w14:paraId="0BF33E89">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532" w:type="pct"/>
                  <w:vMerge w:val="restart"/>
                  <w:shd w:val="clear" w:color="auto" w:fill="auto"/>
                  <w:noWrap w:val="0"/>
                  <w:vAlign w:val="center"/>
                </w:tcPr>
                <w:p w14:paraId="5E626346">
                  <w:pPr>
                    <w:pStyle w:val="96"/>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经度：</w:t>
                  </w:r>
                </w:p>
                <w:p w14:paraId="26B3EF70">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119°23′11.359″,</w:t>
                  </w:r>
                </w:p>
                <w:p w14:paraId="03C69079">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25°31′43.06</w:t>
                  </w:r>
                  <w:r>
                    <w:rPr>
                      <w:rFonts w:hint="eastAsia" w:ascii="Times New Roman" w:hAnsi="Times New Roman"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w:t>
                  </w:r>
                </w:p>
              </w:tc>
              <w:tc>
                <w:tcPr>
                  <w:tcW w:w="230" w:type="pct"/>
                  <w:vMerge w:val="restart"/>
                  <w:shd w:val="clear" w:color="auto" w:fill="auto"/>
                  <w:noWrap w:val="0"/>
                  <w:vAlign w:val="center"/>
                </w:tcPr>
                <w:p w14:paraId="490F9155">
                  <w:pPr>
                    <w:pStyle w:val="96"/>
                    <w:spacing w:line="240" w:lineRule="exac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7920</w:t>
                  </w:r>
                </w:p>
              </w:tc>
              <w:tc>
                <w:tcPr>
                  <w:tcW w:w="347" w:type="pct"/>
                  <w:shd w:val="clear" w:color="auto" w:fill="auto"/>
                  <w:noWrap w:val="0"/>
                  <w:vAlign w:val="center"/>
                </w:tcPr>
                <w:p w14:paraId="10D525EC">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6-9(无量纲)</w:t>
                  </w:r>
                </w:p>
              </w:tc>
            </w:tr>
            <w:tr w14:paraId="61350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2" w:type="pct"/>
                  <w:vMerge w:val="continue"/>
                  <w:shd w:val="clear" w:color="auto" w:fill="auto"/>
                  <w:noWrap w:val="0"/>
                  <w:vAlign w:val="center"/>
                </w:tcPr>
                <w:p w14:paraId="2910DB3A">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2762DB4D">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1D5D087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COD</w:t>
                  </w:r>
                  <w:r>
                    <w:rPr>
                      <w:rFonts w:hint="default" w:ascii="Times New Roman" w:hAnsi="Times New Roman" w:cs="Times New Roman"/>
                      <w:color w:val="auto"/>
                      <w:sz w:val="18"/>
                      <w:szCs w:val="18"/>
                      <w:vertAlign w:val="subscript"/>
                    </w:rPr>
                    <w:t>C</w:t>
                  </w:r>
                  <w:r>
                    <w:rPr>
                      <w:rFonts w:hint="default" w:ascii="Times New Roman" w:hAnsi="Times New Roman" w:cs="Times New Roman"/>
                      <w:color w:val="auto"/>
                      <w:sz w:val="18"/>
                      <w:szCs w:val="18"/>
                    </w:rPr>
                    <w:t>r</w:t>
                  </w:r>
                </w:p>
              </w:tc>
              <w:tc>
                <w:tcPr>
                  <w:tcW w:w="108" w:type="pct"/>
                  <w:vMerge w:val="continue"/>
                  <w:shd w:val="clear" w:color="auto" w:fill="auto"/>
                  <w:noWrap w:val="0"/>
                  <w:vAlign w:val="center"/>
                </w:tcPr>
                <w:p w14:paraId="24C16EC4">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3265B0CA">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6441C03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340</w:t>
                  </w:r>
                </w:p>
              </w:tc>
              <w:tc>
                <w:tcPr>
                  <w:tcW w:w="255" w:type="pct"/>
                  <w:shd w:val="clear" w:color="auto" w:fill="auto"/>
                  <w:noWrap w:val="0"/>
                  <w:vAlign w:val="center"/>
                </w:tcPr>
                <w:p w14:paraId="1960B962">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0.057 </w:t>
                  </w:r>
                </w:p>
              </w:tc>
              <w:tc>
                <w:tcPr>
                  <w:tcW w:w="210" w:type="pct"/>
                  <w:vMerge w:val="continue"/>
                  <w:shd w:val="clear" w:color="auto" w:fill="auto"/>
                  <w:noWrap w:val="0"/>
                  <w:vAlign w:val="center"/>
                </w:tcPr>
                <w:p w14:paraId="02FA971A">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7B6D96C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lang w:val="en-US" w:eastAsia="zh-CN"/>
                    </w:rPr>
                    <w:t>40</w:t>
                  </w:r>
                  <w:r>
                    <w:rPr>
                      <w:rFonts w:hint="default" w:ascii="Times New Roman" w:hAnsi="Times New Roman" w:cs="Times New Roman"/>
                      <w:color w:val="auto"/>
                      <w:sz w:val="18"/>
                      <w:szCs w:val="18"/>
                    </w:rPr>
                    <w:t>%</w:t>
                  </w:r>
                </w:p>
              </w:tc>
              <w:tc>
                <w:tcPr>
                  <w:tcW w:w="200" w:type="pct"/>
                  <w:vMerge w:val="continue"/>
                  <w:shd w:val="clear" w:color="auto" w:fill="auto"/>
                  <w:noWrap w:val="0"/>
                  <w:vAlign w:val="center"/>
                </w:tcPr>
                <w:p w14:paraId="0BF5C459">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7D10B865">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6FBD0471">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204</w:t>
                  </w:r>
                </w:p>
              </w:tc>
              <w:tc>
                <w:tcPr>
                  <w:tcW w:w="224" w:type="pct"/>
                  <w:shd w:val="clear" w:color="auto" w:fill="auto"/>
                  <w:noWrap w:val="0"/>
                  <w:vAlign w:val="center"/>
                </w:tcPr>
                <w:p w14:paraId="03A314B6">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0.034 </w:t>
                  </w:r>
                </w:p>
              </w:tc>
              <w:tc>
                <w:tcPr>
                  <w:tcW w:w="172" w:type="pct"/>
                  <w:vMerge w:val="continue"/>
                  <w:shd w:val="clear" w:color="auto" w:fill="auto"/>
                  <w:noWrap w:val="0"/>
                  <w:vAlign w:val="center"/>
                </w:tcPr>
                <w:p w14:paraId="5EB3719D">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66B96446">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32D328ED">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071EF765">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5328521E">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67DEA265">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7F987897">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6A864017">
                  <w:pPr>
                    <w:pStyle w:val="96"/>
                    <w:spacing w:line="240" w:lineRule="exact"/>
                    <w:rPr>
                      <w:rFonts w:hint="default" w:ascii="Times New Roman" w:hAnsi="Times New Roman" w:cs="Times New Roman"/>
                      <w:color w:val="auto"/>
                      <w:sz w:val="18"/>
                      <w:szCs w:val="18"/>
                    </w:rPr>
                  </w:pPr>
                  <w:r>
                    <w:rPr>
                      <w:rFonts w:hint="eastAsia" w:cs="Times New Roman"/>
                      <w:color w:val="auto"/>
                      <w:sz w:val="18"/>
                      <w:szCs w:val="18"/>
                      <w:lang w:val="en-US" w:eastAsia="zh-CN"/>
                    </w:rPr>
                    <w:t>4</w:t>
                  </w:r>
                  <w:r>
                    <w:rPr>
                      <w:rFonts w:hint="default" w:ascii="Times New Roman" w:hAnsi="Times New Roman" w:cs="Times New Roman"/>
                      <w:color w:val="auto"/>
                      <w:sz w:val="18"/>
                      <w:szCs w:val="18"/>
                    </w:rPr>
                    <w:t>00</w:t>
                  </w:r>
                </w:p>
              </w:tc>
            </w:tr>
            <w:tr w14:paraId="0B909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5B9E6175">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7990A3CF">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24B1610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BOD</w:t>
                  </w:r>
                  <w:r>
                    <w:rPr>
                      <w:rFonts w:hint="default" w:ascii="Times New Roman" w:hAnsi="Times New Roman" w:cs="Times New Roman"/>
                      <w:color w:val="auto"/>
                      <w:sz w:val="18"/>
                      <w:szCs w:val="18"/>
                      <w:vertAlign w:val="subscript"/>
                    </w:rPr>
                    <w:t>5</w:t>
                  </w:r>
                </w:p>
              </w:tc>
              <w:tc>
                <w:tcPr>
                  <w:tcW w:w="108" w:type="pct"/>
                  <w:vMerge w:val="continue"/>
                  <w:shd w:val="clear" w:color="auto" w:fill="auto"/>
                  <w:noWrap w:val="0"/>
                  <w:vAlign w:val="center"/>
                </w:tcPr>
                <w:p w14:paraId="5DE0FFDC">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224BB50E">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380B116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200</w:t>
                  </w:r>
                </w:p>
              </w:tc>
              <w:tc>
                <w:tcPr>
                  <w:tcW w:w="255" w:type="pct"/>
                  <w:shd w:val="clear" w:color="auto" w:fill="auto"/>
                  <w:noWrap w:val="0"/>
                  <w:vAlign w:val="center"/>
                </w:tcPr>
                <w:p w14:paraId="577A97DF">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0.034 </w:t>
                  </w:r>
                </w:p>
              </w:tc>
              <w:tc>
                <w:tcPr>
                  <w:tcW w:w="210" w:type="pct"/>
                  <w:vMerge w:val="continue"/>
                  <w:shd w:val="clear" w:color="auto" w:fill="auto"/>
                  <w:noWrap w:val="0"/>
                  <w:vAlign w:val="center"/>
                </w:tcPr>
                <w:p w14:paraId="55474742">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048709E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22</w:t>
                  </w:r>
                  <w:r>
                    <w:rPr>
                      <w:rFonts w:hint="default" w:ascii="Times New Roman" w:hAnsi="Times New Roman" w:cs="Times New Roman"/>
                      <w:bCs/>
                      <w:color w:val="auto"/>
                      <w:sz w:val="18"/>
                      <w:szCs w:val="18"/>
                    </w:rPr>
                    <w:t>%</w:t>
                  </w:r>
                </w:p>
              </w:tc>
              <w:tc>
                <w:tcPr>
                  <w:tcW w:w="200" w:type="pct"/>
                  <w:vMerge w:val="continue"/>
                  <w:shd w:val="clear" w:color="auto" w:fill="auto"/>
                  <w:noWrap w:val="0"/>
                  <w:vAlign w:val="center"/>
                </w:tcPr>
                <w:p w14:paraId="0C0319C4">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23206EEF">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3052CF9E">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156</w:t>
                  </w:r>
                </w:p>
              </w:tc>
              <w:tc>
                <w:tcPr>
                  <w:tcW w:w="224" w:type="pct"/>
                  <w:shd w:val="clear" w:color="auto" w:fill="auto"/>
                  <w:noWrap w:val="0"/>
                  <w:vAlign w:val="center"/>
                </w:tcPr>
                <w:p w14:paraId="5164A9DA">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0.027 </w:t>
                  </w:r>
                </w:p>
              </w:tc>
              <w:tc>
                <w:tcPr>
                  <w:tcW w:w="172" w:type="pct"/>
                  <w:vMerge w:val="continue"/>
                  <w:shd w:val="clear" w:color="auto" w:fill="auto"/>
                  <w:noWrap w:val="0"/>
                  <w:vAlign w:val="center"/>
                </w:tcPr>
                <w:p w14:paraId="3B4B7199">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5EE06D02">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49F08836">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4B700157">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583CB24D">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2A64A410">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5BA55F9A">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16CBB656">
                  <w:pPr>
                    <w:pStyle w:val="96"/>
                    <w:spacing w:line="240" w:lineRule="exact"/>
                    <w:rPr>
                      <w:rFonts w:hint="default" w:ascii="Times New Roman" w:hAnsi="Times New Roman" w:cs="Times New Roman"/>
                      <w:color w:val="auto"/>
                      <w:sz w:val="18"/>
                      <w:szCs w:val="18"/>
                    </w:rPr>
                  </w:pPr>
                  <w:r>
                    <w:rPr>
                      <w:rFonts w:hint="eastAsia" w:cs="Times New Roman"/>
                      <w:color w:val="auto"/>
                      <w:sz w:val="18"/>
                      <w:szCs w:val="18"/>
                      <w:lang w:val="en-US" w:eastAsia="zh-CN"/>
                    </w:rPr>
                    <w:t>18</w:t>
                  </w:r>
                  <w:r>
                    <w:rPr>
                      <w:rFonts w:hint="default" w:ascii="Times New Roman" w:hAnsi="Times New Roman" w:cs="Times New Roman"/>
                      <w:color w:val="auto"/>
                      <w:sz w:val="18"/>
                      <w:szCs w:val="18"/>
                    </w:rPr>
                    <w:t>0</w:t>
                  </w:r>
                </w:p>
              </w:tc>
            </w:tr>
            <w:tr w14:paraId="405D2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74" w:hRule="atLeast"/>
                <w:jc w:val="center"/>
              </w:trPr>
              <w:tc>
                <w:tcPr>
                  <w:tcW w:w="152" w:type="pct"/>
                  <w:vMerge w:val="continue"/>
                  <w:shd w:val="clear" w:color="auto" w:fill="auto"/>
                  <w:noWrap w:val="0"/>
                  <w:vAlign w:val="center"/>
                </w:tcPr>
                <w:p w14:paraId="5494B807">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061098A1">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367986C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SS</w:t>
                  </w:r>
                </w:p>
              </w:tc>
              <w:tc>
                <w:tcPr>
                  <w:tcW w:w="108" w:type="pct"/>
                  <w:vMerge w:val="continue"/>
                  <w:shd w:val="clear" w:color="auto" w:fill="auto"/>
                  <w:noWrap w:val="0"/>
                  <w:vAlign w:val="center"/>
                </w:tcPr>
                <w:p w14:paraId="0C7805F2">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1DDA8468">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7D1564D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220</w:t>
                  </w:r>
                </w:p>
              </w:tc>
              <w:tc>
                <w:tcPr>
                  <w:tcW w:w="255" w:type="pct"/>
                  <w:shd w:val="clear" w:color="auto" w:fill="auto"/>
                  <w:noWrap w:val="0"/>
                  <w:vAlign w:val="center"/>
                </w:tcPr>
                <w:p w14:paraId="5DC059DF">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0.037 </w:t>
                  </w:r>
                </w:p>
              </w:tc>
              <w:tc>
                <w:tcPr>
                  <w:tcW w:w="210" w:type="pct"/>
                  <w:vMerge w:val="continue"/>
                  <w:shd w:val="clear" w:color="auto" w:fill="auto"/>
                  <w:noWrap w:val="0"/>
                  <w:vAlign w:val="center"/>
                </w:tcPr>
                <w:p w14:paraId="3D65F7D4">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6339578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60</w:t>
                  </w:r>
                  <w:r>
                    <w:rPr>
                      <w:rFonts w:hint="default" w:ascii="Times New Roman" w:hAnsi="Times New Roman" w:cs="Times New Roman"/>
                      <w:bCs/>
                      <w:color w:val="auto"/>
                      <w:sz w:val="18"/>
                      <w:szCs w:val="18"/>
                    </w:rPr>
                    <w:t>%</w:t>
                  </w:r>
                </w:p>
              </w:tc>
              <w:tc>
                <w:tcPr>
                  <w:tcW w:w="200" w:type="pct"/>
                  <w:vMerge w:val="continue"/>
                  <w:shd w:val="clear" w:color="auto" w:fill="auto"/>
                  <w:noWrap w:val="0"/>
                  <w:vAlign w:val="center"/>
                </w:tcPr>
                <w:p w14:paraId="616E5622">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30FC6F84">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2EB86912">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88</w:t>
                  </w:r>
                </w:p>
              </w:tc>
              <w:tc>
                <w:tcPr>
                  <w:tcW w:w="224" w:type="pct"/>
                  <w:shd w:val="clear" w:color="auto" w:fill="auto"/>
                  <w:noWrap w:val="0"/>
                  <w:vAlign w:val="center"/>
                </w:tcPr>
                <w:p w14:paraId="3748EADE">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0.015 </w:t>
                  </w:r>
                </w:p>
              </w:tc>
              <w:tc>
                <w:tcPr>
                  <w:tcW w:w="172" w:type="pct"/>
                  <w:vMerge w:val="continue"/>
                  <w:shd w:val="clear" w:color="auto" w:fill="auto"/>
                  <w:noWrap w:val="0"/>
                  <w:vAlign w:val="center"/>
                </w:tcPr>
                <w:p w14:paraId="2B5F97B8">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5E3AB296">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1900BB76">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3E267138">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54A6FDDA">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6139C425">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5DC1BA57">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73E9BBE4">
                  <w:pPr>
                    <w:pStyle w:val="96"/>
                    <w:spacing w:line="240" w:lineRule="exact"/>
                    <w:rPr>
                      <w:rFonts w:hint="default" w:ascii="Times New Roman" w:hAnsi="Times New Roman" w:cs="Times New Roman"/>
                      <w:color w:val="auto"/>
                      <w:sz w:val="18"/>
                      <w:szCs w:val="18"/>
                    </w:rPr>
                  </w:pPr>
                  <w:r>
                    <w:rPr>
                      <w:rFonts w:hint="eastAsia" w:cs="Times New Roman"/>
                      <w:color w:val="auto"/>
                      <w:sz w:val="18"/>
                      <w:szCs w:val="18"/>
                      <w:lang w:val="en-US" w:eastAsia="zh-CN"/>
                    </w:rPr>
                    <w:t>3</w:t>
                  </w:r>
                  <w:r>
                    <w:rPr>
                      <w:rFonts w:hint="default" w:ascii="Times New Roman" w:hAnsi="Times New Roman" w:cs="Times New Roman"/>
                      <w:color w:val="auto"/>
                      <w:sz w:val="18"/>
                      <w:szCs w:val="18"/>
                    </w:rPr>
                    <w:t>00</w:t>
                  </w:r>
                </w:p>
              </w:tc>
            </w:tr>
            <w:tr w14:paraId="163F0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2413D47E">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7DB51336">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3D69BBB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w:t>
                  </w:r>
                </w:p>
              </w:tc>
              <w:tc>
                <w:tcPr>
                  <w:tcW w:w="108" w:type="pct"/>
                  <w:vMerge w:val="continue"/>
                  <w:shd w:val="clear" w:color="auto" w:fill="auto"/>
                  <w:noWrap w:val="0"/>
                  <w:vAlign w:val="center"/>
                </w:tcPr>
                <w:p w14:paraId="327DD9DE">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4E9B0E33">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0789E58B">
                  <w:pPr>
                    <w:adjustRightInd w:val="0"/>
                    <w:snapToGrid w:val="0"/>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rPr>
                    <w:t>32.</w:t>
                  </w:r>
                  <w:r>
                    <w:rPr>
                      <w:rFonts w:hint="default" w:ascii="Times New Roman" w:hAnsi="Times New Roman" w:cs="Times New Roman"/>
                      <w:bCs/>
                      <w:color w:val="auto"/>
                      <w:sz w:val="18"/>
                      <w:szCs w:val="18"/>
                      <w:lang w:val="en-US" w:eastAsia="zh-CN"/>
                    </w:rPr>
                    <w:t>6</w:t>
                  </w:r>
                </w:p>
              </w:tc>
              <w:tc>
                <w:tcPr>
                  <w:tcW w:w="255" w:type="pct"/>
                  <w:shd w:val="clear" w:color="auto" w:fill="auto"/>
                  <w:noWrap w:val="0"/>
                  <w:vAlign w:val="center"/>
                </w:tcPr>
                <w:p w14:paraId="66FE3AC8">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0.005 </w:t>
                  </w:r>
                </w:p>
              </w:tc>
              <w:tc>
                <w:tcPr>
                  <w:tcW w:w="210" w:type="pct"/>
                  <w:vMerge w:val="continue"/>
                  <w:shd w:val="clear" w:color="auto" w:fill="auto"/>
                  <w:noWrap w:val="0"/>
                  <w:vAlign w:val="center"/>
                </w:tcPr>
                <w:p w14:paraId="65CFEAB2">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219FB59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10</w:t>
                  </w:r>
                  <w:r>
                    <w:rPr>
                      <w:rFonts w:hint="default" w:ascii="Times New Roman" w:hAnsi="Times New Roman" w:cs="Times New Roman"/>
                      <w:bCs/>
                      <w:color w:val="auto"/>
                      <w:sz w:val="18"/>
                      <w:szCs w:val="18"/>
                    </w:rPr>
                    <w:t>%</w:t>
                  </w:r>
                </w:p>
              </w:tc>
              <w:tc>
                <w:tcPr>
                  <w:tcW w:w="200" w:type="pct"/>
                  <w:vMerge w:val="continue"/>
                  <w:shd w:val="clear" w:color="auto" w:fill="auto"/>
                  <w:noWrap w:val="0"/>
                  <w:vAlign w:val="center"/>
                </w:tcPr>
                <w:p w14:paraId="00FD23D4">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37BAD58F">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3C664F13">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29.34</w:t>
                  </w:r>
                </w:p>
              </w:tc>
              <w:tc>
                <w:tcPr>
                  <w:tcW w:w="224" w:type="pct"/>
                  <w:shd w:val="clear" w:color="auto" w:fill="auto"/>
                  <w:noWrap w:val="0"/>
                  <w:vAlign w:val="center"/>
                </w:tcPr>
                <w:p w14:paraId="25542D4F">
                  <w:pPr>
                    <w:keepNext w:val="0"/>
                    <w:keepLines w:val="0"/>
                    <w:widowControl/>
                    <w:suppressLineNumbers w:val="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0.005 </w:t>
                  </w:r>
                </w:p>
              </w:tc>
              <w:tc>
                <w:tcPr>
                  <w:tcW w:w="172" w:type="pct"/>
                  <w:vMerge w:val="continue"/>
                  <w:shd w:val="clear" w:color="auto" w:fill="auto"/>
                  <w:noWrap w:val="0"/>
                  <w:vAlign w:val="center"/>
                </w:tcPr>
                <w:p w14:paraId="50A87651">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5B9369B3">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3D65B1EC">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7BDE44FD">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3272379E">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6FA7A95D">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263A43F0">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05FF948E">
                  <w:pPr>
                    <w:pStyle w:val="96"/>
                    <w:spacing w:line="240" w:lineRule="exact"/>
                    <w:rPr>
                      <w:rFonts w:hint="default" w:ascii="Times New Roman" w:hAnsi="Times New Roman" w:cs="Times New Roman"/>
                      <w:color w:val="auto"/>
                      <w:sz w:val="18"/>
                      <w:szCs w:val="18"/>
                    </w:rPr>
                  </w:pPr>
                  <w:r>
                    <w:rPr>
                      <w:rFonts w:hint="eastAsia" w:cs="Times New Roman"/>
                      <w:color w:val="auto"/>
                      <w:sz w:val="18"/>
                      <w:szCs w:val="18"/>
                      <w:lang w:val="en-US" w:eastAsia="zh-CN"/>
                    </w:rPr>
                    <w:t>3</w:t>
                  </w:r>
                  <w:r>
                    <w:rPr>
                      <w:rFonts w:hint="default" w:ascii="Times New Roman" w:hAnsi="Times New Roman" w:cs="Times New Roman"/>
                      <w:color w:val="auto"/>
                      <w:sz w:val="18"/>
                      <w:szCs w:val="18"/>
                    </w:rPr>
                    <w:t>5</w:t>
                  </w:r>
                </w:p>
              </w:tc>
            </w:tr>
            <w:tr w14:paraId="565A3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2" w:type="pct"/>
                  <w:vMerge w:val="restart"/>
                  <w:shd w:val="clear" w:color="auto" w:fill="auto"/>
                  <w:noWrap w:val="0"/>
                  <w:vAlign w:val="center"/>
                </w:tcPr>
                <w:p w14:paraId="61BAA961">
                  <w:pPr>
                    <w:pStyle w:val="96"/>
                    <w:spacing w:line="24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破碎、清洗</w:t>
                  </w:r>
                </w:p>
              </w:tc>
              <w:tc>
                <w:tcPr>
                  <w:tcW w:w="86" w:type="pct"/>
                  <w:vMerge w:val="restart"/>
                  <w:shd w:val="clear" w:color="auto" w:fill="auto"/>
                  <w:noWrap w:val="0"/>
                  <w:vAlign w:val="center"/>
                </w:tcPr>
                <w:p w14:paraId="397307F8">
                  <w:pPr>
                    <w:pStyle w:val="96"/>
                    <w:spacing w:line="240" w:lineRule="exact"/>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生产废水</w:t>
                  </w:r>
                </w:p>
              </w:tc>
              <w:tc>
                <w:tcPr>
                  <w:tcW w:w="253" w:type="pct"/>
                  <w:shd w:val="clear" w:color="auto" w:fill="auto"/>
                  <w:noWrap w:val="0"/>
                  <w:vAlign w:val="center"/>
                </w:tcPr>
                <w:p w14:paraId="499088B7">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pacing w:val="0"/>
                      <w:sz w:val="18"/>
                      <w:szCs w:val="18"/>
                      <w:vertAlign w:val="baseline"/>
                      <w:lang w:val="en-US" w:eastAsia="zh-CN"/>
                    </w:rPr>
                    <w:t>COD</w:t>
                  </w:r>
                </w:p>
              </w:tc>
              <w:tc>
                <w:tcPr>
                  <w:tcW w:w="108" w:type="pct"/>
                  <w:vMerge w:val="restart"/>
                  <w:shd w:val="clear" w:color="auto" w:fill="auto"/>
                  <w:noWrap w:val="0"/>
                  <w:vAlign w:val="center"/>
                </w:tcPr>
                <w:p w14:paraId="568EB0C5">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产污系数法</w:t>
                  </w:r>
                </w:p>
              </w:tc>
              <w:tc>
                <w:tcPr>
                  <w:tcW w:w="242" w:type="pct"/>
                  <w:vMerge w:val="restart"/>
                  <w:shd w:val="clear" w:color="auto" w:fill="auto"/>
                  <w:noWrap w:val="0"/>
                  <w:vAlign w:val="center"/>
                </w:tcPr>
                <w:p w14:paraId="13695521">
                  <w:pPr>
                    <w:pStyle w:val="96"/>
                    <w:spacing w:line="240" w:lineRule="exac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w:t>
                  </w:r>
                  <w:r>
                    <w:rPr>
                      <w:rFonts w:hint="eastAsia" w:cs="Times New Roman"/>
                      <w:color w:val="auto"/>
                      <w:sz w:val="18"/>
                      <w:szCs w:val="18"/>
                      <w:lang w:val="en-US" w:eastAsia="zh-CN"/>
                    </w:rPr>
                    <w:t>649.2</w:t>
                  </w:r>
                </w:p>
              </w:tc>
              <w:tc>
                <w:tcPr>
                  <w:tcW w:w="190" w:type="pct"/>
                  <w:shd w:val="clear" w:color="auto" w:fill="auto"/>
                  <w:noWrap w:val="0"/>
                  <w:vAlign w:val="center"/>
                </w:tcPr>
                <w:p w14:paraId="163B4F3A">
                  <w:pPr>
                    <w:keepNext w:val="0"/>
                    <w:keepLines w:val="0"/>
                    <w:widowControl/>
                    <w:suppressLineNumbers w:val="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418</w:t>
                  </w:r>
                </w:p>
              </w:tc>
              <w:tc>
                <w:tcPr>
                  <w:tcW w:w="255" w:type="pct"/>
                  <w:shd w:val="clear" w:color="auto" w:fill="auto"/>
                  <w:noWrap w:val="0"/>
                  <w:vAlign w:val="center"/>
                </w:tcPr>
                <w:p w14:paraId="14662B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4.377</w:t>
                  </w:r>
                </w:p>
              </w:tc>
              <w:tc>
                <w:tcPr>
                  <w:tcW w:w="210" w:type="pct"/>
                  <w:vMerge w:val="restart"/>
                  <w:shd w:val="clear" w:color="auto" w:fill="auto"/>
                  <w:noWrap w:val="0"/>
                  <w:vAlign w:val="center"/>
                </w:tcPr>
                <w:p w14:paraId="1E55A5A3">
                  <w:pPr>
                    <w:pStyle w:val="96"/>
                    <w:spacing w:line="240" w:lineRule="exact"/>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/d</w:t>
                  </w:r>
                </w:p>
              </w:tc>
              <w:tc>
                <w:tcPr>
                  <w:tcW w:w="234" w:type="pct"/>
                  <w:shd w:val="clear" w:color="auto" w:fill="auto"/>
                  <w:noWrap w:val="0"/>
                  <w:vAlign w:val="center"/>
                </w:tcPr>
                <w:p w14:paraId="39EAC49F">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90%</w:t>
                  </w:r>
                </w:p>
              </w:tc>
              <w:tc>
                <w:tcPr>
                  <w:tcW w:w="200" w:type="pct"/>
                  <w:vMerge w:val="restart"/>
                  <w:shd w:val="clear" w:color="auto" w:fill="auto"/>
                  <w:noWrap w:val="0"/>
                  <w:vAlign w:val="center"/>
                </w:tcPr>
                <w:p w14:paraId="21714350">
                  <w:pPr>
                    <w:pStyle w:val="96"/>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是</w:t>
                  </w:r>
                </w:p>
              </w:tc>
              <w:tc>
                <w:tcPr>
                  <w:tcW w:w="247" w:type="pct"/>
                  <w:vMerge w:val="restart"/>
                  <w:shd w:val="clear" w:color="auto" w:fill="auto"/>
                  <w:noWrap w:val="0"/>
                  <w:vAlign w:val="center"/>
                </w:tcPr>
                <w:p w14:paraId="6828EACE">
                  <w:pPr>
                    <w:pStyle w:val="96"/>
                    <w:spacing w:line="240" w:lineRule="exact"/>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1217.2</w:t>
                  </w:r>
                </w:p>
              </w:tc>
              <w:tc>
                <w:tcPr>
                  <w:tcW w:w="223" w:type="pct"/>
                  <w:shd w:val="clear" w:color="auto" w:fill="auto"/>
                  <w:noWrap w:val="0"/>
                  <w:vAlign w:val="center"/>
                </w:tcPr>
                <w:p w14:paraId="2A44A5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41.8 </w:t>
                  </w:r>
                </w:p>
              </w:tc>
              <w:tc>
                <w:tcPr>
                  <w:tcW w:w="224" w:type="pct"/>
                  <w:shd w:val="clear" w:color="auto" w:fill="auto"/>
                  <w:noWrap w:val="0"/>
                  <w:vAlign w:val="center"/>
                </w:tcPr>
                <w:p w14:paraId="456A8F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051</w:t>
                  </w:r>
                </w:p>
              </w:tc>
              <w:tc>
                <w:tcPr>
                  <w:tcW w:w="172" w:type="pct"/>
                  <w:vMerge w:val="continue"/>
                  <w:shd w:val="clear" w:color="auto" w:fill="auto"/>
                  <w:noWrap w:val="0"/>
                  <w:vAlign w:val="center"/>
                </w:tcPr>
                <w:p w14:paraId="7BCDECED">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52AE189C">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4B20B778">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40C06D81">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53755874">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0087D026">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1056F967">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649537BF">
                  <w:pPr>
                    <w:pStyle w:val="96"/>
                    <w:spacing w:line="240" w:lineRule="exact"/>
                    <w:rPr>
                      <w:rFonts w:hint="default" w:ascii="Times New Roman" w:hAnsi="Times New Roman" w:cs="Times New Roman"/>
                      <w:color w:val="auto"/>
                      <w:sz w:val="18"/>
                      <w:szCs w:val="18"/>
                    </w:rPr>
                  </w:pPr>
                  <w:r>
                    <w:rPr>
                      <w:rFonts w:hint="eastAsia" w:cs="Times New Roman"/>
                      <w:color w:val="auto"/>
                      <w:sz w:val="18"/>
                      <w:szCs w:val="18"/>
                      <w:lang w:val="en-US" w:eastAsia="zh-CN"/>
                    </w:rPr>
                    <w:t>4</w:t>
                  </w:r>
                  <w:r>
                    <w:rPr>
                      <w:rFonts w:hint="default" w:ascii="Times New Roman" w:hAnsi="Times New Roman" w:cs="Times New Roman"/>
                      <w:color w:val="auto"/>
                      <w:sz w:val="18"/>
                      <w:szCs w:val="18"/>
                    </w:rPr>
                    <w:t>00</w:t>
                  </w:r>
                </w:p>
              </w:tc>
            </w:tr>
            <w:tr w14:paraId="2F1FD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19D6939A">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0D339F66">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3ABC77FB">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18"/>
                      <w:szCs w:val="18"/>
                      <w:vertAlign w:val="baseline"/>
                      <w:lang w:val="en-US" w:eastAsia="zh-CN"/>
                    </w:rPr>
                  </w:pPr>
                  <w:r>
                    <w:rPr>
                      <w:rFonts w:hint="default" w:ascii="Times New Roman" w:hAnsi="Times New Roman" w:eastAsia="宋体" w:cs="Times New Roman"/>
                      <w:color w:val="auto"/>
                      <w:spacing w:val="0"/>
                      <w:sz w:val="21"/>
                      <w:szCs w:val="21"/>
                      <w:lang w:val="en-US" w:eastAsia="zh-CN"/>
                    </w:rPr>
                    <w:t>BOD</w:t>
                  </w:r>
                  <w:r>
                    <w:rPr>
                      <w:rFonts w:hint="default" w:ascii="Times New Roman" w:hAnsi="Times New Roman" w:eastAsia="宋体" w:cs="Times New Roman"/>
                      <w:color w:val="auto"/>
                      <w:spacing w:val="0"/>
                      <w:sz w:val="21"/>
                      <w:szCs w:val="21"/>
                      <w:vertAlign w:val="subscript"/>
                      <w:lang w:val="en-US" w:eastAsia="zh-CN"/>
                    </w:rPr>
                    <w:t>5</w:t>
                  </w:r>
                </w:p>
              </w:tc>
              <w:tc>
                <w:tcPr>
                  <w:tcW w:w="108" w:type="pct"/>
                  <w:vMerge w:val="continue"/>
                  <w:shd w:val="clear" w:color="auto" w:fill="auto"/>
                  <w:noWrap w:val="0"/>
                  <w:vAlign w:val="center"/>
                </w:tcPr>
                <w:p w14:paraId="4509BE01">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5CA407F3">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46B1D8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150</w:t>
                  </w:r>
                </w:p>
              </w:tc>
              <w:tc>
                <w:tcPr>
                  <w:tcW w:w="255" w:type="pct"/>
                  <w:shd w:val="clear" w:color="auto" w:fill="auto"/>
                  <w:noWrap w:val="0"/>
                  <w:vAlign w:val="center"/>
                </w:tcPr>
                <w:p w14:paraId="20C33B8B">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1.60</w:t>
                  </w:r>
                </w:p>
              </w:tc>
              <w:tc>
                <w:tcPr>
                  <w:tcW w:w="210" w:type="pct"/>
                  <w:vMerge w:val="continue"/>
                  <w:shd w:val="clear" w:color="auto" w:fill="auto"/>
                  <w:noWrap w:val="0"/>
                  <w:vAlign w:val="center"/>
                </w:tcPr>
                <w:p w14:paraId="3C58E7E6">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3DDCFF90">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80%</w:t>
                  </w:r>
                </w:p>
              </w:tc>
              <w:tc>
                <w:tcPr>
                  <w:tcW w:w="200" w:type="pct"/>
                  <w:vMerge w:val="continue"/>
                  <w:shd w:val="clear" w:color="auto" w:fill="auto"/>
                  <w:noWrap w:val="0"/>
                  <w:vAlign w:val="center"/>
                </w:tcPr>
                <w:p w14:paraId="3DA369D3">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6933CDF7">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3C1CAE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30</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224" w:type="pct"/>
                  <w:shd w:val="clear" w:color="auto" w:fill="auto"/>
                  <w:noWrap w:val="0"/>
                  <w:vAlign w:val="center"/>
                </w:tcPr>
                <w:p w14:paraId="4F8DFC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0.037</w:t>
                  </w:r>
                </w:p>
              </w:tc>
              <w:tc>
                <w:tcPr>
                  <w:tcW w:w="172" w:type="pct"/>
                  <w:vMerge w:val="continue"/>
                  <w:shd w:val="clear" w:color="auto" w:fill="auto"/>
                  <w:noWrap w:val="0"/>
                  <w:vAlign w:val="center"/>
                </w:tcPr>
                <w:p w14:paraId="6010E5DA">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61D84B99">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697B0A79">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5DDD3935">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38BCFFBF">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48C10FC5">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004D070E">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70BC3C14">
                  <w:pPr>
                    <w:pStyle w:val="96"/>
                    <w:spacing w:line="240" w:lineRule="exact"/>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18</w:t>
                  </w:r>
                  <w:r>
                    <w:rPr>
                      <w:rFonts w:hint="default" w:ascii="Times New Roman" w:hAnsi="Times New Roman" w:cs="Times New Roman"/>
                      <w:color w:val="auto"/>
                      <w:sz w:val="18"/>
                      <w:szCs w:val="18"/>
                    </w:rPr>
                    <w:t>0</w:t>
                  </w:r>
                </w:p>
              </w:tc>
            </w:tr>
            <w:tr w14:paraId="229EA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04ABC594">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4353802B">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4AA491DE">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spacing w:val="0"/>
                      <w:sz w:val="18"/>
                      <w:szCs w:val="18"/>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SS</w:t>
                  </w:r>
                </w:p>
              </w:tc>
              <w:tc>
                <w:tcPr>
                  <w:tcW w:w="108" w:type="pct"/>
                  <w:vMerge w:val="continue"/>
                  <w:shd w:val="clear" w:color="auto" w:fill="auto"/>
                  <w:noWrap w:val="0"/>
                  <w:vAlign w:val="center"/>
                </w:tcPr>
                <w:p w14:paraId="703164E1">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11BACCB0">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2FA2B3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300</w:t>
                  </w:r>
                </w:p>
              </w:tc>
              <w:tc>
                <w:tcPr>
                  <w:tcW w:w="255" w:type="pct"/>
                  <w:shd w:val="clear" w:color="auto" w:fill="auto"/>
                  <w:noWrap w:val="0"/>
                  <w:vAlign w:val="center"/>
                </w:tcPr>
                <w:p w14:paraId="1B20D598">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3.19</w:t>
                  </w:r>
                </w:p>
              </w:tc>
              <w:tc>
                <w:tcPr>
                  <w:tcW w:w="210" w:type="pct"/>
                  <w:vMerge w:val="continue"/>
                  <w:shd w:val="clear" w:color="auto" w:fill="auto"/>
                  <w:noWrap w:val="0"/>
                  <w:vAlign w:val="center"/>
                </w:tcPr>
                <w:p w14:paraId="5028A5E8">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4C8FA8FD">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90%</w:t>
                  </w:r>
                </w:p>
              </w:tc>
              <w:tc>
                <w:tcPr>
                  <w:tcW w:w="200" w:type="pct"/>
                  <w:vMerge w:val="continue"/>
                  <w:shd w:val="clear" w:color="auto" w:fill="auto"/>
                  <w:noWrap w:val="0"/>
                  <w:vAlign w:val="center"/>
                </w:tcPr>
                <w:p w14:paraId="118BCC0B">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79491556">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3B2535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30</w:t>
                  </w:r>
                </w:p>
              </w:tc>
              <w:tc>
                <w:tcPr>
                  <w:tcW w:w="224" w:type="pct"/>
                  <w:shd w:val="clear" w:color="auto" w:fill="auto"/>
                  <w:noWrap w:val="0"/>
                  <w:vAlign w:val="center"/>
                </w:tcPr>
                <w:p w14:paraId="317924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0.037</w:t>
                  </w:r>
                </w:p>
              </w:tc>
              <w:tc>
                <w:tcPr>
                  <w:tcW w:w="172" w:type="pct"/>
                  <w:vMerge w:val="continue"/>
                  <w:shd w:val="clear" w:color="auto" w:fill="auto"/>
                  <w:noWrap w:val="0"/>
                  <w:vAlign w:val="center"/>
                </w:tcPr>
                <w:p w14:paraId="78132241">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140DDCF3">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34280613">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504DB230">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64158088">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4084AD35">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17B680C1">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270B9E8B">
                  <w:pPr>
                    <w:pStyle w:val="96"/>
                    <w:spacing w:line="240" w:lineRule="exact"/>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w:t>
                  </w:r>
                  <w:r>
                    <w:rPr>
                      <w:rFonts w:hint="default" w:ascii="Times New Roman" w:hAnsi="Times New Roman" w:cs="Times New Roman"/>
                      <w:color w:val="auto"/>
                      <w:sz w:val="18"/>
                      <w:szCs w:val="18"/>
                    </w:rPr>
                    <w:t>00</w:t>
                  </w:r>
                </w:p>
              </w:tc>
            </w:tr>
            <w:tr w14:paraId="743F4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48CAC7F5">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3239FFBE">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2EA50288">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pacing w:val="0"/>
                      <w:sz w:val="18"/>
                      <w:szCs w:val="18"/>
                      <w:vertAlign w:val="baseline"/>
                      <w:lang w:val="en-US" w:eastAsia="zh-CN"/>
                    </w:rPr>
                    <w:t>NH</w:t>
                  </w:r>
                  <w:r>
                    <w:rPr>
                      <w:rFonts w:hint="default" w:ascii="Times New Roman" w:hAnsi="Times New Roman" w:eastAsia="宋体" w:cs="Times New Roman"/>
                      <w:color w:val="auto"/>
                      <w:spacing w:val="0"/>
                      <w:sz w:val="18"/>
                      <w:szCs w:val="18"/>
                      <w:vertAlign w:val="subscript"/>
                      <w:lang w:val="en-US" w:eastAsia="zh-CN"/>
                    </w:rPr>
                    <w:t>3</w:t>
                  </w:r>
                  <w:r>
                    <w:rPr>
                      <w:rFonts w:hint="default" w:ascii="Times New Roman" w:hAnsi="Times New Roman" w:eastAsia="宋体" w:cs="Times New Roman"/>
                      <w:color w:val="auto"/>
                      <w:spacing w:val="0"/>
                      <w:sz w:val="18"/>
                      <w:szCs w:val="18"/>
                      <w:vertAlign w:val="baseline"/>
                      <w:lang w:val="en-US" w:eastAsia="zh-CN"/>
                    </w:rPr>
                    <w:t>-N</w:t>
                  </w:r>
                </w:p>
              </w:tc>
              <w:tc>
                <w:tcPr>
                  <w:tcW w:w="108" w:type="pct"/>
                  <w:vMerge w:val="continue"/>
                  <w:shd w:val="clear" w:color="auto" w:fill="auto"/>
                  <w:noWrap w:val="0"/>
                  <w:vAlign w:val="center"/>
                </w:tcPr>
                <w:p w14:paraId="2BC135D8">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1D4E9946">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6AA11281">
                  <w:pPr>
                    <w:keepNext w:val="0"/>
                    <w:keepLines w:val="0"/>
                    <w:widowControl/>
                    <w:suppressLineNumbers w:val="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23</w:t>
                  </w:r>
                </w:p>
              </w:tc>
              <w:tc>
                <w:tcPr>
                  <w:tcW w:w="255" w:type="pct"/>
                  <w:shd w:val="clear" w:color="auto" w:fill="auto"/>
                  <w:noWrap w:val="0"/>
                  <w:vAlign w:val="center"/>
                </w:tcPr>
                <w:p w14:paraId="44D5E1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0.242</w:t>
                  </w:r>
                </w:p>
              </w:tc>
              <w:tc>
                <w:tcPr>
                  <w:tcW w:w="210" w:type="pct"/>
                  <w:vMerge w:val="continue"/>
                  <w:shd w:val="clear" w:color="auto" w:fill="auto"/>
                  <w:noWrap w:val="0"/>
                  <w:vAlign w:val="center"/>
                </w:tcPr>
                <w:p w14:paraId="552FC657">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0DF4DE17">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80%</w:t>
                  </w:r>
                </w:p>
              </w:tc>
              <w:tc>
                <w:tcPr>
                  <w:tcW w:w="200" w:type="pct"/>
                  <w:vMerge w:val="continue"/>
                  <w:shd w:val="clear" w:color="auto" w:fill="auto"/>
                  <w:noWrap w:val="0"/>
                  <w:vAlign w:val="center"/>
                </w:tcPr>
                <w:p w14:paraId="330CEC06">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2FC61422">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29FB44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4.6 </w:t>
                  </w:r>
                </w:p>
              </w:tc>
              <w:tc>
                <w:tcPr>
                  <w:tcW w:w="224" w:type="pct"/>
                  <w:shd w:val="clear" w:color="auto" w:fill="auto"/>
                  <w:noWrap w:val="0"/>
                  <w:vAlign w:val="center"/>
                </w:tcPr>
                <w:p w14:paraId="466539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0.006</w:t>
                  </w:r>
                </w:p>
              </w:tc>
              <w:tc>
                <w:tcPr>
                  <w:tcW w:w="172" w:type="pct"/>
                  <w:vMerge w:val="continue"/>
                  <w:shd w:val="clear" w:color="auto" w:fill="auto"/>
                  <w:noWrap w:val="0"/>
                  <w:vAlign w:val="center"/>
                </w:tcPr>
                <w:p w14:paraId="30822219">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2256860D">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1232105B">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3795AC98">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796A8D18">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0FC8C57F">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2B3BA97D">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3BEBF8E3">
                  <w:pPr>
                    <w:pStyle w:val="96"/>
                    <w:spacing w:line="240" w:lineRule="exact"/>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r>
                    <w:rPr>
                      <w:rFonts w:hint="default" w:ascii="Times New Roman" w:hAnsi="Times New Roman" w:cs="Times New Roman"/>
                      <w:color w:val="auto"/>
                      <w:sz w:val="18"/>
                      <w:szCs w:val="18"/>
                    </w:rPr>
                    <w:t>5</w:t>
                  </w:r>
                </w:p>
              </w:tc>
            </w:tr>
            <w:tr w14:paraId="33393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06391A26">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3E2A329F">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358ACC4D">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pacing w:val="0"/>
                      <w:sz w:val="18"/>
                      <w:szCs w:val="18"/>
                      <w:vertAlign w:val="baseline"/>
                      <w:lang w:val="en-US" w:eastAsia="zh-CN"/>
                    </w:rPr>
                    <w:t>石油类</w:t>
                  </w:r>
                </w:p>
              </w:tc>
              <w:tc>
                <w:tcPr>
                  <w:tcW w:w="108" w:type="pct"/>
                  <w:vMerge w:val="continue"/>
                  <w:shd w:val="clear" w:color="auto" w:fill="auto"/>
                  <w:noWrap w:val="0"/>
                  <w:vAlign w:val="center"/>
                </w:tcPr>
                <w:p w14:paraId="152CBFC2">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60078832">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3A1EB4E8">
                  <w:pPr>
                    <w:keepNext w:val="0"/>
                    <w:keepLines w:val="0"/>
                    <w:widowControl/>
                    <w:suppressLineNumbers w:val="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18</w:t>
                  </w:r>
                </w:p>
              </w:tc>
              <w:tc>
                <w:tcPr>
                  <w:tcW w:w="255" w:type="pct"/>
                  <w:shd w:val="clear" w:color="auto" w:fill="auto"/>
                  <w:noWrap w:val="0"/>
                  <w:vAlign w:val="center"/>
                </w:tcPr>
                <w:p w14:paraId="390DC3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0.192</w:t>
                  </w:r>
                </w:p>
              </w:tc>
              <w:tc>
                <w:tcPr>
                  <w:tcW w:w="210" w:type="pct"/>
                  <w:vMerge w:val="continue"/>
                  <w:shd w:val="clear" w:color="auto" w:fill="auto"/>
                  <w:noWrap w:val="0"/>
                  <w:vAlign w:val="center"/>
                </w:tcPr>
                <w:p w14:paraId="32525008">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036B36E6">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95%</w:t>
                  </w:r>
                </w:p>
              </w:tc>
              <w:tc>
                <w:tcPr>
                  <w:tcW w:w="200" w:type="pct"/>
                  <w:vMerge w:val="continue"/>
                  <w:shd w:val="clear" w:color="auto" w:fill="auto"/>
                  <w:noWrap w:val="0"/>
                  <w:vAlign w:val="center"/>
                </w:tcPr>
                <w:p w14:paraId="167BEC5E">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1E723F0C">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4A6F5D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0.9</w:t>
                  </w:r>
                </w:p>
              </w:tc>
              <w:tc>
                <w:tcPr>
                  <w:tcW w:w="224" w:type="pct"/>
                  <w:shd w:val="clear" w:color="auto" w:fill="auto"/>
                  <w:noWrap w:val="0"/>
                  <w:vAlign w:val="center"/>
                </w:tcPr>
                <w:p w14:paraId="102316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0.001</w:t>
                  </w:r>
                </w:p>
              </w:tc>
              <w:tc>
                <w:tcPr>
                  <w:tcW w:w="172" w:type="pct"/>
                  <w:vMerge w:val="continue"/>
                  <w:shd w:val="clear" w:color="auto" w:fill="auto"/>
                  <w:noWrap w:val="0"/>
                  <w:vAlign w:val="center"/>
                </w:tcPr>
                <w:p w14:paraId="2BC09719">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25382A50">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1C51FFFB">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64E6B965">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7C1C264B">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4AA3FF9C">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1E694547">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4533BB5D">
                  <w:pPr>
                    <w:pStyle w:val="96"/>
                    <w:spacing w:line="24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w:t>
                  </w:r>
                </w:p>
              </w:tc>
            </w:tr>
            <w:tr w14:paraId="1A5A0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446B8629">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1AE56B37">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208BE9D6">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pacing w:val="0"/>
                      <w:sz w:val="18"/>
                      <w:szCs w:val="18"/>
                      <w:vertAlign w:val="baseline"/>
                      <w:lang w:val="en-US" w:eastAsia="zh-CN"/>
                    </w:rPr>
                    <w:t>TN</w:t>
                  </w:r>
                </w:p>
              </w:tc>
              <w:tc>
                <w:tcPr>
                  <w:tcW w:w="108" w:type="pct"/>
                  <w:vMerge w:val="continue"/>
                  <w:shd w:val="clear" w:color="auto" w:fill="auto"/>
                  <w:noWrap w:val="0"/>
                  <w:vAlign w:val="center"/>
                </w:tcPr>
                <w:p w14:paraId="1F6D949B">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55AF9520">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5E23D650">
                  <w:pPr>
                    <w:keepNext w:val="0"/>
                    <w:keepLines w:val="0"/>
                    <w:widowControl/>
                    <w:suppressLineNumbers w:val="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36</w:t>
                  </w:r>
                </w:p>
              </w:tc>
              <w:tc>
                <w:tcPr>
                  <w:tcW w:w="255" w:type="pct"/>
                  <w:shd w:val="clear" w:color="auto" w:fill="auto"/>
                  <w:noWrap w:val="0"/>
                  <w:vAlign w:val="center"/>
                </w:tcPr>
                <w:p w14:paraId="19603A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0.38</w:t>
                  </w:r>
                </w:p>
              </w:tc>
              <w:tc>
                <w:tcPr>
                  <w:tcW w:w="210" w:type="pct"/>
                  <w:vMerge w:val="continue"/>
                  <w:shd w:val="clear" w:color="auto" w:fill="auto"/>
                  <w:noWrap w:val="0"/>
                  <w:vAlign w:val="center"/>
                </w:tcPr>
                <w:p w14:paraId="21EF4C8E">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1E4069B5">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60%</w:t>
                  </w:r>
                </w:p>
              </w:tc>
              <w:tc>
                <w:tcPr>
                  <w:tcW w:w="200" w:type="pct"/>
                  <w:vMerge w:val="continue"/>
                  <w:shd w:val="clear" w:color="auto" w:fill="auto"/>
                  <w:noWrap w:val="0"/>
                  <w:vAlign w:val="center"/>
                </w:tcPr>
                <w:p w14:paraId="043C1B0D">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45BD6371">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446B43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14.4 </w:t>
                  </w:r>
                </w:p>
              </w:tc>
              <w:tc>
                <w:tcPr>
                  <w:tcW w:w="224" w:type="pct"/>
                  <w:shd w:val="clear" w:color="auto" w:fill="auto"/>
                  <w:noWrap w:val="0"/>
                  <w:vAlign w:val="center"/>
                </w:tcPr>
                <w:p w14:paraId="102985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0.018</w:t>
                  </w:r>
                </w:p>
              </w:tc>
              <w:tc>
                <w:tcPr>
                  <w:tcW w:w="172" w:type="pct"/>
                  <w:vMerge w:val="continue"/>
                  <w:shd w:val="clear" w:color="auto" w:fill="auto"/>
                  <w:noWrap w:val="0"/>
                  <w:vAlign w:val="center"/>
                </w:tcPr>
                <w:p w14:paraId="2BA1773A">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6DA6CCCF">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7C62E491">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3F3A3483">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2EDF4C8F">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3235BE41">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6F971032">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5BC1E97A">
                  <w:pPr>
                    <w:pStyle w:val="96"/>
                    <w:spacing w:line="240" w:lineRule="exact"/>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45</w:t>
                  </w:r>
                </w:p>
              </w:tc>
            </w:tr>
            <w:tr w14:paraId="0718E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53424E52">
                  <w:pPr>
                    <w:pStyle w:val="96"/>
                    <w:spacing w:line="240" w:lineRule="exact"/>
                    <w:rPr>
                      <w:rFonts w:hint="default" w:ascii="Times New Roman" w:hAnsi="Times New Roman" w:cs="Times New Roman"/>
                      <w:bCs/>
                      <w:color w:val="auto"/>
                      <w:sz w:val="18"/>
                      <w:szCs w:val="18"/>
                    </w:rPr>
                  </w:pPr>
                </w:p>
              </w:tc>
              <w:tc>
                <w:tcPr>
                  <w:tcW w:w="86" w:type="pct"/>
                  <w:vMerge w:val="continue"/>
                  <w:shd w:val="clear" w:color="auto" w:fill="auto"/>
                  <w:noWrap w:val="0"/>
                  <w:vAlign w:val="center"/>
                </w:tcPr>
                <w:p w14:paraId="05395D34">
                  <w:pPr>
                    <w:pStyle w:val="96"/>
                    <w:spacing w:line="240" w:lineRule="exact"/>
                    <w:rPr>
                      <w:rFonts w:hint="default" w:ascii="Times New Roman" w:hAnsi="Times New Roman" w:cs="Times New Roman"/>
                      <w:bCs/>
                      <w:color w:val="auto"/>
                      <w:sz w:val="18"/>
                      <w:szCs w:val="18"/>
                    </w:rPr>
                  </w:pPr>
                </w:p>
              </w:tc>
              <w:tc>
                <w:tcPr>
                  <w:tcW w:w="253" w:type="pct"/>
                  <w:shd w:val="clear" w:color="auto" w:fill="auto"/>
                  <w:noWrap w:val="0"/>
                  <w:vAlign w:val="center"/>
                </w:tcPr>
                <w:p w14:paraId="3D16FB41">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pacing w:val="0"/>
                      <w:sz w:val="18"/>
                      <w:szCs w:val="18"/>
                      <w:vertAlign w:val="baseline"/>
                      <w:lang w:val="en-US" w:eastAsia="zh-CN"/>
                    </w:rPr>
                    <w:t>TP</w:t>
                  </w:r>
                </w:p>
              </w:tc>
              <w:tc>
                <w:tcPr>
                  <w:tcW w:w="108" w:type="pct"/>
                  <w:vMerge w:val="continue"/>
                  <w:shd w:val="clear" w:color="auto" w:fill="auto"/>
                  <w:noWrap w:val="0"/>
                  <w:vAlign w:val="center"/>
                </w:tcPr>
                <w:p w14:paraId="402DE8EC">
                  <w:pPr>
                    <w:pStyle w:val="96"/>
                    <w:spacing w:line="240" w:lineRule="exact"/>
                    <w:rPr>
                      <w:rFonts w:hint="default" w:ascii="Times New Roman" w:hAnsi="Times New Roman" w:cs="Times New Roman"/>
                      <w:color w:val="auto"/>
                      <w:sz w:val="18"/>
                      <w:szCs w:val="18"/>
                    </w:rPr>
                  </w:pPr>
                </w:p>
              </w:tc>
              <w:tc>
                <w:tcPr>
                  <w:tcW w:w="242" w:type="pct"/>
                  <w:vMerge w:val="continue"/>
                  <w:shd w:val="clear" w:color="auto" w:fill="auto"/>
                  <w:noWrap w:val="0"/>
                  <w:vAlign w:val="center"/>
                </w:tcPr>
                <w:p w14:paraId="73225DAF">
                  <w:pPr>
                    <w:pStyle w:val="96"/>
                    <w:spacing w:line="240" w:lineRule="exact"/>
                    <w:rPr>
                      <w:rFonts w:hint="default" w:ascii="Times New Roman" w:hAnsi="Times New Roman" w:cs="Times New Roman"/>
                      <w:color w:val="auto"/>
                      <w:sz w:val="18"/>
                      <w:szCs w:val="18"/>
                    </w:rPr>
                  </w:pPr>
                </w:p>
              </w:tc>
              <w:tc>
                <w:tcPr>
                  <w:tcW w:w="190" w:type="pct"/>
                  <w:shd w:val="clear" w:color="auto" w:fill="auto"/>
                  <w:noWrap w:val="0"/>
                  <w:vAlign w:val="center"/>
                </w:tcPr>
                <w:p w14:paraId="7B481892">
                  <w:pPr>
                    <w:keepNext w:val="0"/>
                    <w:keepLines w:val="0"/>
                    <w:widowControl/>
                    <w:suppressLineNumbers w:val="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255" w:type="pct"/>
                  <w:shd w:val="clear" w:color="auto" w:fill="auto"/>
                  <w:noWrap w:val="0"/>
                  <w:vAlign w:val="center"/>
                </w:tcPr>
                <w:p w14:paraId="40A85B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w:t>
                  </w:r>
                  <w:r>
                    <w:rPr>
                      <w:rFonts w:hint="eastAsia" w:cs="Times New Roman"/>
                      <w:i w:val="0"/>
                      <w:iCs w:val="0"/>
                      <w:color w:val="auto"/>
                      <w:kern w:val="0"/>
                      <w:sz w:val="18"/>
                      <w:szCs w:val="18"/>
                      <w:u w:val="none"/>
                      <w:lang w:val="en-US" w:eastAsia="zh-CN" w:bidi="ar"/>
                    </w:rPr>
                    <w:t>12</w:t>
                  </w:r>
                </w:p>
              </w:tc>
              <w:tc>
                <w:tcPr>
                  <w:tcW w:w="210" w:type="pct"/>
                  <w:vMerge w:val="continue"/>
                  <w:shd w:val="clear" w:color="auto" w:fill="auto"/>
                  <w:noWrap w:val="0"/>
                  <w:vAlign w:val="center"/>
                </w:tcPr>
                <w:p w14:paraId="05FC84B9">
                  <w:pPr>
                    <w:pStyle w:val="96"/>
                    <w:spacing w:line="240" w:lineRule="exact"/>
                    <w:rPr>
                      <w:rFonts w:hint="default" w:ascii="Times New Roman" w:hAnsi="Times New Roman" w:cs="Times New Roman"/>
                      <w:color w:val="auto"/>
                      <w:sz w:val="18"/>
                      <w:szCs w:val="18"/>
                    </w:rPr>
                  </w:pPr>
                </w:p>
              </w:tc>
              <w:tc>
                <w:tcPr>
                  <w:tcW w:w="234" w:type="pct"/>
                  <w:shd w:val="clear" w:color="auto" w:fill="auto"/>
                  <w:noWrap w:val="0"/>
                  <w:vAlign w:val="center"/>
                </w:tcPr>
                <w:p w14:paraId="205A31A8">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50%</w:t>
                  </w:r>
                </w:p>
              </w:tc>
              <w:tc>
                <w:tcPr>
                  <w:tcW w:w="200" w:type="pct"/>
                  <w:vMerge w:val="continue"/>
                  <w:shd w:val="clear" w:color="auto" w:fill="auto"/>
                  <w:noWrap w:val="0"/>
                  <w:vAlign w:val="center"/>
                </w:tcPr>
                <w:p w14:paraId="6C941C6B">
                  <w:pPr>
                    <w:pStyle w:val="96"/>
                    <w:spacing w:line="240" w:lineRule="exact"/>
                    <w:rPr>
                      <w:rFonts w:hint="default" w:ascii="Times New Roman" w:hAnsi="Times New Roman" w:cs="Times New Roman"/>
                      <w:color w:val="auto"/>
                      <w:sz w:val="18"/>
                      <w:szCs w:val="18"/>
                    </w:rPr>
                  </w:pPr>
                </w:p>
              </w:tc>
              <w:tc>
                <w:tcPr>
                  <w:tcW w:w="247" w:type="pct"/>
                  <w:vMerge w:val="continue"/>
                  <w:shd w:val="clear" w:color="auto" w:fill="auto"/>
                  <w:noWrap w:val="0"/>
                  <w:vAlign w:val="center"/>
                </w:tcPr>
                <w:p w14:paraId="315AF79F">
                  <w:pPr>
                    <w:pStyle w:val="96"/>
                    <w:spacing w:line="240" w:lineRule="exact"/>
                    <w:rPr>
                      <w:rFonts w:hint="default" w:ascii="Times New Roman" w:hAnsi="Times New Roman" w:cs="Times New Roman"/>
                      <w:color w:val="auto"/>
                      <w:sz w:val="18"/>
                      <w:szCs w:val="18"/>
                    </w:rPr>
                  </w:pPr>
                </w:p>
              </w:tc>
              <w:tc>
                <w:tcPr>
                  <w:tcW w:w="223" w:type="pct"/>
                  <w:shd w:val="clear" w:color="auto" w:fill="auto"/>
                  <w:noWrap w:val="0"/>
                  <w:vAlign w:val="center"/>
                </w:tcPr>
                <w:p w14:paraId="6F18F8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0.5 </w:t>
                  </w:r>
                </w:p>
              </w:tc>
              <w:tc>
                <w:tcPr>
                  <w:tcW w:w="224" w:type="pct"/>
                  <w:shd w:val="clear" w:color="auto" w:fill="auto"/>
                  <w:noWrap w:val="0"/>
                  <w:vAlign w:val="center"/>
                </w:tcPr>
                <w:p w14:paraId="38B512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0.0006</w:t>
                  </w:r>
                </w:p>
              </w:tc>
              <w:tc>
                <w:tcPr>
                  <w:tcW w:w="172" w:type="pct"/>
                  <w:vMerge w:val="continue"/>
                  <w:shd w:val="clear" w:color="auto" w:fill="auto"/>
                  <w:noWrap w:val="0"/>
                  <w:vAlign w:val="center"/>
                </w:tcPr>
                <w:p w14:paraId="4EFE41A5">
                  <w:pPr>
                    <w:pStyle w:val="96"/>
                    <w:spacing w:line="240" w:lineRule="exact"/>
                    <w:rPr>
                      <w:rFonts w:hint="default" w:ascii="Times New Roman" w:hAnsi="Times New Roman" w:cs="Times New Roman"/>
                      <w:color w:val="auto"/>
                      <w:sz w:val="18"/>
                      <w:szCs w:val="18"/>
                    </w:rPr>
                  </w:pPr>
                </w:p>
              </w:tc>
              <w:tc>
                <w:tcPr>
                  <w:tcW w:w="321" w:type="pct"/>
                  <w:vMerge w:val="continue"/>
                  <w:shd w:val="clear" w:color="auto" w:fill="auto"/>
                  <w:noWrap w:val="0"/>
                  <w:vAlign w:val="center"/>
                </w:tcPr>
                <w:p w14:paraId="65C488DC">
                  <w:pPr>
                    <w:pStyle w:val="96"/>
                    <w:spacing w:line="240" w:lineRule="exact"/>
                    <w:rPr>
                      <w:rFonts w:hint="default" w:ascii="Times New Roman" w:hAnsi="Times New Roman" w:cs="Times New Roman"/>
                      <w:color w:val="auto"/>
                      <w:sz w:val="18"/>
                      <w:szCs w:val="18"/>
                    </w:rPr>
                  </w:pPr>
                </w:p>
              </w:tc>
              <w:tc>
                <w:tcPr>
                  <w:tcW w:w="172" w:type="pct"/>
                  <w:vMerge w:val="continue"/>
                  <w:shd w:val="clear" w:color="auto" w:fill="auto"/>
                  <w:noWrap w:val="0"/>
                  <w:vAlign w:val="center"/>
                </w:tcPr>
                <w:p w14:paraId="7FC5FCE7">
                  <w:pPr>
                    <w:pStyle w:val="96"/>
                    <w:spacing w:line="240" w:lineRule="exact"/>
                    <w:rPr>
                      <w:rFonts w:hint="default" w:ascii="Times New Roman" w:hAnsi="Times New Roman" w:cs="Times New Roman"/>
                      <w:color w:val="auto"/>
                      <w:sz w:val="18"/>
                      <w:szCs w:val="18"/>
                    </w:rPr>
                  </w:pPr>
                </w:p>
              </w:tc>
              <w:tc>
                <w:tcPr>
                  <w:tcW w:w="352" w:type="pct"/>
                  <w:vMerge w:val="continue"/>
                  <w:shd w:val="clear" w:color="auto" w:fill="auto"/>
                  <w:noWrap w:val="0"/>
                  <w:vAlign w:val="center"/>
                </w:tcPr>
                <w:p w14:paraId="38779DF9">
                  <w:pPr>
                    <w:pStyle w:val="96"/>
                    <w:spacing w:line="240" w:lineRule="exact"/>
                    <w:rPr>
                      <w:rFonts w:hint="default" w:ascii="Times New Roman" w:hAnsi="Times New Roman" w:cs="Times New Roman"/>
                      <w:color w:val="auto"/>
                      <w:sz w:val="18"/>
                      <w:szCs w:val="18"/>
                    </w:rPr>
                  </w:pPr>
                </w:p>
              </w:tc>
              <w:tc>
                <w:tcPr>
                  <w:tcW w:w="241" w:type="pct"/>
                  <w:vMerge w:val="continue"/>
                  <w:shd w:val="clear" w:color="auto" w:fill="auto"/>
                  <w:noWrap w:val="0"/>
                  <w:vAlign w:val="center"/>
                </w:tcPr>
                <w:p w14:paraId="330A5509">
                  <w:pPr>
                    <w:pStyle w:val="96"/>
                    <w:spacing w:line="240" w:lineRule="exact"/>
                    <w:rPr>
                      <w:rFonts w:hint="default" w:ascii="Times New Roman" w:hAnsi="Times New Roman" w:cs="Times New Roman"/>
                      <w:color w:val="auto"/>
                      <w:sz w:val="18"/>
                      <w:szCs w:val="18"/>
                    </w:rPr>
                  </w:pPr>
                </w:p>
              </w:tc>
              <w:tc>
                <w:tcPr>
                  <w:tcW w:w="532" w:type="pct"/>
                  <w:vMerge w:val="continue"/>
                  <w:shd w:val="clear" w:color="auto" w:fill="auto"/>
                  <w:noWrap w:val="0"/>
                  <w:vAlign w:val="center"/>
                </w:tcPr>
                <w:p w14:paraId="01957535">
                  <w:pPr>
                    <w:pStyle w:val="96"/>
                    <w:spacing w:line="240" w:lineRule="exact"/>
                    <w:rPr>
                      <w:rFonts w:hint="default" w:ascii="Times New Roman" w:hAnsi="Times New Roman" w:cs="Times New Roman"/>
                      <w:color w:val="auto"/>
                      <w:sz w:val="18"/>
                      <w:szCs w:val="18"/>
                    </w:rPr>
                  </w:pPr>
                </w:p>
              </w:tc>
              <w:tc>
                <w:tcPr>
                  <w:tcW w:w="230" w:type="pct"/>
                  <w:vMerge w:val="continue"/>
                  <w:shd w:val="clear" w:color="auto" w:fill="auto"/>
                  <w:noWrap w:val="0"/>
                  <w:vAlign w:val="center"/>
                </w:tcPr>
                <w:p w14:paraId="6FB564D2">
                  <w:pPr>
                    <w:pStyle w:val="96"/>
                    <w:spacing w:line="240" w:lineRule="exact"/>
                    <w:rPr>
                      <w:rFonts w:hint="default" w:ascii="Times New Roman" w:hAnsi="Times New Roman" w:cs="Times New Roman"/>
                      <w:color w:val="auto"/>
                      <w:sz w:val="18"/>
                      <w:szCs w:val="18"/>
                    </w:rPr>
                  </w:pPr>
                </w:p>
              </w:tc>
              <w:tc>
                <w:tcPr>
                  <w:tcW w:w="347" w:type="pct"/>
                  <w:shd w:val="clear" w:color="auto" w:fill="auto"/>
                  <w:noWrap w:val="0"/>
                  <w:vAlign w:val="center"/>
                </w:tcPr>
                <w:p w14:paraId="5831A15A">
                  <w:pPr>
                    <w:pStyle w:val="96"/>
                    <w:spacing w:line="240" w:lineRule="exact"/>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w:t>
                  </w:r>
                </w:p>
              </w:tc>
            </w:tr>
          </w:tbl>
          <w:p w14:paraId="3E81D61D">
            <w:pPr>
              <w:pStyle w:val="125"/>
              <w:bidi w:val="0"/>
              <w:rPr>
                <w:rFonts w:hint="default" w:ascii="Times New Roman" w:hAnsi="Times New Roman" w:cs="Times New Roman"/>
                <w:color w:val="auto"/>
              </w:rPr>
            </w:pPr>
          </w:p>
          <w:p w14:paraId="676A510B">
            <w:pPr>
              <w:pStyle w:val="125"/>
              <w:bidi w:val="0"/>
              <w:rPr>
                <w:rFonts w:hint="default" w:ascii="Times New Roman" w:hAnsi="Times New Roman" w:cs="Times New Roman"/>
                <w:color w:val="auto"/>
              </w:rPr>
            </w:pPr>
          </w:p>
          <w:p w14:paraId="0BB0F528">
            <w:pPr>
              <w:pStyle w:val="125"/>
              <w:bidi w:val="0"/>
              <w:rPr>
                <w:rFonts w:hint="default" w:ascii="Times New Roman" w:hAnsi="Times New Roman" w:cs="Times New Roman"/>
                <w:color w:val="auto"/>
              </w:rPr>
            </w:pPr>
          </w:p>
          <w:p w14:paraId="667658B0">
            <w:pPr>
              <w:pStyle w:val="125"/>
              <w:bidi w:val="0"/>
              <w:rPr>
                <w:rFonts w:hint="default" w:ascii="Times New Roman" w:hAnsi="Times New Roman" w:cs="Times New Roman"/>
                <w:color w:val="auto"/>
              </w:rPr>
            </w:pPr>
          </w:p>
          <w:p w14:paraId="4C56D287">
            <w:pPr>
              <w:pStyle w:val="11"/>
              <w:jc w:val="both"/>
              <w:rPr>
                <w:rFonts w:hint="default" w:ascii="Times New Roman" w:hAnsi="Times New Roman" w:cs="Times New Roman"/>
                <w:color w:val="auto"/>
              </w:rPr>
            </w:pPr>
          </w:p>
        </w:tc>
      </w:tr>
    </w:tbl>
    <w:p w14:paraId="59ABF7D6">
      <w:pPr>
        <w:pStyle w:val="2"/>
        <w:outlineLvl w:val="9"/>
        <w:rPr>
          <w:rFonts w:hint="default" w:ascii="Times New Roman" w:hAnsi="Times New Roman" w:cs="Times New Roman"/>
          <w:color w:val="auto"/>
        </w:rPr>
        <w:sectPr>
          <w:pgSz w:w="16840" w:h="11907" w:orient="landscape"/>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9"/>
        <w:gridCol w:w="8562"/>
      </w:tblGrid>
      <w:tr w14:paraId="2C783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4" w:hRule="atLeast"/>
          <w:jc w:val="center"/>
        </w:trPr>
        <w:tc>
          <w:tcPr>
            <w:tcW w:w="419" w:type="dxa"/>
            <w:noWrap w:val="0"/>
            <w:tcMar>
              <w:left w:w="28" w:type="dxa"/>
              <w:right w:w="28" w:type="dxa"/>
            </w:tcMar>
            <w:vAlign w:val="center"/>
          </w:tcPr>
          <w:p w14:paraId="39F282AE">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58B0D0F3">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0DF3316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18C387B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19AB4955">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2E889BE5">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562" w:type="dxa"/>
            <w:noWrap w:val="0"/>
            <w:vAlign w:val="top"/>
          </w:tcPr>
          <w:p w14:paraId="36C66A19">
            <w:pPr>
              <w:pStyle w:val="4"/>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eastAsia="宋体" w:cs="Times New Roman"/>
                <w:b/>
                <w:color w:val="auto"/>
                <w:sz w:val="24"/>
              </w:rPr>
              <w:t>4.</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.2</w:t>
            </w:r>
            <w:r>
              <w:rPr>
                <w:rFonts w:hint="eastAsia" w:ascii="Times New Roman" w:hAnsi="Times New Roman" w:cs="Times New Roman"/>
                <w:b/>
                <w:color w:val="auto"/>
                <w:sz w:val="24"/>
                <w:lang w:val="en-US" w:eastAsia="zh-CN"/>
              </w:rPr>
              <w:t xml:space="preserve"> </w:t>
            </w:r>
            <w:r>
              <w:rPr>
                <w:rFonts w:hint="default" w:ascii="Times New Roman" w:hAnsi="Times New Roman" w:eastAsia="宋体" w:cs="Times New Roman"/>
                <w:b/>
                <w:color w:val="auto"/>
                <w:sz w:val="24"/>
              </w:rPr>
              <w:t>运营期水环境影响及污染防治措施可行性分析</w:t>
            </w:r>
          </w:p>
          <w:p w14:paraId="371E68E1">
            <w:pPr>
              <w:keepLines w:val="0"/>
              <w:pageBreakBefore w:val="0"/>
              <w:widowControl w:val="0"/>
              <w:kinsoku/>
              <w:wordWrap/>
              <w:topLinePunct w:val="0"/>
              <w:autoSpaceDE/>
              <w:autoSpaceDN/>
              <w:bidi w:val="0"/>
              <w:spacing w:line="360" w:lineRule="auto"/>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lang w:val="en-US" w:eastAsia="zh-CN"/>
              </w:rPr>
              <w:t>生产废水、</w:t>
            </w:r>
            <w:r>
              <w:rPr>
                <w:rFonts w:hint="default" w:ascii="Times New Roman" w:hAnsi="Times New Roman" w:cs="Times New Roman"/>
                <w:color w:val="auto"/>
                <w:sz w:val="24"/>
                <w:szCs w:val="24"/>
                <w:lang w:eastAsia="zh-CN"/>
              </w:rPr>
              <w:t>生活污水经处理达标后通过厂区污水总排放口排入市政污水管网，送往江镜华侨农场污水处理厂集中处理，属于间接排放，根据《建设项目环境影响报告表编制技术指南</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污染影响类</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试行</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环办环评〔2020〕33号</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要求，废水间接排放的建设项目应从处理能力、处理工艺、设计进出水水质等方面，分析依托集中污水处理厂的可行性。</w:t>
            </w:r>
          </w:p>
          <w:p w14:paraId="3CB48599">
            <w:pPr>
              <w:pStyle w:val="13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4.3.2.1</w:t>
            </w:r>
            <w:r>
              <w:rPr>
                <w:rFonts w:hint="default" w:ascii="Times New Roman" w:hAnsi="Times New Roman" w:cs="Times New Roman"/>
                <w:b/>
                <w:bCs/>
                <w:color w:val="auto"/>
                <w:sz w:val="24"/>
                <w:szCs w:val="24"/>
                <w:lang w:val="en-US" w:eastAsia="zh-CN" w:bidi="ar-SA"/>
              </w:rPr>
              <w:t>废水</w:t>
            </w:r>
            <w:r>
              <w:rPr>
                <w:rFonts w:hint="default" w:ascii="Times New Roman" w:hAnsi="Times New Roman" w:eastAsia="宋体" w:cs="Times New Roman"/>
                <w:b/>
                <w:bCs/>
                <w:color w:val="auto"/>
                <w:sz w:val="24"/>
                <w:szCs w:val="24"/>
                <w:lang w:val="en-US" w:eastAsia="zh-CN" w:bidi="ar-SA"/>
              </w:rPr>
              <w:t>处理可行性分析</w:t>
            </w:r>
          </w:p>
          <w:p w14:paraId="6E937448">
            <w:pPr>
              <w:pStyle w:val="124"/>
              <w:numPr>
                <w:ilvl w:val="0"/>
                <w:numId w:val="14"/>
              </w:num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生活污水</w:t>
            </w:r>
          </w:p>
          <w:p w14:paraId="5F1935BB">
            <w:pPr>
              <w:pStyle w:val="124"/>
              <w:keepNext/>
              <w:keepLines/>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(1)化粪池治理措施可行性分析</w:t>
            </w:r>
          </w:p>
          <w:p w14:paraId="5E6FBB6A">
            <w:pPr>
              <w:pStyle w:val="124"/>
              <w:bidi w:val="0"/>
              <w:rPr>
                <w:rFonts w:hint="default" w:ascii="Times New Roman" w:hAnsi="Times New Roman" w:eastAsia="宋体" w:cs="Times New Roman"/>
                <w:b w:val="0"/>
                <w:bCs w:val="0"/>
                <w:snapToGrid w:val="0"/>
                <w:color w:val="auto"/>
                <w:spacing w:val="0"/>
                <w:kern w:val="2"/>
                <w:sz w:val="24"/>
                <w:szCs w:val="20"/>
                <w:lang w:val="en-US" w:eastAsia="zh-CN" w:bidi="ar-SA"/>
              </w:rPr>
            </w:pPr>
            <w:r>
              <w:rPr>
                <w:rFonts w:hint="default" w:ascii="Times New Roman" w:hAnsi="Times New Roman" w:cs="Times New Roman"/>
                <w:color w:val="auto"/>
                <w:highlight w:val="none"/>
                <w:lang w:val="en-US" w:eastAsia="zh-CN"/>
              </w:rPr>
              <w:t>三级化粪池原理：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14:paraId="3D75CB66">
            <w:pPr>
              <w:pStyle w:val="124"/>
              <w:bidi w:val="0"/>
              <w:rPr>
                <w:rFonts w:hint="default" w:ascii="Times New Roman" w:hAnsi="Times New Roman" w:eastAsia="宋体" w:cs="Times New Roman"/>
                <w:b w:val="0"/>
                <w:bCs w:val="0"/>
                <w:snapToGrid w:val="0"/>
                <w:color w:val="auto"/>
                <w:spacing w:val="0"/>
                <w:kern w:val="2"/>
                <w:sz w:val="24"/>
                <w:szCs w:val="20"/>
                <w:lang w:val="en-US" w:eastAsia="zh-CN" w:bidi="ar-SA"/>
              </w:rPr>
            </w:pPr>
            <w:r>
              <w:rPr>
                <w:rFonts w:hint="default" w:ascii="Times New Roman" w:hAnsi="Times New Roman" w:cs="Times New Roman"/>
                <w:color w:val="auto"/>
                <w:highlight w:val="none"/>
                <w:lang w:val="en-US" w:eastAsia="zh-CN"/>
              </w:rPr>
              <w:t>(2)化粪池容量</w:t>
            </w:r>
            <w:r>
              <w:rPr>
                <w:rFonts w:hint="default" w:ascii="Times New Roman" w:hAnsi="Times New Roman" w:cs="Times New Roman"/>
                <w:color w:val="auto"/>
                <w:highlight w:val="none"/>
                <w:lang w:val="en-US" w:eastAsia="zh-CN" w:bidi="he-IL"/>
              </w:rPr>
              <w:t>负荷</w:t>
            </w:r>
            <w:r>
              <w:rPr>
                <w:rFonts w:hint="default" w:ascii="Times New Roman" w:hAnsi="Times New Roman" w:cs="Times New Roman"/>
                <w:color w:val="auto"/>
                <w:highlight w:val="none"/>
                <w:lang w:val="en-US" w:eastAsia="zh-CN"/>
              </w:rPr>
              <w:t>分析</w:t>
            </w:r>
          </w:p>
          <w:p w14:paraId="3705430C">
            <w:pPr>
              <w:pStyle w:val="124"/>
              <w:bidi w:val="0"/>
              <w:rPr>
                <w:rFonts w:hint="default" w:ascii="Times New Roman" w:hAnsi="Times New Roman" w:eastAsia="宋体" w:cs="Times New Roman"/>
                <w:b w:val="0"/>
                <w:bCs w:val="0"/>
                <w:snapToGrid w:val="0"/>
                <w:color w:val="auto"/>
                <w:spacing w:val="0"/>
                <w:kern w:val="2"/>
                <w:sz w:val="24"/>
                <w:szCs w:val="20"/>
                <w:lang w:val="en-US" w:eastAsia="zh-CN" w:bidi="ar-SA"/>
              </w:rPr>
            </w:pPr>
            <w:r>
              <w:rPr>
                <w:rFonts w:hint="default" w:ascii="Times New Roman" w:hAnsi="Times New Roman" w:eastAsia="宋体" w:cs="Times New Roman"/>
                <w:b w:val="0"/>
                <w:bCs w:val="0"/>
                <w:snapToGrid w:val="0"/>
                <w:color w:val="auto"/>
                <w:spacing w:val="0"/>
                <w:kern w:val="2"/>
                <w:sz w:val="24"/>
                <w:szCs w:val="20"/>
                <w:lang w:val="en-US" w:eastAsia="zh-CN" w:bidi="ar-SA"/>
              </w:rPr>
              <w:t>项目生活污水经出租方化粪池预处理后排入园区污水管网送往</w:t>
            </w:r>
            <w:r>
              <w:rPr>
                <w:rFonts w:hint="default" w:ascii="Times New Roman" w:hAnsi="Times New Roman" w:cs="Times New Roman"/>
                <w:b w:val="0"/>
                <w:bCs w:val="0"/>
                <w:snapToGrid w:val="0"/>
                <w:color w:val="auto"/>
                <w:spacing w:val="0"/>
                <w:kern w:val="2"/>
                <w:sz w:val="24"/>
                <w:szCs w:val="20"/>
                <w:lang w:val="en-US" w:eastAsia="zh-CN" w:bidi="ar-SA"/>
              </w:rPr>
              <w:t>江镜华侨农场污水处理厂</w:t>
            </w:r>
            <w:r>
              <w:rPr>
                <w:rFonts w:hint="default" w:ascii="Times New Roman" w:hAnsi="Times New Roman" w:eastAsia="宋体" w:cs="Times New Roman"/>
                <w:b w:val="0"/>
                <w:bCs w:val="0"/>
                <w:snapToGrid w:val="0"/>
                <w:color w:val="auto"/>
                <w:spacing w:val="0"/>
                <w:kern w:val="2"/>
                <w:sz w:val="24"/>
                <w:szCs w:val="20"/>
                <w:lang w:val="en-US" w:eastAsia="zh-CN" w:bidi="ar-SA"/>
              </w:rPr>
              <w:t>集中处理。根据现场</w:t>
            </w:r>
            <w:r>
              <w:rPr>
                <w:rFonts w:hint="default" w:ascii="Times New Roman" w:hAnsi="Times New Roman" w:cs="Times New Roman"/>
                <w:b w:val="0"/>
                <w:bCs w:val="0"/>
                <w:snapToGrid w:val="0"/>
                <w:color w:val="auto"/>
                <w:spacing w:val="0"/>
                <w:kern w:val="2"/>
                <w:sz w:val="24"/>
                <w:szCs w:val="20"/>
                <w:lang w:val="en-US" w:eastAsia="zh-CN" w:bidi="ar-SA"/>
              </w:rPr>
              <w:t>调查</w:t>
            </w:r>
            <w:r>
              <w:rPr>
                <w:rFonts w:hint="default" w:ascii="Times New Roman" w:hAnsi="Times New Roman" w:eastAsia="宋体" w:cs="Times New Roman"/>
                <w:b w:val="0"/>
                <w:bCs w:val="0"/>
                <w:snapToGrid w:val="0"/>
                <w:color w:val="auto"/>
                <w:spacing w:val="0"/>
                <w:kern w:val="2"/>
                <w:sz w:val="24"/>
                <w:szCs w:val="20"/>
                <w:lang w:val="en-US" w:eastAsia="zh-CN" w:bidi="ar-SA"/>
              </w:rPr>
              <w:t>，</w:t>
            </w:r>
            <w:r>
              <w:rPr>
                <w:rFonts w:hint="default" w:ascii="Times New Roman" w:hAnsi="Times New Roman" w:cs="Times New Roman"/>
                <w:b w:val="0"/>
                <w:bCs w:val="0"/>
                <w:snapToGrid w:val="0"/>
                <w:color w:val="auto"/>
                <w:spacing w:val="0"/>
                <w:kern w:val="2"/>
                <w:sz w:val="24"/>
                <w:szCs w:val="20"/>
                <w:lang w:val="en-US" w:eastAsia="zh-CN" w:bidi="ar-SA"/>
              </w:rPr>
              <w:t>B37厂房</w:t>
            </w:r>
            <w:r>
              <w:rPr>
                <w:rFonts w:hint="default" w:ascii="Times New Roman" w:hAnsi="Times New Roman" w:eastAsia="宋体" w:cs="Times New Roman"/>
                <w:b w:val="0"/>
                <w:bCs w:val="0"/>
                <w:snapToGrid w:val="0"/>
                <w:color w:val="auto"/>
                <w:spacing w:val="0"/>
                <w:kern w:val="2"/>
                <w:sz w:val="24"/>
                <w:szCs w:val="20"/>
                <w:lang w:val="en-US" w:eastAsia="zh-CN" w:bidi="ar-SA"/>
              </w:rPr>
              <w:t>已建设了容积为3m</w:t>
            </w:r>
            <w:r>
              <w:rPr>
                <w:rFonts w:hint="default" w:ascii="Times New Roman" w:hAnsi="Times New Roman" w:eastAsia="宋体" w:cs="Times New Roman"/>
                <w:b w:val="0"/>
                <w:bCs w:val="0"/>
                <w:snapToGrid w:val="0"/>
                <w:color w:val="auto"/>
                <w:spacing w:val="0"/>
                <w:kern w:val="2"/>
                <w:sz w:val="24"/>
                <w:szCs w:val="20"/>
                <w:vertAlign w:val="superscript"/>
                <w:lang w:val="en-US" w:eastAsia="zh-CN" w:bidi="ar-SA"/>
              </w:rPr>
              <w:t>3</w:t>
            </w:r>
            <w:r>
              <w:rPr>
                <w:rFonts w:hint="default" w:ascii="Times New Roman" w:hAnsi="Times New Roman" w:eastAsia="宋体" w:cs="Times New Roman"/>
                <w:b w:val="0"/>
                <w:bCs w:val="0"/>
                <w:snapToGrid w:val="0"/>
                <w:color w:val="auto"/>
                <w:spacing w:val="0"/>
                <w:kern w:val="2"/>
                <w:sz w:val="24"/>
                <w:szCs w:val="20"/>
                <w:lang w:val="en-US" w:eastAsia="zh-CN" w:bidi="ar-SA"/>
              </w:rPr>
              <w:t>的化粪池，</w:t>
            </w:r>
            <w:r>
              <w:rPr>
                <w:rFonts w:hint="default" w:ascii="Times New Roman" w:hAnsi="Times New Roman" w:cs="Times New Roman"/>
                <w:b w:val="0"/>
                <w:bCs w:val="0"/>
                <w:snapToGrid w:val="0"/>
                <w:color w:val="auto"/>
                <w:spacing w:val="0"/>
                <w:kern w:val="2"/>
                <w:sz w:val="24"/>
                <w:szCs w:val="20"/>
                <w:lang w:val="en-US" w:eastAsia="zh-CN" w:bidi="ar-SA"/>
              </w:rPr>
              <w:t>该化粪池仅</w:t>
            </w:r>
            <w:r>
              <w:rPr>
                <w:rFonts w:hint="default" w:ascii="Times New Roman" w:hAnsi="Times New Roman" w:eastAsia="宋体" w:cs="Times New Roman"/>
                <w:b w:val="0"/>
                <w:bCs w:val="0"/>
                <w:snapToGrid w:val="0"/>
                <w:color w:val="auto"/>
                <w:spacing w:val="0"/>
                <w:kern w:val="2"/>
                <w:sz w:val="24"/>
                <w:szCs w:val="20"/>
                <w:lang w:val="en-US" w:eastAsia="zh-CN" w:bidi="ar-SA"/>
              </w:rPr>
              <w:t>供给</w:t>
            </w:r>
            <w:r>
              <w:rPr>
                <w:rFonts w:hint="default" w:ascii="Times New Roman" w:hAnsi="Times New Roman" w:cs="Times New Roman"/>
                <w:b w:val="0"/>
                <w:bCs w:val="0"/>
                <w:snapToGrid w:val="0"/>
                <w:color w:val="auto"/>
                <w:spacing w:val="0"/>
                <w:kern w:val="2"/>
                <w:sz w:val="24"/>
                <w:szCs w:val="20"/>
                <w:lang w:val="en-US" w:eastAsia="zh-CN" w:bidi="ar-SA"/>
              </w:rPr>
              <w:t>B37厂房单独</w:t>
            </w:r>
            <w:r>
              <w:rPr>
                <w:rFonts w:hint="default" w:ascii="Times New Roman" w:hAnsi="Times New Roman" w:eastAsia="宋体" w:cs="Times New Roman"/>
                <w:b w:val="0"/>
                <w:bCs w:val="0"/>
                <w:snapToGrid w:val="0"/>
                <w:color w:val="auto"/>
                <w:spacing w:val="0"/>
                <w:kern w:val="2"/>
                <w:sz w:val="24"/>
                <w:szCs w:val="20"/>
                <w:lang w:val="en-US" w:eastAsia="zh-CN" w:bidi="ar-SA"/>
              </w:rPr>
              <w:t>使用，目前</w:t>
            </w:r>
            <w:r>
              <w:rPr>
                <w:rFonts w:hint="default" w:ascii="Times New Roman" w:hAnsi="Times New Roman" w:cs="Times New Roman"/>
                <w:b w:val="0"/>
                <w:bCs w:val="0"/>
                <w:snapToGrid w:val="0"/>
                <w:color w:val="auto"/>
                <w:spacing w:val="0"/>
                <w:kern w:val="2"/>
                <w:sz w:val="24"/>
                <w:szCs w:val="20"/>
                <w:lang w:val="en-US" w:eastAsia="zh-CN" w:bidi="ar-SA"/>
              </w:rPr>
              <w:t>B37厂房为空置状态，</w:t>
            </w:r>
            <w:r>
              <w:rPr>
                <w:rFonts w:hint="default" w:ascii="Times New Roman" w:hAnsi="Times New Roman" w:eastAsia="宋体" w:cs="Times New Roman"/>
                <w:b w:val="0"/>
                <w:bCs w:val="0"/>
                <w:snapToGrid w:val="0"/>
                <w:color w:val="auto"/>
                <w:spacing w:val="0"/>
                <w:kern w:val="2"/>
                <w:sz w:val="24"/>
                <w:szCs w:val="20"/>
                <w:lang w:val="en-US" w:eastAsia="zh-CN" w:bidi="ar-SA"/>
              </w:rPr>
              <w:t>未入驻企业，本项目生活污水排放量约为</w:t>
            </w:r>
            <w:r>
              <w:rPr>
                <w:rFonts w:hint="default" w:ascii="Times New Roman" w:hAnsi="Times New Roman" w:cs="Times New Roman"/>
                <w:b w:val="0"/>
                <w:bCs w:val="0"/>
                <w:snapToGrid w:val="0"/>
                <w:color w:val="auto"/>
                <w:spacing w:val="0"/>
                <w:kern w:val="2"/>
                <w:sz w:val="24"/>
                <w:szCs w:val="20"/>
                <w:lang w:val="en-US" w:eastAsia="zh-CN" w:bidi="ar-SA"/>
              </w:rPr>
              <w:t>0.51</w:t>
            </w:r>
            <w:r>
              <w:rPr>
                <w:rFonts w:hint="default" w:ascii="Times New Roman" w:hAnsi="Times New Roman" w:eastAsia="宋体" w:cs="Times New Roman"/>
                <w:b w:val="0"/>
                <w:bCs w:val="0"/>
                <w:snapToGrid w:val="0"/>
                <w:color w:val="auto"/>
                <w:spacing w:val="0"/>
                <w:kern w:val="2"/>
                <w:sz w:val="24"/>
                <w:szCs w:val="20"/>
                <w:lang w:val="en-US" w:eastAsia="zh-CN" w:bidi="ar-SA"/>
              </w:rPr>
              <w:t>t/d，占化粪池容积的</w:t>
            </w:r>
            <w:r>
              <w:rPr>
                <w:rFonts w:hint="default" w:ascii="Times New Roman" w:hAnsi="Times New Roman" w:cs="Times New Roman"/>
                <w:b w:val="0"/>
                <w:bCs w:val="0"/>
                <w:snapToGrid w:val="0"/>
                <w:color w:val="auto"/>
                <w:spacing w:val="0"/>
                <w:kern w:val="2"/>
                <w:sz w:val="24"/>
                <w:szCs w:val="20"/>
                <w:lang w:val="en-US" w:eastAsia="zh-CN" w:bidi="ar-SA"/>
              </w:rPr>
              <w:t>17</w:t>
            </w:r>
            <w:r>
              <w:rPr>
                <w:rFonts w:hint="default" w:ascii="Times New Roman" w:hAnsi="Times New Roman" w:eastAsia="宋体" w:cs="Times New Roman"/>
                <w:b w:val="0"/>
                <w:bCs w:val="0"/>
                <w:snapToGrid w:val="0"/>
                <w:color w:val="auto"/>
                <w:spacing w:val="0"/>
                <w:kern w:val="2"/>
                <w:sz w:val="24"/>
                <w:szCs w:val="20"/>
                <w:lang w:val="en-US" w:eastAsia="zh-CN" w:bidi="ar-SA"/>
              </w:rPr>
              <w:t>%，由此可知，项目生活污水排入该化粪池，不会对化粪池处理负荷造成冲击</w:t>
            </w:r>
            <w:r>
              <w:rPr>
                <w:rFonts w:hint="eastAsia" w:cs="Times New Roman"/>
                <w:b w:val="0"/>
                <w:bCs w:val="0"/>
                <w:snapToGrid w:val="0"/>
                <w:color w:val="auto"/>
                <w:spacing w:val="0"/>
                <w:kern w:val="2"/>
                <w:sz w:val="24"/>
                <w:szCs w:val="20"/>
                <w:lang w:val="en-US" w:eastAsia="zh-CN" w:bidi="ar-SA"/>
              </w:rPr>
              <w:t>且</w:t>
            </w:r>
            <w:r>
              <w:rPr>
                <w:rFonts w:hint="default" w:ascii="Times New Roman" w:hAnsi="Times New Roman" w:eastAsia="宋体" w:cs="Times New Roman"/>
                <w:b w:val="0"/>
                <w:bCs w:val="0"/>
                <w:snapToGrid w:val="0"/>
                <w:color w:val="auto"/>
                <w:spacing w:val="0"/>
                <w:kern w:val="2"/>
                <w:sz w:val="24"/>
                <w:szCs w:val="20"/>
                <w:lang w:val="en-US" w:eastAsia="zh-CN" w:bidi="ar-SA"/>
              </w:rPr>
              <w:t>出租方厂区已建化粪池容积可满足污水停留时间不低于12h，由此可知，出租方已建化粪池可以处理本项目产生的生活污水。根据现场勘查，目前</w:t>
            </w:r>
            <w:r>
              <w:rPr>
                <w:rFonts w:hint="default" w:ascii="Times New Roman" w:hAnsi="Times New Roman" w:cs="Times New Roman"/>
                <w:b w:val="0"/>
                <w:bCs w:val="0"/>
                <w:snapToGrid w:val="0"/>
                <w:color w:val="auto"/>
                <w:spacing w:val="0"/>
                <w:kern w:val="2"/>
                <w:sz w:val="24"/>
                <w:szCs w:val="20"/>
                <w:lang w:val="en-US" w:eastAsia="zh-CN" w:bidi="ar-SA"/>
              </w:rPr>
              <w:t>B37厂房</w:t>
            </w:r>
            <w:r>
              <w:rPr>
                <w:rFonts w:hint="default" w:ascii="Times New Roman" w:hAnsi="Times New Roman" w:eastAsia="宋体" w:cs="Times New Roman"/>
                <w:b w:val="0"/>
                <w:bCs w:val="0"/>
                <w:snapToGrid w:val="0"/>
                <w:color w:val="auto"/>
                <w:spacing w:val="0"/>
                <w:kern w:val="2"/>
                <w:sz w:val="24"/>
                <w:szCs w:val="20"/>
                <w:lang w:val="en-US" w:eastAsia="zh-CN" w:bidi="ar-SA"/>
              </w:rPr>
              <w:t>污水管网已经接入园区污水管网。</w:t>
            </w:r>
          </w:p>
          <w:p w14:paraId="363153BF">
            <w:pPr>
              <w:pStyle w:val="124"/>
              <w:numPr>
                <w:ilvl w:val="0"/>
                <w:numId w:val="14"/>
              </w:numPr>
              <w:bidi w:val="0"/>
              <w:ind w:left="0" w:leftChars="0" w:firstLine="480" w:firstLineChars="200"/>
              <w:rPr>
                <w:rFonts w:hint="default" w:ascii="Times New Roman" w:hAnsi="Times New Roman" w:cs="Times New Roman"/>
                <w:b w:val="0"/>
                <w:bCs w:val="0"/>
                <w:snapToGrid w:val="0"/>
                <w:color w:val="auto"/>
                <w:spacing w:val="0"/>
                <w:kern w:val="2"/>
                <w:sz w:val="24"/>
                <w:szCs w:val="20"/>
                <w:lang w:val="en-US" w:eastAsia="zh-CN" w:bidi="ar-SA"/>
              </w:rPr>
            </w:pPr>
            <w:r>
              <w:rPr>
                <w:rFonts w:hint="default" w:ascii="Times New Roman" w:hAnsi="Times New Roman" w:cs="Times New Roman"/>
                <w:b w:val="0"/>
                <w:bCs w:val="0"/>
                <w:snapToGrid w:val="0"/>
                <w:color w:val="auto"/>
                <w:spacing w:val="0"/>
                <w:kern w:val="2"/>
                <w:sz w:val="24"/>
                <w:szCs w:val="20"/>
                <w:lang w:val="en-US" w:eastAsia="zh-CN" w:bidi="ar-SA"/>
              </w:rPr>
              <w:t>生产废水</w:t>
            </w:r>
          </w:p>
          <w:p w14:paraId="16E99C10">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本项目运营期生产废水主要为</w:t>
            </w:r>
            <w:r>
              <w:rPr>
                <w:rFonts w:hint="default" w:ascii="Times New Roman" w:hAnsi="Times New Roman" w:cs="Times New Roman"/>
                <w:color w:val="auto"/>
                <w:sz w:val="24"/>
                <w:highlight w:val="none"/>
                <w:lang w:val="en-US" w:eastAsia="zh-CN"/>
              </w:rPr>
              <w:t>破碎、清洗</w:t>
            </w:r>
            <w:r>
              <w:rPr>
                <w:rFonts w:hint="default" w:ascii="Times New Roman" w:hAnsi="Times New Roman" w:cs="Times New Roman"/>
                <w:color w:val="auto"/>
                <w:sz w:val="24"/>
                <w:highlight w:val="none"/>
                <w:lang w:eastAsia="zh-CN"/>
              </w:rPr>
              <w:t>废水</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生产废水</w:t>
            </w:r>
            <w:r>
              <w:rPr>
                <w:rFonts w:hint="eastAsia" w:cs="Times New Roman"/>
                <w:color w:val="auto"/>
                <w:sz w:val="24"/>
                <w:highlight w:val="none"/>
                <w:lang w:eastAsia="zh-CN"/>
              </w:rPr>
              <w:t>主要</w:t>
            </w:r>
            <w:r>
              <w:rPr>
                <w:rFonts w:hint="default" w:ascii="Times New Roman" w:hAnsi="Times New Roman" w:cs="Times New Roman"/>
                <w:color w:val="auto"/>
                <w:sz w:val="24"/>
                <w:szCs w:val="24"/>
                <w:highlight w:val="none"/>
                <w:lang w:eastAsia="zh-CN"/>
              </w:rPr>
              <w:t>污染物</w:t>
            </w:r>
            <w:r>
              <w:rPr>
                <w:rFonts w:hint="default" w:ascii="Times New Roman" w:hAnsi="Times New Roman" w:cs="Times New Roman"/>
                <w:color w:val="auto"/>
                <w:kern w:val="0"/>
                <w:sz w:val="24"/>
                <w:szCs w:val="24"/>
                <w:highlight w:val="none"/>
                <w:lang w:val="en-US" w:eastAsia="zh-CN"/>
              </w:rPr>
              <w:t>p</w:t>
            </w:r>
            <w:r>
              <w:rPr>
                <w:rFonts w:hint="default" w:ascii="Times New Roman" w:hAnsi="Times New Roman" w:cs="Times New Roman"/>
                <w:color w:val="auto"/>
                <w:kern w:val="0"/>
                <w:sz w:val="24"/>
                <w:szCs w:val="24"/>
                <w:highlight w:val="none"/>
              </w:rPr>
              <w:t>H值、CODcr、</w:t>
            </w:r>
            <w:r>
              <w:rPr>
                <w:rFonts w:hint="default" w:ascii="Times New Roman" w:hAnsi="Times New Roman" w:cs="Times New Roman"/>
                <w:color w:val="auto"/>
                <w:kern w:val="0"/>
                <w:sz w:val="24"/>
                <w:szCs w:val="24"/>
                <w:highlight w:val="none"/>
                <w:lang w:val="en-US" w:eastAsia="zh-CN"/>
              </w:rPr>
              <w:t>SS、</w:t>
            </w:r>
            <w:r>
              <w:rPr>
                <w:rFonts w:hint="default" w:ascii="Times New Roman" w:hAnsi="Times New Roman" w:cs="Times New Roman"/>
                <w:color w:val="auto"/>
                <w:kern w:val="0"/>
                <w:sz w:val="24"/>
                <w:szCs w:val="24"/>
                <w:highlight w:val="none"/>
              </w:rPr>
              <w:t>BOD</w:t>
            </w:r>
            <w:r>
              <w:rPr>
                <w:rFonts w:hint="default" w:ascii="Times New Roman" w:hAnsi="Times New Roman" w:cs="Times New Roman"/>
                <w:color w:val="auto"/>
                <w:kern w:val="0"/>
                <w:sz w:val="24"/>
                <w:szCs w:val="24"/>
                <w:highlight w:val="none"/>
                <w:vertAlign w:val="subscript"/>
              </w:rPr>
              <w:t>5</w:t>
            </w:r>
            <w:r>
              <w:rPr>
                <w:rFonts w:hint="default" w:ascii="Times New Roman" w:hAnsi="Times New Roman" w:cs="Times New Roman"/>
                <w:color w:val="auto"/>
                <w:sz w:val="24"/>
                <w:szCs w:val="24"/>
                <w:highlight w:val="none"/>
              </w:rPr>
              <w:t>等。</w:t>
            </w:r>
            <w:r>
              <w:rPr>
                <w:rFonts w:hint="default" w:ascii="Times New Roman" w:hAnsi="Times New Roman" w:cs="Times New Roman"/>
                <w:color w:val="auto"/>
                <w:sz w:val="24"/>
              </w:rPr>
              <w:t>根据设计单位提供的资料，</w:t>
            </w:r>
            <w:r>
              <w:rPr>
                <w:rFonts w:hint="default" w:ascii="Times New Roman" w:hAnsi="Times New Roman" w:cs="Times New Roman"/>
                <w:color w:val="auto"/>
                <w:sz w:val="24"/>
                <w:lang w:eastAsia="zh-CN"/>
              </w:rPr>
              <w:t>项目采用</w:t>
            </w:r>
            <w:r>
              <w:rPr>
                <w:rFonts w:hint="default" w:ascii="Times New Roman" w:hAnsi="Times New Roman" w:cs="Times New Roman"/>
                <w:color w:val="auto"/>
                <w:sz w:val="24"/>
              </w:rPr>
              <w:t>“混凝</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沉淀</w:t>
            </w:r>
            <w:r>
              <w:rPr>
                <w:rFonts w:hint="default" w:ascii="Times New Roman" w:hAnsi="Times New Roman" w:cs="Times New Roman"/>
                <w:color w:val="auto"/>
                <w:sz w:val="24"/>
                <w:lang w:val="en-US" w:eastAsia="zh-CN"/>
              </w:rPr>
              <w:t>+生物接触氧化</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废水工艺</w:t>
            </w:r>
            <w:r>
              <w:rPr>
                <w:rFonts w:hint="default" w:ascii="Times New Roman" w:hAnsi="Times New Roman" w:cs="Times New Roman"/>
                <w:color w:val="auto"/>
                <w:sz w:val="24"/>
                <w:highlight w:val="none"/>
              </w:rPr>
              <w:t>。</w:t>
            </w:r>
          </w:p>
          <w:p w14:paraId="1168E09A">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color w:val="auto"/>
                <w:sz w:val="24"/>
              </w:rPr>
              <mc:AlternateContent>
                <mc:Choice Requires="wpg">
                  <w:drawing>
                    <wp:anchor distT="0" distB="0" distL="114300" distR="114300" simplePos="0" relativeHeight="251666432" behindDoc="0" locked="0" layoutInCell="1" allowOverlap="1">
                      <wp:simplePos x="0" y="0"/>
                      <wp:positionH relativeFrom="column">
                        <wp:posOffset>591820</wp:posOffset>
                      </wp:positionH>
                      <wp:positionV relativeFrom="paragraph">
                        <wp:posOffset>62230</wp:posOffset>
                      </wp:positionV>
                      <wp:extent cx="4067175" cy="3742690"/>
                      <wp:effectExtent l="0" t="0" r="0" b="0"/>
                      <wp:wrapNone/>
                      <wp:docPr id="345" name="组合 345"/>
                      <wp:cNvGraphicFramePr/>
                      <a:graphic xmlns:a="http://schemas.openxmlformats.org/drawingml/2006/main">
                        <a:graphicData uri="http://schemas.microsoft.com/office/word/2010/wordprocessingGroup">
                          <wpg:wgp>
                            <wpg:cNvGrpSpPr/>
                            <wpg:grpSpPr>
                              <a:xfrm>
                                <a:off x="0" y="0"/>
                                <a:ext cx="4067175" cy="3742690"/>
                                <a:chOff x="3020" y="765897"/>
                                <a:chExt cx="6405" cy="5894"/>
                              </a:xfrm>
                            </wpg:grpSpPr>
                            <wps:wsp>
                              <wps:cNvPr id="324" name="矩形 324"/>
                              <wps:cNvSpPr/>
                              <wps:spPr>
                                <a:xfrm>
                                  <a:off x="5112" y="766570"/>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9343D5">
                                    <w:pPr>
                                      <w:jc w:val="center"/>
                                      <w:rPr>
                                        <w:rFonts w:hint="eastAsia" w:eastAsia="宋体"/>
                                        <w:szCs w:val="21"/>
                                        <w:lang w:eastAsia="zh-CN"/>
                                      </w:rPr>
                                    </w:pPr>
                                    <w:r>
                                      <w:rPr>
                                        <w:rFonts w:hint="eastAsia"/>
                                        <w:szCs w:val="21"/>
                                        <w:lang w:eastAsia="zh-CN"/>
                                      </w:rPr>
                                      <w:t>混凝反应池</w:t>
                                    </w:r>
                                  </w:p>
                                  <w:p w14:paraId="03B7BFCF">
                                    <w:pPr>
                                      <w:rPr>
                                        <w:rFonts w:hint="eastAsia"/>
                                        <w:lang w:val="en-US" w:eastAsia="zh-CN"/>
                                      </w:rPr>
                                    </w:pPr>
                                  </w:p>
                                </w:txbxContent>
                              </wps:txbx>
                              <wps:bodyPr upright="1"/>
                            </wps:wsp>
                            <wps:wsp>
                              <wps:cNvPr id="325" name="矩形 325"/>
                              <wps:cNvSpPr/>
                              <wps:spPr>
                                <a:xfrm>
                                  <a:off x="5273" y="765897"/>
                                  <a:ext cx="1411" cy="468"/>
                                </a:xfrm>
                                <a:prstGeom prst="rect">
                                  <a:avLst/>
                                </a:prstGeom>
                                <a:noFill/>
                                <a:ln>
                                  <a:noFill/>
                                </a:ln>
                              </wps:spPr>
                              <wps:txbx>
                                <w:txbxContent>
                                  <w:p w14:paraId="29BBB972">
                                    <w:pPr>
                                      <w:ind w:firstLine="105" w:firstLineChars="50"/>
                                      <w:jc w:val="center"/>
                                      <w:rPr>
                                        <w:rFonts w:hint="eastAsia"/>
                                        <w:b w:val="0"/>
                                        <w:bCs/>
                                        <w:szCs w:val="21"/>
                                      </w:rPr>
                                    </w:pPr>
                                    <w:r>
                                      <w:rPr>
                                        <w:rFonts w:hint="eastAsia"/>
                                        <w:b w:val="0"/>
                                        <w:bCs/>
                                        <w:szCs w:val="21"/>
                                        <w:lang w:eastAsia="zh-CN"/>
                                      </w:rPr>
                                      <w:t>生产</w:t>
                                    </w:r>
                                    <w:r>
                                      <w:rPr>
                                        <w:rFonts w:hint="eastAsia"/>
                                        <w:b w:val="0"/>
                                        <w:bCs/>
                                        <w:szCs w:val="21"/>
                                      </w:rPr>
                                      <w:t>废水</w:t>
                                    </w:r>
                                  </w:p>
                                </w:txbxContent>
                              </wps:txbx>
                              <wps:bodyPr upright="1"/>
                            </wps:wsp>
                            <wps:wsp>
                              <wps:cNvPr id="326" name="直接连接符 326"/>
                              <wps:cNvCnPr/>
                              <wps:spPr>
                                <a:xfrm>
                                  <a:off x="5990" y="766206"/>
                                  <a:ext cx="1" cy="364"/>
                                </a:xfrm>
                                <a:prstGeom prst="line">
                                  <a:avLst/>
                                </a:prstGeom>
                                <a:ln w="9525" cap="flat" cmpd="sng">
                                  <a:solidFill>
                                    <a:srgbClr val="000000"/>
                                  </a:solidFill>
                                  <a:prstDash val="solid"/>
                                  <a:headEnd type="none" w="med" len="med"/>
                                  <a:tailEnd type="triangle" w="med" len="med"/>
                                </a:ln>
                              </wps:spPr>
                              <wps:bodyPr upright="1"/>
                            </wps:wsp>
                            <wps:wsp>
                              <wps:cNvPr id="327" name="矩形 327"/>
                              <wps:cNvSpPr/>
                              <wps:spPr>
                                <a:xfrm>
                                  <a:off x="5090" y="76741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94A2DD">
                                    <w:pPr>
                                      <w:jc w:val="center"/>
                                      <w:rPr>
                                        <w:rFonts w:hint="eastAsia"/>
                                        <w:lang w:eastAsia="zh-CN"/>
                                      </w:rPr>
                                    </w:pPr>
                                    <w:r>
                                      <w:rPr>
                                        <w:rFonts w:hint="eastAsia"/>
                                        <w:szCs w:val="21"/>
                                        <w:lang w:eastAsia="zh-CN"/>
                                      </w:rPr>
                                      <w:t>絮凝沉淀池</w:t>
                                    </w:r>
                                  </w:p>
                                </w:txbxContent>
                              </wps:txbx>
                              <wps:bodyPr upright="1"/>
                            </wps:wsp>
                            <wps:wsp>
                              <wps:cNvPr id="328" name="矩形 328"/>
                              <wps:cNvSpPr/>
                              <wps:spPr>
                                <a:xfrm>
                                  <a:off x="5102" y="769055"/>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E30349">
                                    <w:pPr>
                                      <w:jc w:val="center"/>
                                      <w:rPr>
                                        <w:rFonts w:hint="eastAsia" w:eastAsia="宋体"/>
                                        <w:szCs w:val="21"/>
                                        <w:lang w:eastAsia="zh-CN"/>
                                      </w:rPr>
                                    </w:pPr>
                                    <w:r>
                                      <w:rPr>
                                        <w:rFonts w:hint="eastAsia"/>
                                        <w:szCs w:val="21"/>
                                        <w:lang w:val="en-US" w:eastAsia="zh-CN"/>
                                      </w:rPr>
                                      <w:t>沉淀</w:t>
                                    </w:r>
                                    <w:r>
                                      <w:rPr>
                                        <w:rFonts w:hint="eastAsia"/>
                                        <w:szCs w:val="21"/>
                                        <w:lang w:eastAsia="zh-CN"/>
                                      </w:rPr>
                                      <w:t>池</w:t>
                                    </w:r>
                                  </w:p>
                                </w:txbxContent>
                              </wps:txbx>
                              <wps:bodyPr upright="1"/>
                            </wps:wsp>
                            <wps:wsp>
                              <wps:cNvPr id="329" name="矩形 329"/>
                              <wps:cNvSpPr/>
                              <wps:spPr>
                                <a:xfrm>
                                  <a:off x="5098" y="768247"/>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62C50C">
                                    <w:pPr>
                                      <w:jc w:val="center"/>
                                      <w:rPr>
                                        <w:rFonts w:hint="default" w:eastAsia="宋体"/>
                                        <w:szCs w:val="21"/>
                                        <w:lang w:val="en-US" w:eastAsia="zh-CN"/>
                                      </w:rPr>
                                    </w:pPr>
                                    <w:r>
                                      <w:rPr>
                                        <w:rFonts w:hint="eastAsia" w:eastAsia="宋体"/>
                                        <w:szCs w:val="21"/>
                                        <w:lang w:val="en-US" w:eastAsia="zh-CN"/>
                                      </w:rPr>
                                      <w:t>接触氧化池</w:t>
                                    </w:r>
                                  </w:p>
                                </w:txbxContent>
                              </wps:txbx>
                              <wps:bodyPr upright="1"/>
                            </wps:wsp>
                            <wps:wsp>
                              <wps:cNvPr id="330" name="直接连接符 330"/>
                              <wps:cNvCnPr/>
                              <wps:spPr>
                                <a:xfrm>
                                  <a:off x="3696" y="768724"/>
                                  <a:ext cx="1" cy="386"/>
                                </a:xfrm>
                                <a:prstGeom prst="line">
                                  <a:avLst/>
                                </a:prstGeom>
                                <a:ln w="9525" cap="flat" cmpd="sng">
                                  <a:solidFill>
                                    <a:srgbClr val="000000"/>
                                  </a:solidFill>
                                  <a:prstDash val="dash"/>
                                  <a:headEnd type="none" w="med" len="med"/>
                                  <a:tailEnd type="triangle" w="med" len="med"/>
                                </a:ln>
                              </wps:spPr>
                              <wps:bodyPr upright="1"/>
                            </wps:wsp>
                            <wps:wsp>
                              <wps:cNvPr id="331" name="直接连接符 331"/>
                              <wps:cNvCnPr/>
                              <wps:spPr>
                                <a:xfrm flipH="1">
                                  <a:off x="6901" y="767670"/>
                                  <a:ext cx="663" cy="1"/>
                                </a:xfrm>
                                <a:prstGeom prst="line">
                                  <a:avLst/>
                                </a:prstGeom>
                                <a:ln w="9525" cap="flat" cmpd="sng">
                                  <a:solidFill>
                                    <a:srgbClr val="000000"/>
                                  </a:solidFill>
                                  <a:prstDash val="solid"/>
                                  <a:headEnd type="none" w="med" len="med"/>
                                  <a:tailEnd type="triangle" w="med" len="med"/>
                                </a:ln>
                              </wps:spPr>
                              <wps:bodyPr upright="1"/>
                            </wps:wsp>
                            <wps:wsp>
                              <wps:cNvPr id="332" name="直接连接符 332"/>
                              <wps:cNvCnPr/>
                              <wps:spPr>
                                <a:xfrm>
                                  <a:off x="4211" y="768486"/>
                                  <a:ext cx="900" cy="0"/>
                                </a:xfrm>
                                <a:prstGeom prst="line">
                                  <a:avLst/>
                                </a:prstGeom>
                                <a:ln w="9525" cap="flat" cmpd="sng">
                                  <a:solidFill>
                                    <a:srgbClr val="000000"/>
                                  </a:solidFill>
                                  <a:prstDash val="dash"/>
                                  <a:headEnd type="triangle" w="med" len="med"/>
                                  <a:tailEnd type="none" w="med" len="med"/>
                                </a:ln>
                              </wps:spPr>
                              <wps:bodyPr upright="1"/>
                            </wps:wsp>
                            <wps:wsp>
                              <wps:cNvPr id="333" name="矩形 333"/>
                              <wps:cNvSpPr/>
                              <wps:spPr>
                                <a:xfrm>
                                  <a:off x="3134" y="768240"/>
                                  <a:ext cx="1080" cy="468"/>
                                </a:xfrm>
                                <a:prstGeom prst="rect">
                                  <a:avLst/>
                                </a:prstGeom>
                                <a:noFill/>
                                <a:ln w="9525" cap="flat" cmpd="sng">
                                  <a:solidFill>
                                    <a:srgbClr val="000000"/>
                                  </a:solidFill>
                                  <a:prstDash val="solid"/>
                                  <a:miter/>
                                  <a:headEnd type="none" w="med" len="med"/>
                                  <a:tailEnd type="none" w="med" len="med"/>
                                </a:ln>
                              </wps:spPr>
                              <wps:txbx>
                                <w:txbxContent>
                                  <w:p w14:paraId="352DA5B9">
                                    <w:pPr>
                                      <w:jc w:val="center"/>
                                      <w:rPr>
                                        <w:szCs w:val="21"/>
                                      </w:rPr>
                                    </w:pPr>
                                    <w:r>
                                      <w:rPr>
                                        <w:rFonts w:hint="eastAsia"/>
                                        <w:szCs w:val="21"/>
                                      </w:rPr>
                                      <w:t>贮泥池</w:t>
                                    </w:r>
                                  </w:p>
                                  <w:p w14:paraId="5D7AA380">
                                    <w:pPr>
                                      <w:jc w:val="center"/>
                                      <w:rPr>
                                        <w:szCs w:val="21"/>
                                      </w:rPr>
                                    </w:pPr>
                                  </w:p>
                                </w:txbxContent>
                              </wps:txbx>
                              <wps:bodyPr upright="1"/>
                            </wps:wsp>
                            <wps:wsp>
                              <wps:cNvPr id="334" name="矩形 334"/>
                              <wps:cNvSpPr/>
                              <wps:spPr>
                                <a:xfrm>
                                  <a:off x="3020" y="769068"/>
                                  <a:ext cx="1440" cy="468"/>
                                </a:xfrm>
                                <a:prstGeom prst="rect">
                                  <a:avLst/>
                                </a:prstGeom>
                                <a:noFill/>
                                <a:ln>
                                  <a:noFill/>
                                </a:ln>
                              </wps:spPr>
                              <wps:txbx>
                                <w:txbxContent>
                                  <w:p w14:paraId="7CE6008B">
                                    <w:pPr>
                                      <w:jc w:val="center"/>
                                      <w:rPr>
                                        <w:rFonts w:hint="eastAsia" w:eastAsia="宋体"/>
                                        <w:szCs w:val="21"/>
                                        <w:lang w:eastAsia="zh-CN"/>
                                      </w:rPr>
                                    </w:pPr>
                                    <w:r>
                                      <w:rPr>
                                        <w:rFonts w:hint="eastAsia"/>
                                        <w:szCs w:val="21"/>
                                        <w:lang w:eastAsia="zh-CN"/>
                                      </w:rPr>
                                      <w:t>污泥</w:t>
                                    </w:r>
                                  </w:p>
                                  <w:p w14:paraId="68D5170C">
                                    <w:pPr>
                                      <w:jc w:val="center"/>
                                      <w:rPr>
                                        <w:szCs w:val="21"/>
                                      </w:rPr>
                                    </w:pPr>
                                  </w:p>
                                </w:txbxContent>
                              </wps:txbx>
                              <wps:bodyPr upright="1"/>
                            </wps:wsp>
                            <wps:wsp>
                              <wps:cNvPr id="335" name="矩形 335"/>
                              <wps:cNvSpPr/>
                              <wps:spPr>
                                <a:xfrm>
                                  <a:off x="5329" y="770826"/>
                                  <a:ext cx="1440" cy="468"/>
                                </a:xfrm>
                                <a:prstGeom prst="rect">
                                  <a:avLst/>
                                </a:prstGeom>
                                <a:noFill/>
                                <a:ln>
                                  <a:noFill/>
                                </a:ln>
                              </wps:spPr>
                              <wps:txbx>
                                <w:txbxContent>
                                  <w:p w14:paraId="5E10B3ED">
                                    <w:pPr>
                                      <w:jc w:val="center"/>
                                      <w:rPr>
                                        <w:rFonts w:hint="eastAsia" w:eastAsia="宋体"/>
                                        <w:szCs w:val="21"/>
                                        <w:lang w:eastAsia="zh-CN"/>
                                      </w:rPr>
                                    </w:pPr>
                                    <w:r>
                                      <w:rPr>
                                        <w:rFonts w:hint="eastAsia"/>
                                        <w:szCs w:val="21"/>
                                      </w:rPr>
                                      <w:t>回用于</w:t>
                                    </w:r>
                                    <w:r>
                                      <w:rPr>
                                        <w:rFonts w:hint="eastAsia"/>
                                        <w:szCs w:val="21"/>
                                        <w:lang w:val="en-US" w:eastAsia="zh-CN"/>
                                      </w:rPr>
                                      <w:t>生产</w:t>
                                    </w:r>
                                  </w:p>
                                  <w:p w14:paraId="619F273B">
                                    <w:pPr>
                                      <w:jc w:val="center"/>
                                      <w:rPr>
                                        <w:szCs w:val="21"/>
                                      </w:rPr>
                                    </w:pPr>
                                  </w:p>
                                </w:txbxContent>
                              </wps:txbx>
                              <wps:bodyPr upright="1"/>
                            </wps:wsp>
                            <wps:wsp>
                              <wps:cNvPr id="336" name="矩形 336"/>
                              <wps:cNvSpPr/>
                              <wps:spPr>
                                <a:xfrm>
                                  <a:off x="7558" y="767451"/>
                                  <a:ext cx="1703" cy="468"/>
                                </a:xfrm>
                                <a:prstGeom prst="rect">
                                  <a:avLst/>
                                </a:prstGeom>
                                <a:noFill/>
                                <a:ln>
                                  <a:noFill/>
                                </a:ln>
                              </wps:spPr>
                              <wps:txbx>
                                <w:txbxContent>
                                  <w:p w14:paraId="517A0EF1">
                                    <w:pPr>
                                      <w:jc w:val="both"/>
                                      <w:rPr>
                                        <w:rFonts w:hint="eastAsia" w:eastAsia="宋体"/>
                                        <w:szCs w:val="21"/>
                                        <w:lang w:eastAsia="zh-CN"/>
                                      </w:rPr>
                                    </w:pPr>
                                    <w:r>
                                      <w:rPr>
                                        <w:b w:val="0"/>
                                        <w:bCs w:val="0"/>
                                        <w:color w:val="000000"/>
                                        <w:u w:val="none"/>
                                      </w:rPr>
                                      <w:t>PAM</w:t>
                                    </w:r>
                                  </w:p>
                                </w:txbxContent>
                              </wps:txbx>
                              <wps:bodyPr upright="1"/>
                            </wps:wsp>
                            <wps:wsp>
                              <wps:cNvPr id="337" name="直接连接符 337"/>
                              <wps:cNvCnPr/>
                              <wps:spPr>
                                <a:xfrm flipH="1">
                                  <a:off x="6927" y="766816"/>
                                  <a:ext cx="570" cy="1"/>
                                </a:xfrm>
                                <a:prstGeom prst="line">
                                  <a:avLst/>
                                </a:prstGeom>
                                <a:ln w="9525" cap="flat" cmpd="sng">
                                  <a:solidFill>
                                    <a:srgbClr val="000000"/>
                                  </a:solidFill>
                                  <a:prstDash val="solid"/>
                                  <a:headEnd type="none" w="med" len="med"/>
                                  <a:tailEnd type="triangle" w="med" len="med"/>
                                </a:ln>
                              </wps:spPr>
                              <wps:bodyPr upright="1"/>
                            </wps:wsp>
                            <wps:wsp>
                              <wps:cNvPr id="338" name="矩形 338"/>
                              <wps:cNvSpPr/>
                              <wps:spPr>
                                <a:xfrm>
                                  <a:off x="7468" y="766587"/>
                                  <a:ext cx="1957" cy="468"/>
                                </a:xfrm>
                                <a:prstGeom prst="rect">
                                  <a:avLst/>
                                </a:prstGeom>
                                <a:noFill/>
                                <a:ln>
                                  <a:noFill/>
                                </a:ln>
                              </wps:spPr>
                              <wps:txbx>
                                <w:txbxContent>
                                  <w:p w14:paraId="18C3DC6C">
                                    <w:pPr>
                                      <w:jc w:val="both"/>
                                      <w:rPr>
                                        <w:rFonts w:hint="eastAsia" w:eastAsia="宋体"/>
                                        <w:szCs w:val="21"/>
                                        <w:lang w:eastAsia="zh-CN"/>
                                      </w:rPr>
                                    </w:pPr>
                                    <w:r>
                                      <w:rPr>
                                        <w:b w:val="0"/>
                                        <w:bCs w:val="0"/>
                                        <w:color w:val="000000"/>
                                        <w:u w:val="none"/>
                                      </w:rPr>
                                      <w:t>PAC</w:t>
                                    </w:r>
                                  </w:p>
                                </w:txbxContent>
                              </wps:txbx>
                              <wps:bodyPr upright="1"/>
                            </wps:wsp>
                            <wps:wsp>
                              <wps:cNvPr id="339" name="直接连接符 339"/>
                              <wps:cNvCnPr/>
                              <wps:spPr>
                                <a:xfrm>
                                  <a:off x="5990" y="767049"/>
                                  <a:ext cx="1" cy="364"/>
                                </a:xfrm>
                                <a:prstGeom prst="line">
                                  <a:avLst/>
                                </a:prstGeom>
                                <a:ln w="9525" cap="flat" cmpd="sng">
                                  <a:solidFill>
                                    <a:srgbClr val="000000"/>
                                  </a:solidFill>
                                  <a:prstDash val="solid"/>
                                  <a:headEnd type="none" w="med" len="med"/>
                                  <a:tailEnd type="triangle" w="med" len="med"/>
                                </a:ln>
                              </wps:spPr>
                              <wps:bodyPr upright="1"/>
                            </wps:wsp>
                            <wps:wsp>
                              <wps:cNvPr id="340" name="直接连接符 340"/>
                              <wps:cNvCnPr/>
                              <wps:spPr>
                                <a:xfrm>
                                  <a:off x="6001" y="767891"/>
                                  <a:ext cx="1" cy="364"/>
                                </a:xfrm>
                                <a:prstGeom prst="line">
                                  <a:avLst/>
                                </a:prstGeom>
                                <a:ln w="9525" cap="flat" cmpd="sng">
                                  <a:solidFill>
                                    <a:srgbClr val="000000"/>
                                  </a:solidFill>
                                  <a:prstDash val="solid"/>
                                  <a:headEnd type="none" w="med" len="med"/>
                                  <a:tailEnd type="triangle" w="med" len="med"/>
                                </a:ln>
                              </wps:spPr>
                              <wps:bodyPr upright="1"/>
                            </wps:wsp>
                            <wps:wsp>
                              <wps:cNvPr id="341" name="直接连接符 341"/>
                              <wps:cNvCnPr/>
                              <wps:spPr>
                                <a:xfrm>
                                  <a:off x="6001" y="768711"/>
                                  <a:ext cx="1" cy="364"/>
                                </a:xfrm>
                                <a:prstGeom prst="line">
                                  <a:avLst/>
                                </a:prstGeom>
                                <a:ln w="9525" cap="flat" cmpd="sng">
                                  <a:solidFill>
                                    <a:srgbClr val="000000"/>
                                  </a:solidFill>
                                  <a:prstDash val="solid"/>
                                  <a:headEnd type="none" w="med" len="med"/>
                                  <a:tailEnd type="triangle" w="med" len="med"/>
                                </a:ln>
                              </wps:spPr>
                              <wps:bodyPr upright="1"/>
                            </wps:wsp>
                            <wps:wsp>
                              <wps:cNvPr id="342" name="直接连接符 342"/>
                              <wps:cNvCnPr/>
                              <wps:spPr>
                                <a:xfrm>
                                  <a:off x="6001" y="769519"/>
                                  <a:ext cx="1" cy="364"/>
                                </a:xfrm>
                                <a:prstGeom prst="line">
                                  <a:avLst/>
                                </a:prstGeom>
                                <a:ln w="9525" cap="flat" cmpd="sng">
                                  <a:solidFill>
                                    <a:srgbClr val="000000"/>
                                  </a:solidFill>
                                  <a:prstDash val="solid"/>
                                  <a:headEnd type="none" w="med" len="med"/>
                                  <a:tailEnd type="triangle" w="med" len="med"/>
                                </a:ln>
                              </wps:spPr>
                              <wps:bodyPr upright="1"/>
                            </wps:wsp>
                            <wps:wsp>
                              <wps:cNvPr id="343" name="矩形 343"/>
                              <wps:cNvSpPr/>
                              <wps:spPr>
                                <a:xfrm>
                                  <a:off x="3953" y="771323"/>
                                  <a:ext cx="4238" cy="468"/>
                                </a:xfrm>
                                <a:prstGeom prst="rect">
                                  <a:avLst/>
                                </a:prstGeom>
                                <a:noFill/>
                                <a:ln>
                                  <a:noFill/>
                                </a:ln>
                              </wps:spPr>
                              <wps:txbx>
                                <w:txbxContent>
                                  <w:p w14:paraId="3A99DD1C">
                                    <w:pPr>
                                      <w:jc w:val="center"/>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eastAsia="zh-CN"/>
                                      </w:rPr>
                                      <w:t>图</w:t>
                                    </w:r>
                                    <w:r>
                                      <w:rPr>
                                        <w:rFonts w:hint="eastAsia" w:ascii="Times New Roman" w:hAnsi="Times New Roman" w:eastAsia="黑体" w:cs="Times New Roman"/>
                                        <w:sz w:val="24"/>
                                        <w:lang w:val="en-US" w:eastAsia="zh-CN"/>
                                      </w:rPr>
                                      <w:t>4.3-1  生产废水处理工艺流程图</w:t>
                                    </w:r>
                                  </w:p>
                                </w:txbxContent>
                              </wps:txbx>
                              <wps:bodyPr upright="1"/>
                            </wps:wsp>
                            <wps:wsp>
                              <wps:cNvPr id="180" name="矩形 180"/>
                              <wps:cNvSpPr/>
                              <wps:spPr>
                                <a:xfrm>
                                  <a:off x="5117" y="769880"/>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F4DD50">
                                    <w:pPr>
                                      <w:jc w:val="center"/>
                                      <w:rPr>
                                        <w:rFonts w:hint="eastAsia" w:eastAsia="宋体"/>
                                        <w:szCs w:val="21"/>
                                        <w:lang w:eastAsia="zh-CN"/>
                                      </w:rPr>
                                    </w:pPr>
                                    <w:r>
                                      <w:rPr>
                                        <w:rFonts w:hint="eastAsia"/>
                                        <w:szCs w:val="21"/>
                                        <w:lang w:val="en-US" w:eastAsia="zh-CN"/>
                                      </w:rPr>
                                      <w:t>回用水</w:t>
                                    </w:r>
                                    <w:r>
                                      <w:rPr>
                                        <w:rFonts w:hint="eastAsia"/>
                                        <w:szCs w:val="21"/>
                                        <w:lang w:eastAsia="zh-CN"/>
                                      </w:rPr>
                                      <w:t>池</w:t>
                                    </w:r>
                                  </w:p>
                                </w:txbxContent>
                              </wps:txbx>
                              <wps:bodyPr upright="1"/>
                            </wps:wsp>
                            <wps:wsp>
                              <wps:cNvPr id="181" name="直接连接符 181"/>
                              <wps:cNvCnPr/>
                              <wps:spPr>
                                <a:xfrm>
                                  <a:off x="6001" y="770351"/>
                                  <a:ext cx="1" cy="36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6.6pt;margin-top:4.9pt;height:294.7pt;width:320.25pt;z-index:251666432;mso-width-relative:page;mso-height-relative:page;" coordorigin="3020,765897" coordsize="6405,5894" o:gfxdata="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BG53it2QAAAAgBAAAPAAAAAAAAAAEAIAAAACIAAABkcnMvZG93bnJl&#10;di54bWxQSwECFAAUAAAACACHTuJAwhdZ0YwFAAAOLgAADgAAAAAAAAABACAAAAAoAQAAZHJzL2Uy&#10;b0RvYy54bWxQSwUGAAAAAAYABgBZAQAAJgkAAAAA&#10;">
                      <o:lock v:ext="edit" aspectratio="f"/>
                      <v:rect id="_x0000_s1026" o:spid="_x0000_s1026" o:spt="1" style="position:absolute;left:5112;top:766570;height:468;width:1800;" fillcolor="#FFFFFF" filled="t" stroked="t" coordsize="21600,21600" o:gfxdata="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0y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9343D5">
                              <w:pPr>
                                <w:jc w:val="center"/>
                                <w:rPr>
                                  <w:rFonts w:hint="eastAsia" w:eastAsia="宋体"/>
                                  <w:szCs w:val="21"/>
                                  <w:lang w:eastAsia="zh-CN"/>
                                </w:rPr>
                              </w:pPr>
                              <w:r>
                                <w:rPr>
                                  <w:rFonts w:hint="eastAsia"/>
                                  <w:szCs w:val="21"/>
                                  <w:lang w:eastAsia="zh-CN"/>
                                </w:rPr>
                                <w:t>混凝反应池</w:t>
                              </w:r>
                            </w:p>
                            <w:p w14:paraId="03B7BFCF">
                              <w:pPr>
                                <w:rPr>
                                  <w:rFonts w:hint="eastAsia"/>
                                  <w:lang w:val="en-US" w:eastAsia="zh-CN"/>
                                </w:rPr>
                              </w:pPr>
                            </w:p>
                          </w:txbxContent>
                        </v:textbox>
                      </v:rect>
                      <v:rect id="_x0000_s1026" o:spid="_x0000_s1026" o:spt="1" style="position:absolute;left:5273;top:765897;height:468;width:1411;" filled="f" stroked="f" coordsize="21600,21600" o:gfxdata="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oNh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9BBB972">
                              <w:pPr>
                                <w:ind w:firstLine="105" w:firstLineChars="50"/>
                                <w:jc w:val="center"/>
                                <w:rPr>
                                  <w:rFonts w:hint="eastAsia"/>
                                  <w:b w:val="0"/>
                                  <w:bCs/>
                                  <w:szCs w:val="21"/>
                                </w:rPr>
                              </w:pPr>
                              <w:r>
                                <w:rPr>
                                  <w:rFonts w:hint="eastAsia"/>
                                  <w:b w:val="0"/>
                                  <w:bCs/>
                                  <w:szCs w:val="21"/>
                                  <w:lang w:eastAsia="zh-CN"/>
                                </w:rPr>
                                <w:t>生产</w:t>
                              </w:r>
                              <w:r>
                                <w:rPr>
                                  <w:rFonts w:hint="eastAsia"/>
                                  <w:b w:val="0"/>
                                  <w:bCs/>
                                  <w:szCs w:val="21"/>
                                </w:rPr>
                                <w:t>废水</w:t>
                              </w:r>
                            </w:p>
                          </w:txbxContent>
                        </v:textbox>
                      </v:rect>
                      <v:line id="_x0000_s1026" o:spid="_x0000_s1026" o:spt="20" style="position:absolute;left:5990;top:766206;height:364;width:1;" filled="f" stroked="t" coordsize="21600,21600" o:gfxdata="UEsDBAoAAAAAAIdO4kAAAAAAAAAAAAAAAAAEAAAAZHJzL1BLAwQUAAAACACHTuJA4Gnx2L8AAADc&#10;AAAADwAAAGRycy9kb3ducmV2LnhtbEWPT4vCMBTE7wt+h/CEva1pFaR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8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90;top:767418;height:468;width:1800;" fillcolor="#FFFFFF" filled="t" stroked="t" coordsize="21600,21600" o:gfxdata="UEsDBAoAAAAAAIdO4kAAAAAAAAAAAAAAAAAEAAAAZHJzL1BLAwQUAAAACACHTuJA6WnS6r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42Q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dL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94A2DD">
                              <w:pPr>
                                <w:jc w:val="center"/>
                                <w:rPr>
                                  <w:rFonts w:hint="eastAsia"/>
                                  <w:lang w:eastAsia="zh-CN"/>
                                </w:rPr>
                              </w:pPr>
                              <w:r>
                                <w:rPr>
                                  <w:rFonts w:hint="eastAsia"/>
                                  <w:szCs w:val="21"/>
                                  <w:lang w:eastAsia="zh-CN"/>
                                </w:rPr>
                                <w:t>絮凝沉淀池</w:t>
                              </w:r>
                            </w:p>
                          </w:txbxContent>
                        </v:textbox>
                      </v:rect>
                      <v:rect id="_x0000_s1026" o:spid="_x0000_s1026" o:spt="1" style="position:absolute;left:5102;top:769055;height:468;width:1800;" fillcolor="#FFFFFF" filled="t" stroked="t" coordsize="21600,21600" o:gfxdata="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2R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BE30349">
                              <w:pPr>
                                <w:jc w:val="center"/>
                                <w:rPr>
                                  <w:rFonts w:hint="eastAsia" w:eastAsia="宋体"/>
                                  <w:szCs w:val="21"/>
                                  <w:lang w:eastAsia="zh-CN"/>
                                </w:rPr>
                              </w:pPr>
                              <w:r>
                                <w:rPr>
                                  <w:rFonts w:hint="eastAsia"/>
                                  <w:szCs w:val="21"/>
                                  <w:lang w:val="en-US" w:eastAsia="zh-CN"/>
                                </w:rPr>
                                <w:t>沉淀</w:t>
                              </w:r>
                              <w:r>
                                <w:rPr>
                                  <w:rFonts w:hint="eastAsia"/>
                                  <w:szCs w:val="21"/>
                                  <w:lang w:eastAsia="zh-CN"/>
                                </w:rPr>
                                <w:t>池</w:t>
                              </w:r>
                            </w:p>
                          </w:txbxContent>
                        </v:textbox>
                      </v:rect>
                      <v:rect id="_x0000_s1026" o:spid="_x0000_s1026" o:spt="1" style="position:absolute;left:5098;top:768247;height:468;width:1800;" fillcolor="#FFFFFF" filled="t" stroked="t" coordsize="21600,21600" o:gfxdata="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7rj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962C50C">
                              <w:pPr>
                                <w:jc w:val="center"/>
                                <w:rPr>
                                  <w:rFonts w:hint="default" w:eastAsia="宋体"/>
                                  <w:szCs w:val="21"/>
                                  <w:lang w:val="en-US" w:eastAsia="zh-CN"/>
                                </w:rPr>
                              </w:pPr>
                              <w:r>
                                <w:rPr>
                                  <w:rFonts w:hint="eastAsia" w:eastAsia="宋体"/>
                                  <w:szCs w:val="21"/>
                                  <w:lang w:val="en-US" w:eastAsia="zh-CN"/>
                                </w:rPr>
                                <w:t>接触氧化池</w:t>
                              </w:r>
                            </w:p>
                          </w:txbxContent>
                        </v:textbox>
                      </v:rect>
                      <v:line id="_x0000_s1026" o:spid="_x0000_s1026" o:spt="20" style="position:absolute;left:3696;top:768724;height:386;width:1;" filled="f" stroked="t" coordsize="21600,21600" o:gfxdata="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wi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line id="_x0000_s1026" o:spid="_x0000_s1026" o:spt="20" style="position:absolute;left:6901;top:767670;flip:x;height:1;width:663;" filled="f" stroked="t" coordsize="21600,21600" o:gfxdata="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5/P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211;top:768486;height:0;width:900;" filled="f" stroked="t" coordsize="21600,21600" o:gfxdata="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3de6/&#10;AAAA3A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rect id="_x0000_s1026" o:spid="_x0000_s1026" o:spt="1" style="position:absolute;left:3134;top:768240;height:468;width:1080;" filled="f" stroked="t" coordsize="21600,21600" o:gfxdata="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eE5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352DA5B9">
                              <w:pPr>
                                <w:jc w:val="center"/>
                                <w:rPr>
                                  <w:szCs w:val="21"/>
                                </w:rPr>
                              </w:pPr>
                              <w:r>
                                <w:rPr>
                                  <w:rFonts w:hint="eastAsia"/>
                                  <w:szCs w:val="21"/>
                                </w:rPr>
                                <w:t>贮泥池</w:t>
                              </w:r>
                            </w:p>
                            <w:p w14:paraId="5D7AA380">
                              <w:pPr>
                                <w:jc w:val="center"/>
                                <w:rPr>
                                  <w:szCs w:val="21"/>
                                </w:rPr>
                              </w:pPr>
                            </w:p>
                          </w:txbxContent>
                        </v:textbox>
                      </v:rect>
                      <v:rect id="_x0000_s1026" o:spid="_x0000_s1026" o:spt="1" style="position:absolute;left:3020;top:769068;height:468;width:1440;" filled="f" stroked="f" coordsize="21600,21600" o:gfxdata="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PsC/&#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CE6008B">
                              <w:pPr>
                                <w:jc w:val="center"/>
                                <w:rPr>
                                  <w:rFonts w:hint="eastAsia" w:eastAsia="宋体"/>
                                  <w:szCs w:val="21"/>
                                  <w:lang w:eastAsia="zh-CN"/>
                                </w:rPr>
                              </w:pPr>
                              <w:r>
                                <w:rPr>
                                  <w:rFonts w:hint="eastAsia"/>
                                  <w:szCs w:val="21"/>
                                  <w:lang w:eastAsia="zh-CN"/>
                                </w:rPr>
                                <w:t>污泥</w:t>
                              </w:r>
                            </w:p>
                            <w:p w14:paraId="68D5170C">
                              <w:pPr>
                                <w:jc w:val="center"/>
                                <w:rPr>
                                  <w:szCs w:val="21"/>
                                </w:rPr>
                              </w:pPr>
                            </w:p>
                          </w:txbxContent>
                        </v:textbox>
                      </v:rect>
                      <v:rect id="_x0000_s1026" o:spid="_x0000_s1026" o:spt="1" style="position:absolute;left:5329;top:770826;height:468;width:1440;" filled="f" stroked="f" coordsize="21600,21600" o:gfxdata="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zm1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5E10B3ED">
                              <w:pPr>
                                <w:jc w:val="center"/>
                                <w:rPr>
                                  <w:rFonts w:hint="eastAsia" w:eastAsia="宋体"/>
                                  <w:szCs w:val="21"/>
                                  <w:lang w:eastAsia="zh-CN"/>
                                </w:rPr>
                              </w:pPr>
                              <w:r>
                                <w:rPr>
                                  <w:rFonts w:hint="eastAsia"/>
                                  <w:szCs w:val="21"/>
                                </w:rPr>
                                <w:t>回用于</w:t>
                              </w:r>
                              <w:r>
                                <w:rPr>
                                  <w:rFonts w:hint="eastAsia"/>
                                  <w:szCs w:val="21"/>
                                  <w:lang w:val="en-US" w:eastAsia="zh-CN"/>
                                </w:rPr>
                                <w:t>生产</w:t>
                              </w:r>
                            </w:p>
                            <w:p w14:paraId="619F273B">
                              <w:pPr>
                                <w:jc w:val="center"/>
                                <w:rPr>
                                  <w:szCs w:val="21"/>
                                </w:rPr>
                              </w:pPr>
                            </w:p>
                          </w:txbxContent>
                        </v:textbox>
                      </v:rect>
                      <v:rect id="_x0000_s1026" o:spid="_x0000_s1026" o:spt="1" style="position:absolute;left:7558;top:767451;height:468;width:1703;" filled="f" stroked="f" coordsize="21600,21600" o:gfxdata="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QU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17A0EF1">
                              <w:pPr>
                                <w:jc w:val="both"/>
                                <w:rPr>
                                  <w:rFonts w:hint="eastAsia" w:eastAsia="宋体"/>
                                  <w:szCs w:val="21"/>
                                  <w:lang w:eastAsia="zh-CN"/>
                                </w:rPr>
                              </w:pPr>
                              <w:r>
                                <w:rPr>
                                  <w:b w:val="0"/>
                                  <w:bCs w:val="0"/>
                                  <w:color w:val="000000"/>
                                  <w:u w:val="none"/>
                                </w:rPr>
                                <w:t>PAM</w:t>
                              </w:r>
                            </w:p>
                          </w:txbxContent>
                        </v:textbox>
                      </v:rect>
                      <v:line id="_x0000_s1026" o:spid="_x0000_s1026" o:spt="20" style="position:absolute;left:6927;top:766816;flip:x;height:1;width:570;" filled="f" stroked="t" coordsize="21600,21600" o:gfxdata="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s4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68;top:766587;height:468;width:1957;" filled="f" stroked="f" coordsize="21600,21600" o:gfxdata="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8jTF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8C3DC6C">
                              <w:pPr>
                                <w:jc w:val="both"/>
                                <w:rPr>
                                  <w:rFonts w:hint="eastAsia" w:eastAsia="宋体"/>
                                  <w:szCs w:val="21"/>
                                  <w:lang w:eastAsia="zh-CN"/>
                                </w:rPr>
                              </w:pPr>
                              <w:r>
                                <w:rPr>
                                  <w:b w:val="0"/>
                                  <w:bCs w:val="0"/>
                                  <w:color w:val="000000"/>
                                  <w:u w:val="none"/>
                                </w:rPr>
                                <w:t>PAC</w:t>
                              </w:r>
                            </w:p>
                          </w:txbxContent>
                        </v:textbox>
                      </v:rect>
                      <v:line id="_x0000_s1026" o:spid="_x0000_s1026" o:spt="20" style="position:absolute;left:5990;top:767049;height:364;width:1;"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001;top:767891;height:364;width:1;"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001;top:768711;height:364;width:1;" filled="f" stroked="t" coordsize="21600,21600" o:gfxdata="UEsDBAoAAAAAAIdO4kAAAAAAAAAAAAAAAAAEAAAAZHJzL1BLAwQUAAAACACHTuJAsl+MDMAAAADc&#10;AAAADwAAAGRycy9kb3ducmV2LnhtbEWPT2vCQBTE74LfYXmCN91ESw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4w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001;top:769519;height:364;width:1;"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953;top:771323;height:468;width:4238;" filled="f" stroked="f" coordsize="21600,21600" o:gfxdata="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Q1cm/&#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3A99DD1C">
                              <w:pPr>
                                <w:jc w:val="center"/>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eastAsia="zh-CN"/>
                                </w:rPr>
                                <w:t>图</w:t>
                              </w:r>
                              <w:r>
                                <w:rPr>
                                  <w:rFonts w:hint="eastAsia" w:ascii="Times New Roman" w:hAnsi="Times New Roman" w:eastAsia="黑体" w:cs="Times New Roman"/>
                                  <w:sz w:val="24"/>
                                  <w:lang w:val="en-US" w:eastAsia="zh-CN"/>
                                </w:rPr>
                                <w:t>4.3-1  生产废水处理工艺流程图</w:t>
                              </w:r>
                            </w:p>
                          </w:txbxContent>
                        </v:textbox>
                      </v:rect>
                      <v:rect id="_x0000_s1026" o:spid="_x0000_s1026" o:spt="1" style="position:absolute;left:5117;top:769880;height:468;width:1800;" fillcolor="#FFFFFF" filled="t" stroked="t" coordsize="21600,21600" o:gfxdata="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nt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F4DD50">
                              <w:pPr>
                                <w:jc w:val="center"/>
                                <w:rPr>
                                  <w:rFonts w:hint="eastAsia" w:eastAsia="宋体"/>
                                  <w:szCs w:val="21"/>
                                  <w:lang w:eastAsia="zh-CN"/>
                                </w:rPr>
                              </w:pPr>
                              <w:r>
                                <w:rPr>
                                  <w:rFonts w:hint="eastAsia"/>
                                  <w:szCs w:val="21"/>
                                  <w:lang w:val="en-US" w:eastAsia="zh-CN"/>
                                </w:rPr>
                                <w:t>回用水</w:t>
                              </w:r>
                              <w:r>
                                <w:rPr>
                                  <w:rFonts w:hint="eastAsia"/>
                                  <w:szCs w:val="21"/>
                                  <w:lang w:eastAsia="zh-CN"/>
                                </w:rPr>
                                <w:t>池</w:t>
                              </w:r>
                            </w:p>
                          </w:txbxContent>
                        </v:textbox>
                      </v:rect>
                      <v:line id="_x0000_s1026" o:spid="_x0000_s1026" o:spt="20" style="position:absolute;left:6001;top:770351;height:364;width:1;"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58667A7A">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6F377A1F">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47F9D466">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550431A8">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7C5F2032">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46DFB750">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4E01A6AB">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745DCDA2">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1AA35664">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4A6F6F9E">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4AF80187">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1EE75DF4">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p>
          <w:p w14:paraId="39C9C0A5">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cs="Times New Roman"/>
                <w:color w:val="auto"/>
                <w:sz w:val="24"/>
                <w:szCs w:val="24"/>
                <w:lang w:eastAsia="zh-CN"/>
              </w:rPr>
            </w:pPr>
          </w:p>
          <w:p w14:paraId="7030ECD8">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cs="Times New Roman"/>
                <w:color w:val="auto"/>
                <w:sz w:val="24"/>
                <w:szCs w:val="24"/>
                <w:lang w:eastAsia="zh-CN"/>
              </w:rPr>
            </w:pPr>
          </w:p>
          <w:p w14:paraId="19F1165F">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废水进入混凝反应池，池内投加PAC，而后通过投加絮凝剂使悬浮物结合形成絮体，从而更有利于分离。污水经混凝反应池后，在絮凝沉淀池内投加PAM，经过沉淀后进</w:t>
            </w:r>
            <w:r>
              <w:rPr>
                <w:rFonts w:hint="default" w:ascii="Times New Roman" w:hAnsi="Times New Roman" w:cs="Times New Roman"/>
                <w:color w:val="auto"/>
                <w:sz w:val="24"/>
                <w:szCs w:val="24"/>
                <w:lang w:val="en-US" w:eastAsia="zh-CN"/>
              </w:rPr>
              <w:t>入</w:t>
            </w:r>
            <w:r>
              <w:rPr>
                <w:rFonts w:hint="eastAsia" w:cs="Times New Roman"/>
                <w:color w:val="auto"/>
                <w:sz w:val="24"/>
                <w:szCs w:val="24"/>
                <w:lang w:val="en-US" w:eastAsia="zh-CN"/>
              </w:rPr>
              <w:t>接触氧化池</w:t>
            </w:r>
            <w:r>
              <w:rPr>
                <w:rFonts w:hint="default" w:ascii="Times New Roman" w:hAnsi="Times New Roman" w:cs="Times New Roman"/>
                <w:color w:val="auto"/>
                <w:sz w:val="24"/>
                <w:szCs w:val="24"/>
                <w:lang w:eastAsia="zh-CN"/>
              </w:rPr>
              <w:t>。</w:t>
            </w:r>
          </w:p>
          <w:p w14:paraId="63CD401A">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生物接触氧化法是一种介于活性污泥法与生物滤池之间的生物膜法工艺，其特点是在池内设置填料，池底曝气对污水进行充氧，并使池体内污水处于流动状态，以保证污水与污水中的填料充分接触，避免生物接触氧化池中存在污水与填料接触不均的缺陷。其净化废水的基本原理与一般生物膜法相同，以生物膜吸附废水中的有机物，在有氧的条件下，有机物由微生物氧化分解，废水得到净化。</w:t>
            </w:r>
            <w:r>
              <w:rPr>
                <w:color w:val="auto"/>
                <w:sz w:val="24"/>
                <w:szCs w:val="21"/>
              </w:rPr>
              <w:t>接触氧化池出水进入沉淀池中进行泥水分离</w:t>
            </w:r>
            <w:r>
              <w:rPr>
                <w:rFonts w:hint="eastAsia"/>
                <w:color w:val="auto"/>
                <w:sz w:val="24"/>
                <w:szCs w:val="21"/>
                <w:lang w:eastAsia="zh-CN"/>
              </w:rPr>
              <w:t>。</w:t>
            </w:r>
          </w:p>
          <w:p w14:paraId="263B9168">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lang w:val="en-US" w:eastAsia="zh-CN"/>
              </w:rPr>
              <w:t>本项目生产废水主要成分为细沙、泥土、标签等杂质，</w:t>
            </w:r>
            <w:r>
              <w:rPr>
                <w:rFonts w:hint="default" w:ascii="Times New Roman" w:hAnsi="Times New Roman" w:eastAsia="宋体" w:cs="Times New Roman"/>
                <w:b w:val="0"/>
                <w:bCs w:val="0"/>
                <w:color w:val="auto"/>
                <w:kern w:val="2"/>
                <w:sz w:val="24"/>
                <w:szCs w:val="24"/>
                <w:highlight w:val="none"/>
                <w:lang w:val="en-US" w:eastAsia="zh-CN" w:bidi="ar-SA"/>
              </w:rPr>
              <w:t>表4.3-1可知，生产废水经过</w:t>
            </w:r>
            <w:r>
              <w:rPr>
                <w:rFonts w:hint="default" w:ascii="Times New Roman" w:hAnsi="Times New Roman" w:cs="Times New Roman"/>
                <w:color w:val="auto"/>
                <w:sz w:val="24"/>
              </w:rPr>
              <w:t>混凝</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沉淀</w:t>
            </w:r>
            <w:r>
              <w:rPr>
                <w:rFonts w:hint="default" w:ascii="Times New Roman" w:hAnsi="Times New Roman" w:cs="Times New Roman"/>
                <w:color w:val="auto"/>
                <w:sz w:val="24"/>
                <w:lang w:val="en-US" w:eastAsia="zh-CN"/>
              </w:rPr>
              <w:t>+生物接触氧化</w:t>
            </w:r>
            <w:r>
              <w:rPr>
                <w:rFonts w:hint="default" w:ascii="Times New Roman" w:hAnsi="Times New Roman" w:eastAsia="宋体" w:cs="Times New Roman"/>
                <w:b w:val="0"/>
                <w:bCs w:val="0"/>
                <w:color w:val="auto"/>
                <w:kern w:val="2"/>
                <w:sz w:val="24"/>
                <w:szCs w:val="24"/>
                <w:highlight w:val="none"/>
                <w:lang w:val="en-US" w:eastAsia="zh-CN" w:bidi="ar-SA"/>
              </w:rPr>
              <w:t>处理后，满足《污水综合排放标准》（GB8978-1996）表4三级标准</w:t>
            </w:r>
            <w:r>
              <w:rPr>
                <w:rFonts w:hint="eastAsia" w:cs="Times New Roman"/>
                <w:b w:val="0"/>
                <w:bCs w:val="0"/>
                <w:color w:val="auto"/>
                <w:kern w:val="2"/>
                <w:sz w:val="24"/>
                <w:szCs w:val="24"/>
                <w:highlight w:val="none"/>
                <w:lang w:val="en-US" w:eastAsia="zh-CN" w:bidi="ar-SA"/>
              </w:rPr>
              <w:t>及污水处理厂进水水质要求</w:t>
            </w:r>
            <w:r>
              <w:rPr>
                <w:rFonts w:hint="default" w:ascii="Times New Roman" w:hAnsi="Times New Roman" w:eastAsia="宋体" w:cs="Times New Roman"/>
                <w:b w:val="0"/>
                <w:bCs w:val="0"/>
                <w:color w:val="auto"/>
                <w:kern w:val="2"/>
                <w:sz w:val="24"/>
                <w:szCs w:val="24"/>
                <w:highlight w:val="none"/>
                <w:lang w:val="en-US" w:eastAsia="zh-CN" w:bidi="ar-SA"/>
              </w:rPr>
              <w:t>。</w:t>
            </w:r>
          </w:p>
          <w:p w14:paraId="0199B9B4">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根据《排污许可证申请与核发技术规范-废弃资源加工工业》（HJ1034-2019）附表 A.2 废弃资源加工工业排污单位废水污染防治可行技术参考表中废塑料综合废水处理可行性技术中预处理：沉淀，气浮，混凝，调节；生化处理：活性污泥法，序批式活性污泥法(SBR)，缺氧/好氧法(A/O)，厌氧/缺氧/好氧法(A</w:t>
            </w:r>
            <w:r>
              <w:rPr>
                <w:rFonts w:hint="default" w:ascii="Times New Roman" w:hAnsi="Times New Roman" w:eastAsia="宋体" w:cs="Times New Roman"/>
                <w:b w:val="0"/>
                <w:bCs w:val="0"/>
                <w:color w:val="auto"/>
                <w:kern w:val="2"/>
                <w:sz w:val="24"/>
                <w:szCs w:val="24"/>
                <w:highlight w:val="none"/>
                <w:vertAlign w:val="superscript"/>
                <w:lang w:val="en-US" w:eastAsia="zh-CN" w:bidi="ar-SA"/>
              </w:rPr>
              <w:t>2</w:t>
            </w:r>
            <w:r>
              <w:rPr>
                <w:rFonts w:hint="default" w:ascii="Times New Roman" w:hAnsi="Times New Roman" w:eastAsia="宋体" w:cs="Times New Roman"/>
                <w:b w:val="0"/>
                <w:bCs w:val="0"/>
                <w:color w:val="auto"/>
                <w:kern w:val="2"/>
                <w:sz w:val="24"/>
                <w:szCs w:val="24"/>
                <w:highlight w:val="none"/>
                <w:lang w:val="en-US" w:eastAsia="zh-CN" w:bidi="ar-SA"/>
              </w:rPr>
              <w:t>/O)，膜生物法(MBR)，曝气生物滤池(BAF)，生物接触氧化法，周期循环活性污泥法(CASS)。本项目使用</w:t>
            </w:r>
            <w:r>
              <w:rPr>
                <w:rFonts w:hint="default" w:ascii="Times New Roman" w:hAnsi="Times New Roman" w:cs="Times New Roman"/>
                <w:color w:val="auto"/>
                <w:sz w:val="24"/>
              </w:rPr>
              <w:t>混凝</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沉淀</w:t>
            </w:r>
            <w:r>
              <w:rPr>
                <w:rFonts w:hint="default" w:ascii="Times New Roman" w:hAnsi="Times New Roman" w:cs="Times New Roman"/>
                <w:color w:val="auto"/>
                <w:sz w:val="24"/>
                <w:lang w:val="en-US" w:eastAsia="zh-CN"/>
              </w:rPr>
              <w:t>+生物接触氧化</w:t>
            </w:r>
            <w:r>
              <w:rPr>
                <w:rFonts w:hint="default" w:ascii="Times New Roman" w:hAnsi="Times New Roman" w:eastAsia="宋体" w:cs="Times New Roman"/>
                <w:b w:val="0"/>
                <w:bCs w:val="0"/>
                <w:color w:val="auto"/>
                <w:kern w:val="2"/>
                <w:sz w:val="24"/>
                <w:szCs w:val="24"/>
                <w:highlight w:val="none"/>
                <w:lang w:val="en-US" w:eastAsia="zh-CN" w:bidi="ar-SA"/>
              </w:rPr>
              <w:t>的废水处理技术是可行的。</w:t>
            </w:r>
          </w:p>
          <w:p w14:paraId="2CAE808D">
            <w:pPr>
              <w:pStyle w:val="81"/>
              <w:ind w:firstLine="0" w:firstLineChars="0"/>
              <w:jc w:val="left"/>
              <w:rPr>
                <w:rFonts w:hint="default" w:ascii="Times New Roman" w:hAnsi="Times New Roman" w:cs="Times New Roman"/>
                <w:b/>
                <w:bCs/>
                <w:color w:val="auto"/>
              </w:rPr>
            </w:pPr>
            <w:r>
              <w:rPr>
                <w:rFonts w:hint="default" w:ascii="Times New Roman" w:hAnsi="Times New Roman" w:cs="Times New Roman"/>
                <w:b/>
                <w:bCs/>
                <w:color w:val="auto"/>
              </w:rPr>
              <w:t>4.</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.2.</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 xml:space="preserve"> 污水处理厂基本情况</w:t>
            </w:r>
          </w:p>
          <w:p w14:paraId="125AA498">
            <w:pPr>
              <w:pStyle w:val="81"/>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sz w:val="24"/>
                <w:highlight w:val="none"/>
                <w:lang w:eastAsia="zh-CN"/>
              </w:rPr>
              <w:t>江镜华侨农场污水处理厂基本情况</w:t>
            </w:r>
          </w:p>
          <w:p w14:paraId="2D9AF98C">
            <w:pPr>
              <w:pStyle w:val="81"/>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highlight w:val="none"/>
                <w:lang w:eastAsia="zh-CN"/>
              </w:rPr>
              <w:t>①设计进出水水质</w:t>
            </w:r>
          </w:p>
          <w:p w14:paraId="17F861E4">
            <w:pPr>
              <w:bidi w:val="0"/>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根据《江镜华侨农场污水处理厂一期（一组）工程建设项目环境影响评价报告书》可知，</w:t>
            </w:r>
            <w:r>
              <w:rPr>
                <w:rFonts w:hint="default" w:ascii="Times New Roman" w:hAnsi="Times New Roman" w:eastAsia="宋体" w:cs="Times New Roman"/>
                <w:color w:val="auto"/>
                <w:sz w:val="24"/>
                <w:highlight w:val="none"/>
                <w:lang w:eastAsia="zh-CN"/>
              </w:rPr>
              <w:t>江镜华侨农场污水处理厂</w:t>
            </w:r>
            <w:r>
              <w:rPr>
                <w:rFonts w:hint="default" w:ascii="Times New Roman" w:hAnsi="Times New Roman" w:eastAsia="宋体" w:cs="Times New Roman"/>
                <w:color w:val="auto"/>
                <w:sz w:val="24"/>
                <w:szCs w:val="22"/>
                <w:highlight w:val="none"/>
              </w:rPr>
              <w:t>进出水水质见表</w:t>
            </w:r>
            <w:r>
              <w:rPr>
                <w:rFonts w:hint="default" w:ascii="Times New Roman" w:hAnsi="Times New Roman" w:eastAsia="宋体" w:cs="Times New Roman"/>
                <w:color w:val="auto"/>
                <w:sz w:val="24"/>
                <w:szCs w:val="22"/>
                <w:highlight w:val="none"/>
                <w:lang w:val="en-US" w:eastAsia="zh-CN"/>
              </w:rPr>
              <w:t>4.3-2</w:t>
            </w:r>
            <w:r>
              <w:rPr>
                <w:rFonts w:hint="default" w:ascii="Times New Roman" w:hAnsi="Times New Roman" w:eastAsia="宋体" w:cs="Times New Roman"/>
                <w:color w:val="auto"/>
                <w:sz w:val="24"/>
                <w:szCs w:val="22"/>
                <w:highlight w:val="none"/>
              </w:rPr>
              <w:t>。</w:t>
            </w:r>
          </w:p>
          <w:p w14:paraId="7F0E7B9F">
            <w:pPr>
              <w:pStyle w:val="6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黑体" w:cs="Times New Roman"/>
                <w:b w:val="0"/>
                <w:bCs w:val="0"/>
                <w:color w:val="auto"/>
                <w:kern w:val="2"/>
                <w:sz w:val="24"/>
                <w:szCs w:val="28"/>
                <w:highlight w:val="none"/>
                <w:lang w:val="en-US" w:eastAsia="zh-CN" w:bidi="ar-SA"/>
              </w:rPr>
            </w:pPr>
            <w:r>
              <w:rPr>
                <w:rFonts w:hint="default" w:ascii="Times New Roman" w:hAnsi="Times New Roman" w:eastAsia="黑体" w:cs="Times New Roman"/>
                <w:b w:val="0"/>
                <w:bCs w:val="0"/>
                <w:color w:val="auto"/>
                <w:kern w:val="2"/>
                <w:sz w:val="24"/>
                <w:szCs w:val="28"/>
                <w:highlight w:val="none"/>
                <w:lang w:val="en-US" w:eastAsia="zh-CN" w:bidi="ar-SA"/>
              </w:rPr>
              <w:t>表4.3-2 污水处理厂进出水水质标准(mg/L  pH除外)</w:t>
            </w:r>
          </w:p>
          <w:tbl>
            <w:tblPr>
              <w:tblStyle w:val="9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5"/>
              <w:gridCol w:w="1334"/>
              <w:gridCol w:w="1085"/>
              <w:gridCol w:w="982"/>
              <w:gridCol w:w="1047"/>
              <w:gridCol w:w="968"/>
              <w:gridCol w:w="969"/>
              <w:gridCol w:w="866"/>
            </w:tblGrid>
            <w:tr w14:paraId="2E10C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3F174EAC">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水质指标</w:t>
                  </w:r>
                </w:p>
              </w:tc>
              <w:tc>
                <w:tcPr>
                  <w:tcW w:w="799" w:type="pct"/>
                  <w:noWrap w:val="0"/>
                  <w:vAlign w:val="center"/>
                </w:tcPr>
                <w:p w14:paraId="04006CC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pH</w:t>
                  </w:r>
                </w:p>
              </w:tc>
              <w:tc>
                <w:tcPr>
                  <w:tcW w:w="650" w:type="pct"/>
                  <w:noWrap w:val="0"/>
                  <w:vAlign w:val="center"/>
                </w:tcPr>
                <w:p w14:paraId="6D35CD8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COD</w:t>
                  </w:r>
                </w:p>
              </w:tc>
              <w:tc>
                <w:tcPr>
                  <w:tcW w:w="588" w:type="pct"/>
                  <w:noWrap w:val="0"/>
                  <w:vAlign w:val="center"/>
                </w:tcPr>
                <w:p w14:paraId="59489705">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BOD</w:t>
                  </w:r>
                  <w:r>
                    <w:rPr>
                      <w:rFonts w:hint="default" w:ascii="Times New Roman" w:hAnsi="Times New Roman" w:eastAsia="宋体" w:cs="Times New Roman"/>
                      <w:color w:val="auto"/>
                      <w:kern w:val="2"/>
                      <w:sz w:val="21"/>
                      <w:szCs w:val="21"/>
                      <w:highlight w:val="none"/>
                      <w:vertAlign w:val="subscript"/>
                      <w:lang w:val="en-US" w:eastAsia="zh-CN" w:bidi="ar-SA"/>
                    </w:rPr>
                    <w:t>5</w:t>
                  </w:r>
                </w:p>
              </w:tc>
              <w:tc>
                <w:tcPr>
                  <w:tcW w:w="627" w:type="pct"/>
                  <w:noWrap w:val="0"/>
                  <w:vAlign w:val="center"/>
                </w:tcPr>
                <w:p w14:paraId="0603067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SS</w:t>
                  </w:r>
                </w:p>
              </w:tc>
              <w:tc>
                <w:tcPr>
                  <w:tcW w:w="580" w:type="pct"/>
                  <w:noWrap w:val="0"/>
                  <w:vAlign w:val="center"/>
                </w:tcPr>
                <w:p w14:paraId="7AA742D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NH</w:t>
                  </w:r>
                  <w:r>
                    <w:rPr>
                      <w:rFonts w:hint="default"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-N</w:t>
                  </w:r>
                </w:p>
              </w:tc>
              <w:tc>
                <w:tcPr>
                  <w:tcW w:w="580" w:type="pct"/>
                  <w:noWrap w:val="0"/>
                  <w:vAlign w:val="center"/>
                </w:tcPr>
                <w:p w14:paraId="0C3548E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TN</w:t>
                  </w:r>
                </w:p>
              </w:tc>
              <w:tc>
                <w:tcPr>
                  <w:tcW w:w="518" w:type="pct"/>
                  <w:noWrap w:val="0"/>
                  <w:vAlign w:val="center"/>
                </w:tcPr>
                <w:p w14:paraId="41FD414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TP</w:t>
                  </w:r>
                </w:p>
              </w:tc>
            </w:tr>
            <w:tr w14:paraId="07FB6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5661AC1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进水水质</w:t>
                  </w:r>
                </w:p>
              </w:tc>
              <w:tc>
                <w:tcPr>
                  <w:tcW w:w="799" w:type="pct"/>
                  <w:noWrap w:val="0"/>
                  <w:vAlign w:val="center"/>
                </w:tcPr>
                <w:p w14:paraId="3896EDE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6~9(无量纲)</w:t>
                  </w:r>
                </w:p>
              </w:tc>
              <w:tc>
                <w:tcPr>
                  <w:tcW w:w="650" w:type="pct"/>
                  <w:noWrap w:val="0"/>
                  <w:vAlign w:val="center"/>
                </w:tcPr>
                <w:p w14:paraId="08B2AAC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≤400</w:t>
                  </w:r>
                </w:p>
              </w:tc>
              <w:tc>
                <w:tcPr>
                  <w:tcW w:w="588" w:type="pct"/>
                  <w:noWrap w:val="0"/>
                  <w:vAlign w:val="center"/>
                </w:tcPr>
                <w:p w14:paraId="48E5BBE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≤180</w:t>
                  </w:r>
                </w:p>
              </w:tc>
              <w:tc>
                <w:tcPr>
                  <w:tcW w:w="627" w:type="pct"/>
                  <w:noWrap w:val="0"/>
                  <w:vAlign w:val="center"/>
                </w:tcPr>
                <w:p w14:paraId="3C0F364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≤300</w:t>
                  </w:r>
                </w:p>
              </w:tc>
              <w:tc>
                <w:tcPr>
                  <w:tcW w:w="580" w:type="pct"/>
                  <w:noWrap w:val="0"/>
                  <w:vAlign w:val="center"/>
                </w:tcPr>
                <w:p w14:paraId="3B99FC9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≤35</w:t>
                  </w:r>
                </w:p>
              </w:tc>
              <w:tc>
                <w:tcPr>
                  <w:tcW w:w="580" w:type="pct"/>
                  <w:noWrap w:val="0"/>
                  <w:vAlign w:val="center"/>
                </w:tcPr>
                <w:p w14:paraId="035E5F5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w:t>
                  </w:r>
                </w:p>
              </w:tc>
              <w:tc>
                <w:tcPr>
                  <w:tcW w:w="518" w:type="pct"/>
                  <w:noWrap w:val="0"/>
                  <w:vAlign w:val="center"/>
                </w:tcPr>
                <w:p w14:paraId="3149C5E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r>
            <w:tr w14:paraId="37852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79792712">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出水标准</w:t>
                  </w:r>
                </w:p>
              </w:tc>
              <w:tc>
                <w:tcPr>
                  <w:tcW w:w="799" w:type="pct"/>
                  <w:noWrap w:val="0"/>
                  <w:vAlign w:val="center"/>
                </w:tcPr>
                <w:p w14:paraId="0CE2DDF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6~9(无量纲)</w:t>
                  </w:r>
                </w:p>
              </w:tc>
              <w:tc>
                <w:tcPr>
                  <w:tcW w:w="650" w:type="pct"/>
                  <w:noWrap w:val="0"/>
                  <w:vAlign w:val="center"/>
                </w:tcPr>
                <w:p w14:paraId="36DDD4F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588" w:type="pct"/>
                  <w:noWrap w:val="0"/>
                  <w:vAlign w:val="center"/>
                </w:tcPr>
                <w:p w14:paraId="0764E8D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627" w:type="pct"/>
                  <w:noWrap w:val="0"/>
                  <w:vAlign w:val="center"/>
                </w:tcPr>
                <w:p w14:paraId="1B44242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580" w:type="pct"/>
                  <w:noWrap w:val="0"/>
                  <w:vAlign w:val="center"/>
                </w:tcPr>
                <w:p w14:paraId="04B824A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580" w:type="pct"/>
                  <w:noWrap w:val="0"/>
                  <w:vAlign w:val="center"/>
                </w:tcPr>
                <w:p w14:paraId="7F674100">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518" w:type="pct"/>
                  <w:noWrap w:val="0"/>
                  <w:vAlign w:val="center"/>
                </w:tcPr>
                <w:p w14:paraId="69E20ED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w:t>
                  </w:r>
                </w:p>
              </w:tc>
            </w:tr>
          </w:tbl>
          <w:p w14:paraId="1CF110DE">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val="en-US" w:eastAsia="zh-CN"/>
              </w:rPr>
              <w:t>②</w:t>
            </w:r>
            <w:r>
              <w:rPr>
                <w:rFonts w:hint="default" w:ascii="Times New Roman" w:hAnsi="Times New Roman" w:eastAsia="宋体" w:cs="Times New Roman"/>
                <w:color w:val="auto"/>
                <w:sz w:val="24"/>
                <w:szCs w:val="22"/>
                <w:highlight w:val="none"/>
              </w:rPr>
              <w:t>处理工艺</w:t>
            </w:r>
          </w:p>
          <w:p w14:paraId="35BC18E6">
            <w:pPr>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highlight w:val="none"/>
              </w:rPr>
              <w:t>污水处理工艺流程详见图</w:t>
            </w:r>
            <w:r>
              <w:rPr>
                <w:rFonts w:hint="default" w:ascii="Times New Roman" w:hAnsi="Times New Roman" w:cs="Times New Roman"/>
                <w:color w:val="auto"/>
                <w:sz w:val="24"/>
                <w:highlight w:val="none"/>
                <w:lang w:val="en-US" w:eastAsia="zh-CN"/>
              </w:rPr>
              <w:t>4.2-1</w:t>
            </w:r>
            <w:r>
              <w:rPr>
                <w:rFonts w:hint="default" w:ascii="Times New Roman" w:hAnsi="Times New Roman" w:eastAsia="宋体" w:cs="Times New Roman"/>
                <w:color w:val="auto"/>
                <w:sz w:val="24"/>
                <w:szCs w:val="22"/>
                <w:highlight w:val="none"/>
              </w:rPr>
              <w:t>。</w:t>
            </w:r>
          </w:p>
          <w:p w14:paraId="27D01D73">
            <w:pPr>
              <w:pStyle w:val="2"/>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g">
                  <w:drawing>
                    <wp:inline distT="0" distB="0" distL="114300" distR="114300">
                      <wp:extent cx="5033010" cy="2715895"/>
                      <wp:effectExtent l="0" t="0" r="15240" b="0"/>
                      <wp:docPr id="168" name="组合 168"/>
                      <wp:cNvGraphicFramePr/>
                      <a:graphic xmlns:a="http://schemas.openxmlformats.org/drawingml/2006/main">
                        <a:graphicData uri="http://schemas.microsoft.com/office/word/2010/wordprocessingGroup">
                          <wpg:wgp>
                            <wpg:cNvGrpSpPr/>
                            <wpg:grpSpPr>
                              <a:xfrm>
                                <a:off x="0" y="0"/>
                                <a:ext cx="5033010" cy="2715895"/>
                                <a:chOff x="3153" y="598842"/>
                                <a:chExt cx="8170" cy="4712"/>
                              </a:xfrm>
                            </wpg:grpSpPr>
                            <wps:wsp>
                              <wps:cNvPr id="158" name="文本框 158"/>
                              <wps:cNvSpPr txBox="1"/>
                              <wps:spPr>
                                <a:xfrm>
                                  <a:off x="4452" y="603068"/>
                                  <a:ext cx="5538" cy="487"/>
                                </a:xfrm>
                                <a:prstGeom prst="rect">
                                  <a:avLst/>
                                </a:prstGeom>
                                <a:noFill/>
                                <a:ln w="15875">
                                  <a:noFill/>
                                </a:ln>
                              </wps:spPr>
                              <wps:txbx>
                                <w:txbxContent>
                                  <w:p w14:paraId="3E1BF745">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w:t>
                                    </w:r>
                                    <w:r>
                                      <w:rPr>
                                        <w:rFonts w:hint="eastAsia" w:ascii="Times New Roman" w:hAnsi="Times New Roman" w:eastAsia="黑体" w:cs="Times New Roman"/>
                                        <w:sz w:val="24"/>
                                        <w:szCs w:val="24"/>
                                        <w:lang w:val="en-US" w:eastAsia="zh-CN"/>
                                      </w:rPr>
                                      <w:t xml:space="preserve">4.2-1 </w:t>
                                    </w:r>
                                    <w:r>
                                      <w:rPr>
                                        <w:rFonts w:hint="default" w:ascii="Times New Roman" w:hAnsi="Times New Roman" w:eastAsia="黑体" w:cs="Times New Roman"/>
                                        <w:sz w:val="24"/>
                                        <w:szCs w:val="24"/>
                                      </w:rPr>
                                      <w:t>污水处理厂处理工艺流程图</w:t>
                                    </w:r>
                                  </w:p>
                                </w:txbxContent>
                              </wps:txbx>
                              <wps:bodyPr upright="1"/>
                            </wps:wsp>
                            <pic:pic xmlns:pic="http://schemas.openxmlformats.org/drawingml/2006/picture">
                              <pic:nvPicPr>
                                <pic:cNvPr id="159" name="图片 19"/>
                                <pic:cNvPicPr/>
                              </pic:nvPicPr>
                              <pic:blipFill>
                                <a:blip r:embed="rId19"/>
                                <a:stretch>
                                  <a:fillRect/>
                                </a:stretch>
                              </pic:blipFill>
                              <pic:spPr>
                                <a:xfrm>
                                  <a:off x="3153" y="598842"/>
                                  <a:ext cx="8171" cy="4105"/>
                                </a:xfrm>
                                <a:prstGeom prst="rect">
                                  <a:avLst/>
                                </a:prstGeom>
                                <a:noFill/>
                                <a:ln>
                                  <a:noFill/>
                                </a:ln>
                              </pic:spPr>
                            </pic:pic>
                          </wpg:wgp>
                        </a:graphicData>
                      </a:graphic>
                    </wp:inline>
                  </w:drawing>
                </mc:Choice>
                <mc:Fallback>
                  <w:pict>
                    <v:group id="_x0000_s1026" o:spid="_x0000_s1026" o:spt="203" style="height:213.85pt;width:396.3pt;" coordorigin="3153,598842" coordsize="8170,4712" o:gfxdata="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">
                      <o:lock v:ext="edit" aspectratio="f"/>
                      <v:shape id="_x0000_s1026" o:spid="_x0000_s1026" o:spt="202" type="#_x0000_t202" style="position:absolute;left:4452;top:603068;height:487;width:5538;" filled="f" stroked="f" coordsize="21600,21600" o:gfxdata="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ou&#10;93nCAAAA3AAAAA8AAAAAAAAAAQAgAAAAIgAAAGRycy9kb3ducmV2LnhtbFBLAQIUABQAAAAIAIdO&#10;4kAzLwWeOwAAADkAAAAQAAAAAAAAAAEAIAAAABEBAABkcnMvc2hhcGV4bWwueG1sUEsFBgAAAAAG&#10;AAYAWwEAALsDAAAAAA==&#10;">
                        <v:fill on="f" focussize="0,0"/>
                        <v:stroke on="f" weight="1.25pt"/>
                        <v:imagedata o:title=""/>
                        <o:lock v:ext="edit" aspectratio="f"/>
                        <v:textbox>
                          <w:txbxContent>
                            <w:p w14:paraId="3E1BF745">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w:t>
                              </w:r>
                              <w:r>
                                <w:rPr>
                                  <w:rFonts w:hint="eastAsia" w:ascii="Times New Roman" w:hAnsi="Times New Roman" w:eastAsia="黑体" w:cs="Times New Roman"/>
                                  <w:sz w:val="24"/>
                                  <w:szCs w:val="24"/>
                                  <w:lang w:val="en-US" w:eastAsia="zh-CN"/>
                                </w:rPr>
                                <w:t xml:space="preserve">4.2-1 </w:t>
                              </w:r>
                              <w:r>
                                <w:rPr>
                                  <w:rFonts w:hint="default" w:ascii="Times New Roman" w:hAnsi="Times New Roman" w:eastAsia="黑体" w:cs="Times New Roman"/>
                                  <w:sz w:val="24"/>
                                  <w:szCs w:val="24"/>
                                </w:rPr>
                                <w:t>污水处理厂处理工艺流程图</w:t>
                              </w:r>
                            </w:p>
                          </w:txbxContent>
                        </v:textbox>
                      </v:shape>
                      <v:shape id="图片 19" o:spid="_x0000_s1026" o:spt="75" type="#_x0000_t75" style="position:absolute;left:3153;top:598842;height:4105;width:8171;" filled="f" o:preferrelative="t" stroked="f" coordsize="21600,21600" o:gfxdata="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CRIvQAA&#10;ANwAAAAPAAAAAAAAAAEAIAAAACIAAABkcnMvZG93bnJldi54bWxQSwECFAAUAAAACACHTuJAMy8F&#10;njsAAAA5AAAAEAAAAAAAAAABACAAAAAMAQAAZHJzL3NoYXBleG1sLnhtbFBLBQYAAAAABgAGAFsB&#10;AAC2AwAAAAA=&#10;">
                        <v:fill on="f" focussize="0,0"/>
                        <v:stroke on="f"/>
                        <v:imagedata r:id="rId19" o:title=""/>
                        <o:lock v:ext="edit" aspectratio="f"/>
                      </v:shape>
                      <w10:wrap type="none"/>
                      <w10:anchorlock/>
                    </v:group>
                  </w:pict>
                </mc:Fallback>
              </mc:AlternateContent>
            </w:r>
          </w:p>
          <w:p w14:paraId="295B30F2">
            <w:pPr>
              <w:pStyle w:val="7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lang w:val="en-US" w:eastAsia="zh-CN" w:bidi="he-IL"/>
              </w:rPr>
            </w:pPr>
            <w:r>
              <w:rPr>
                <w:rFonts w:hint="default" w:ascii="Times New Roman" w:hAnsi="Times New Roman" w:cs="Times New Roman"/>
                <w:color w:val="auto"/>
                <w:highlight w:val="none"/>
                <w:lang w:val="en-US" w:eastAsia="zh-CN" w:bidi="he-IL"/>
              </w:rPr>
              <w:t>(2)依托可行性分析</w:t>
            </w:r>
          </w:p>
          <w:p w14:paraId="72546B3F">
            <w:pPr>
              <w:pStyle w:val="72"/>
              <w:keepNext w:val="0"/>
              <w:keepLines w:val="0"/>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color w:val="auto"/>
                <w:highlight w:val="none"/>
                <w:lang w:val="en-US" w:eastAsia="zh-CN" w:bidi="he-IL"/>
              </w:rPr>
            </w:pPr>
            <w:r>
              <w:rPr>
                <w:rFonts w:hint="default" w:ascii="Times New Roman" w:hAnsi="Times New Roman" w:cs="Times New Roman"/>
                <w:b w:val="0"/>
                <w:bCs w:val="0"/>
                <w:color w:val="auto"/>
                <w:highlight w:val="none"/>
                <w:lang w:eastAsia="zh-CN" w:bidi="he-IL"/>
              </w:rPr>
              <w:t>①接管可行性</w:t>
            </w:r>
          </w:p>
          <w:p w14:paraId="766A337E">
            <w:pPr>
              <w:pStyle w:val="81"/>
              <w:keepNext w:val="0"/>
              <w:keepLines w:val="0"/>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shd w:val="clear" w:color="auto" w:fill="FFFFFF"/>
                <w:lang w:eastAsia="zh-CN"/>
              </w:rPr>
              <w:t>污水处理厂</w:t>
            </w:r>
            <w:r>
              <w:rPr>
                <w:rFonts w:hint="default" w:ascii="Times New Roman" w:hAnsi="Times New Roman" w:cs="Times New Roman"/>
                <w:color w:val="auto"/>
                <w:shd w:val="clear" w:color="auto" w:fill="FFFFFF"/>
              </w:rPr>
              <w:t>位于丰华湖东侧，滨海大道北侧交界处，近期占地面积约为66亩，远期总占地面积约277.95亩，主要服务范围为蓝色经济产业园总体规划范围，尾水排入</w:t>
            </w:r>
            <w:r>
              <w:rPr>
                <w:rFonts w:hint="default" w:ascii="Times New Roman" w:hAnsi="Times New Roman" w:cs="Times New Roman"/>
                <w:color w:val="auto"/>
                <w:shd w:val="clear" w:color="auto" w:fill="FFFFFF"/>
                <w:lang w:eastAsia="zh-CN"/>
              </w:rPr>
              <w:t>污水处理厂</w:t>
            </w:r>
            <w:r>
              <w:rPr>
                <w:rFonts w:hint="default" w:ascii="Times New Roman" w:hAnsi="Times New Roman" w:cs="Times New Roman"/>
                <w:color w:val="auto"/>
                <w:shd w:val="clear" w:color="auto" w:fill="FFFFFF"/>
              </w:rPr>
              <w:t>西侧现状河道。根据园区污水工程规划图，</w:t>
            </w:r>
            <w:r>
              <w:rPr>
                <w:rFonts w:hint="default" w:ascii="Times New Roman" w:hAnsi="Times New Roman" w:cs="Times New Roman"/>
                <w:color w:val="auto"/>
                <w:shd w:val="clear" w:color="auto" w:fill="FFFFFF"/>
                <w:lang w:eastAsia="zh-CN"/>
              </w:rPr>
              <w:t>园区</w:t>
            </w:r>
            <w:r>
              <w:rPr>
                <w:rFonts w:hint="default" w:ascii="Times New Roman" w:hAnsi="Times New Roman" w:cs="Times New Roman"/>
                <w:color w:val="auto"/>
                <w:shd w:val="clear" w:color="auto" w:fill="FFFFFF"/>
              </w:rPr>
              <w:t>地块</w:t>
            </w:r>
            <w:r>
              <w:rPr>
                <w:rFonts w:hint="default" w:ascii="Times New Roman" w:hAnsi="Times New Roman" w:cs="Times New Roman"/>
                <w:color w:val="auto"/>
                <w:shd w:val="clear" w:color="auto" w:fill="FFFFFF"/>
                <w:lang w:val="en-US" w:eastAsia="zh-CN"/>
              </w:rPr>
              <w:t>西侧</w:t>
            </w:r>
            <w:r>
              <w:rPr>
                <w:rFonts w:hint="default" w:ascii="Times New Roman" w:hAnsi="Times New Roman" w:cs="Times New Roman"/>
                <w:color w:val="auto"/>
                <w:shd w:val="clear" w:color="auto" w:fill="FFFFFF"/>
              </w:rPr>
              <w:t>有污水管网分布，本项目污水管网</w:t>
            </w:r>
            <w:r>
              <w:rPr>
                <w:rFonts w:hint="default" w:ascii="Times New Roman" w:hAnsi="Times New Roman" w:cs="Times New Roman"/>
                <w:color w:val="auto"/>
                <w:highlight w:val="none"/>
                <w:shd w:val="clear" w:color="auto" w:fill="FFFFFF"/>
              </w:rPr>
              <w:t>能够接入园区管网</w:t>
            </w:r>
            <w:r>
              <w:rPr>
                <w:rFonts w:hint="default" w:ascii="Times New Roman" w:hAnsi="Times New Roman" w:cs="Times New Roman"/>
                <w:color w:val="auto"/>
                <w:highlight w:val="none"/>
                <w:shd w:val="clear" w:color="auto" w:fill="FFFFFF"/>
                <w:lang w:val="en-US" w:eastAsia="zh-CN"/>
              </w:rPr>
              <w:t>(详见附件六)</w:t>
            </w:r>
            <w:r>
              <w:rPr>
                <w:rFonts w:hint="default" w:ascii="Times New Roman" w:hAnsi="Times New Roman" w:cs="Times New Roman"/>
                <w:color w:val="auto"/>
                <w:highlight w:val="none"/>
                <w:shd w:val="clear" w:color="auto" w:fill="FFFFFF"/>
              </w:rPr>
              <w:t>。</w:t>
            </w:r>
            <w:r>
              <w:rPr>
                <w:rFonts w:hint="default" w:ascii="Times New Roman" w:hAnsi="Times New Roman" w:cs="Times New Roman"/>
                <w:color w:val="auto"/>
                <w:szCs w:val="24"/>
                <w:lang w:eastAsia="zh-CN"/>
              </w:rPr>
              <w:t>江镜华侨农场污水处理厂</w:t>
            </w:r>
            <w:r>
              <w:rPr>
                <w:rFonts w:hint="default" w:ascii="Times New Roman" w:hAnsi="Times New Roman" w:cs="Times New Roman"/>
                <w:color w:val="auto"/>
                <w:shd w:val="clear" w:color="auto" w:fill="FFFFFF"/>
              </w:rPr>
              <w:t>及其配套管网工程现已建成。</w:t>
            </w:r>
          </w:p>
          <w:p w14:paraId="2975942E">
            <w:pPr>
              <w:pStyle w:val="81"/>
              <w:keepNext w:val="0"/>
              <w:keepLines w:val="0"/>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lang w:eastAsia="zh-CN"/>
              </w:rPr>
              <w:t>水质负荷</w:t>
            </w:r>
          </w:p>
          <w:p w14:paraId="66E2C6BC">
            <w:pPr>
              <w:pStyle w:val="81"/>
              <w:keepNext w:val="0"/>
              <w:keepLines w:val="0"/>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lang w:bidi="he-IL"/>
              </w:rPr>
              <w:t>本项目</w:t>
            </w:r>
            <w:r>
              <w:rPr>
                <w:rFonts w:hint="default" w:ascii="Times New Roman" w:hAnsi="Times New Roman" w:cs="Times New Roman"/>
                <w:color w:val="auto"/>
                <w:lang w:val="en-US" w:eastAsia="zh-CN" w:bidi="he-IL"/>
              </w:rPr>
              <w:t>废水</w:t>
            </w:r>
            <w:r>
              <w:rPr>
                <w:rFonts w:hint="default" w:ascii="Times New Roman" w:hAnsi="Times New Roman" w:cs="Times New Roman"/>
                <w:color w:val="auto"/>
                <w:lang w:bidi="he-IL"/>
              </w:rPr>
              <w:t>经处理后</w:t>
            </w:r>
            <w:r>
              <w:rPr>
                <w:rFonts w:hint="default" w:ascii="Times New Roman" w:hAnsi="Times New Roman" w:cs="Times New Roman"/>
                <w:color w:val="auto"/>
                <w:lang w:eastAsia="zh-CN" w:bidi="he-IL"/>
              </w:rPr>
              <w:t>排入市政污水管网内</w:t>
            </w:r>
            <w:r>
              <w:rPr>
                <w:rFonts w:hint="default" w:ascii="Times New Roman" w:hAnsi="Times New Roman" w:cs="Times New Roman"/>
                <w:color w:val="auto"/>
                <w:lang w:bidi="he-IL"/>
              </w:rPr>
              <w:t>污染物排放浓度情况表</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p>
          <w:p w14:paraId="141C84CD">
            <w:pPr>
              <w:widowControl/>
              <w:autoSpaceDE w:val="0"/>
              <w:autoSpaceDN w:val="0"/>
              <w:spacing w:before="162" w:beforeLines="50"/>
              <w:jc w:val="center"/>
              <w:textAlignment w:val="bottom"/>
              <w:rPr>
                <w:rFonts w:hint="default" w:ascii="Times New Roman" w:hAnsi="Times New Roman" w:eastAsia="黑体" w:cs="Times New Roman"/>
                <w:color w:val="auto"/>
                <w:kern w:val="0"/>
                <w:sz w:val="24"/>
                <w:szCs w:val="28"/>
                <w:highlight w:val="none"/>
              </w:rPr>
            </w:pPr>
            <w:r>
              <w:rPr>
                <w:rFonts w:hint="default" w:ascii="Times New Roman" w:hAnsi="Times New Roman" w:eastAsia="黑体" w:cs="Times New Roman"/>
                <w:color w:val="auto"/>
                <w:kern w:val="0"/>
                <w:sz w:val="24"/>
                <w:szCs w:val="28"/>
                <w:highlight w:val="none"/>
                <w:lang w:val="en-US" w:eastAsia="zh-CN"/>
              </w:rPr>
              <w:t>表4.3</w:t>
            </w:r>
            <w:r>
              <w:rPr>
                <w:rFonts w:hint="default" w:ascii="Times New Roman" w:hAnsi="Times New Roman" w:eastAsia="黑体" w:cs="Times New Roman"/>
                <w:color w:val="auto"/>
                <w:kern w:val="0"/>
                <w:sz w:val="24"/>
                <w:szCs w:val="28"/>
                <w:highlight w:val="none"/>
              </w:rPr>
              <w:t>-</w:t>
            </w:r>
            <w:r>
              <w:rPr>
                <w:rFonts w:hint="default" w:ascii="Times New Roman" w:hAnsi="Times New Roman" w:eastAsia="黑体" w:cs="Times New Roman"/>
                <w:color w:val="auto"/>
                <w:kern w:val="0"/>
                <w:sz w:val="24"/>
                <w:szCs w:val="28"/>
                <w:highlight w:val="none"/>
                <w:lang w:val="en-US" w:eastAsia="zh-CN"/>
              </w:rPr>
              <w:t>3</w:t>
            </w:r>
            <w:r>
              <w:rPr>
                <w:rFonts w:hint="default" w:ascii="Times New Roman" w:hAnsi="Times New Roman" w:eastAsia="黑体" w:cs="Times New Roman"/>
                <w:color w:val="auto"/>
                <w:kern w:val="0"/>
                <w:sz w:val="24"/>
                <w:szCs w:val="28"/>
                <w:highlight w:val="none"/>
              </w:rPr>
              <w:t xml:space="preserve">  本项目</w:t>
            </w:r>
            <w:r>
              <w:rPr>
                <w:rFonts w:hint="default" w:ascii="Times New Roman" w:hAnsi="Times New Roman" w:eastAsia="黑体" w:cs="Times New Roman"/>
                <w:color w:val="auto"/>
                <w:kern w:val="0"/>
                <w:sz w:val="24"/>
                <w:szCs w:val="28"/>
                <w:highlight w:val="none"/>
                <w:lang w:eastAsia="zh-CN"/>
              </w:rPr>
              <w:t>污水</w:t>
            </w:r>
            <w:r>
              <w:rPr>
                <w:rFonts w:hint="default" w:ascii="Times New Roman" w:hAnsi="Times New Roman" w:eastAsia="黑体" w:cs="Times New Roman"/>
                <w:color w:val="auto"/>
                <w:kern w:val="0"/>
                <w:sz w:val="24"/>
                <w:szCs w:val="28"/>
                <w:highlight w:val="none"/>
              </w:rPr>
              <w:t xml:space="preserve">排放情况一览表 </w:t>
            </w:r>
            <w:r>
              <w:rPr>
                <w:rFonts w:hint="default" w:ascii="Times New Roman" w:hAnsi="Times New Roman" w:eastAsia="黑体" w:cs="Times New Roman"/>
                <w:color w:val="auto"/>
                <w:kern w:val="0"/>
                <w:sz w:val="24"/>
                <w:szCs w:val="28"/>
                <w:highlight w:val="none"/>
                <w:lang w:val="en-US" w:eastAsia="zh-CN"/>
              </w:rPr>
              <w:t xml:space="preserve"> </w:t>
            </w:r>
            <w:r>
              <w:rPr>
                <w:rFonts w:hint="default" w:ascii="Times New Roman" w:hAnsi="Times New Roman" w:eastAsia="黑体" w:cs="Times New Roman"/>
                <w:color w:val="auto"/>
                <w:kern w:val="0"/>
                <w:sz w:val="24"/>
                <w:szCs w:val="28"/>
                <w:highlight w:val="none"/>
              </w:rPr>
              <w:t>单位：mg/L(</w:t>
            </w:r>
            <w:r>
              <w:rPr>
                <w:rFonts w:hint="default" w:ascii="Times New Roman" w:hAnsi="Times New Roman" w:eastAsia="黑体" w:cs="Times New Roman"/>
                <w:color w:val="auto"/>
                <w:kern w:val="0"/>
                <w:sz w:val="24"/>
                <w:szCs w:val="28"/>
                <w:highlight w:val="none"/>
                <w:lang w:val="en-US" w:eastAsia="zh-CN"/>
              </w:rPr>
              <w:t>pH</w:t>
            </w:r>
            <w:r>
              <w:rPr>
                <w:rFonts w:hint="default" w:ascii="Times New Roman" w:hAnsi="Times New Roman" w:eastAsia="黑体" w:cs="Times New Roman"/>
                <w:color w:val="auto"/>
                <w:kern w:val="0"/>
                <w:sz w:val="24"/>
                <w:szCs w:val="28"/>
                <w:highlight w:val="none"/>
              </w:rPr>
              <w:t>除外)</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544"/>
              <w:gridCol w:w="1301"/>
              <w:gridCol w:w="1301"/>
              <w:gridCol w:w="1730"/>
              <w:gridCol w:w="1038"/>
            </w:tblGrid>
            <w:tr w14:paraId="08B0E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6" w:type="pct"/>
                  <w:tcBorders>
                    <w:tl2br w:val="single" w:color="auto" w:sz="4" w:space="0"/>
                  </w:tcBorders>
                  <w:noWrap w:val="0"/>
                  <w:vAlign w:val="center"/>
                </w:tcPr>
                <w:p w14:paraId="504053B7">
                  <w:pPr>
                    <w:widowControl/>
                    <w:autoSpaceDE w:val="0"/>
                    <w:autoSpaceDN w:val="0"/>
                    <w:snapToGrid w:val="0"/>
                    <w:spacing w:line="340" w:lineRule="exact"/>
                    <w:jc w:val="center"/>
                    <w:textAlignment w:val="bottom"/>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rPr>
                    <w:t>项目</w:t>
                  </w:r>
                </w:p>
                <w:p w14:paraId="4276D3C9">
                  <w:pPr>
                    <w:widowControl/>
                    <w:autoSpaceDE w:val="0"/>
                    <w:autoSpaceDN w:val="0"/>
                    <w:spacing w:line="340" w:lineRule="exact"/>
                    <w:jc w:val="both"/>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w:t>
                  </w:r>
                </w:p>
              </w:tc>
              <w:tc>
                <w:tcPr>
                  <w:tcW w:w="925" w:type="pct"/>
                  <w:noWrap w:val="0"/>
                  <w:vAlign w:val="center"/>
                </w:tcPr>
                <w:p w14:paraId="06290351">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生活污水</w:t>
                  </w:r>
                  <w:r>
                    <w:rPr>
                      <w:rFonts w:hint="default" w:ascii="Times New Roman" w:hAnsi="Times New Roman" w:eastAsia="宋体" w:cs="Times New Roman"/>
                      <w:color w:val="auto"/>
                      <w:kern w:val="0"/>
                      <w:sz w:val="21"/>
                      <w:szCs w:val="21"/>
                    </w:rPr>
                    <w:t>排放浓度</w:t>
                  </w:r>
                </w:p>
              </w:tc>
              <w:tc>
                <w:tcPr>
                  <w:tcW w:w="779" w:type="pct"/>
                  <w:noWrap w:val="0"/>
                  <w:vAlign w:val="center"/>
                </w:tcPr>
                <w:p w14:paraId="0AE7471F">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生产废水</w:t>
                  </w:r>
                  <w:r>
                    <w:rPr>
                      <w:rFonts w:hint="default" w:ascii="Times New Roman" w:hAnsi="Times New Roman" w:eastAsia="宋体" w:cs="Times New Roman"/>
                      <w:color w:val="auto"/>
                      <w:kern w:val="0"/>
                      <w:sz w:val="21"/>
                      <w:szCs w:val="21"/>
                    </w:rPr>
                    <w:t>排放浓度</w:t>
                  </w:r>
                </w:p>
              </w:tc>
              <w:tc>
                <w:tcPr>
                  <w:tcW w:w="779" w:type="pct"/>
                  <w:noWrap w:val="0"/>
                  <w:vAlign w:val="center"/>
                </w:tcPr>
                <w:p w14:paraId="707E08E2">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排放标准限值</w:t>
                  </w:r>
                </w:p>
              </w:tc>
              <w:tc>
                <w:tcPr>
                  <w:tcW w:w="1036" w:type="pct"/>
                  <w:noWrap w:val="0"/>
                  <w:vAlign w:val="center"/>
                </w:tcPr>
                <w:p w14:paraId="3D86A882">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污水处理厂进水浓度</w:t>
                  </w:r>
                </w:p>
              </w:tc>
              <w:tc>
                <w:tcPr>
                  <w:tcW w:w="622" w:type="pct"/>
                  <w:noWrap w:val="0"/>
                  <w:vAlign w:val="center"/>
                </w:tcPr>
                <w:p w14:paraId="66104656">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p w14:paraId="42C35772">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情况</w:t>
                  </w:r>
                </w:p>
              </w:tc>
            </w:tr>
            <w:tr w14:paraId="7C2AE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6" w:type="pct"/>
                  <w:noWrap w:val="0"/>
                  <w:vAlign w:val="center"/>
                </w:tcPr>
                <w:p w14:paraId="06F0D2F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pH(无量纲)</w:t>
                  </w:r>
                </w:p>
              </w:tc>
              <w:tc>
                <w:tcPr>
                  <w:tcW w:w="925" w:type="pct"/>
                  <w:noWrap w:val="0"/>
                  <w:vAlign w:val="center"/>
                </w:tcPr>
                <w:p w14:paraId="1E85BA05">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sz w:val="21"/>
                      <w:szCs w:val="21"/>
                    </w:rPr>
                    <w:t>6～9</w:t>
                  </w:r>
                </w:p>
              </w:tc>
              <w:tc>
                <w:tcPr>
                  <w:tcW w:w="779" w:type="pct"/>
                  <w:noWrap w:val="0"/>
                  <w:vAlign w:val="center"/>
                </w:tcPr>
                <w:p w14:paraId="57969F01">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6～9</w:t>
                  </w:r>
                </w:p>
              </w:tc>
              <w:tc>
                <w:tcPr>
                  <w:tcW w:w="779" w:type="pct"/>
                  <w:noWrap w:val="0"/>
                  <w:vAlign w:val="center"/>
                </w:tcPr>
                <w:p w14:paraId="30E55E5A">
                  <w:pPr>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6～9</w:t>
                  </w:r>
                </w:p>
              </w:tc>
              <w:tc>
                <w:tcPr>
                  <w:tcW w:w="1036" w:type="pct"/>
                  <w:noWrap w:val="0"/>
                  <w:vAlign w:val="center"/>
                </w:tcPr>
                <w:p w14:paraId="0EA7A88F">
                  <w:pPr>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6～9</w:t>
                  </w:r>
                </w:p>
              </w:tc>
              <w:tc>
                <w:tcPr>
                  <w:tcW w:w="622" w:type="pct"/>
                  <w:noWrap w:val="0"/>
                  <w:vAlign w:val="center"/>
                </w:tcPr>
                <w:p w14:paraId="5CE23C90">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4E3E9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6" w:type="pct"/>
                  <w:noWrap w:val="0"/>
                  <w:vAlign w:val="center"/>
                </w:tcPr>
                <w:p w14:paraId="6075A603">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25" w:type="pct"/>
                  <w:noWrap w:val="0"/>
                  <w:vAlign w:val="center"/>
                </w:tcPr>
                <w:p w14:paraId="6C678EA2">
                  <w:pPr>
                    <w:adjustRightInd w:val="0"/>
                    <w:snapToGrid w:val="0"/>
                    <w:jc w:val="center"/>
                    <w:rPr>
                      <w:rFonts w:hint="default" w:ascii="Times New Roman" w:hAnsi="Times New Roman" w:eastAsia="宋体" w:cs="Times New Roman"/>
                      <w:color w:val="auto"/>
                      <w:kern w:val="0"/>
                      <w:sz w:val="21"/>
                      <w:szCs w:val="21"/>
                      <w:highlight w:val="red"/>
                      <w:lang w:val="en-US" w:eastAsia="zh-CN"/>
                    </w:rPr>
                  </w:pPr>
                  <w:r>
                    <w:rPr>
                      <w:rFonts w:hint="default" w:ascii="Times New Roman" w:hAnsi="Times New Roman" w:eastAsia="宋体" w:cs="Times New Roman"/>
                      <w:bCs/>
                      <w:color w:val="auto"/>
                      <w:sz w:val="21"/>
                      <w:szCs w:val="21"/>
                      <w:lang w:val="en-US" w:eastAsia="zh-CN"/>
                    </w:rPr>
                    <w:t>2</w:t>
                  </w:r>
                  <w:r>
                    <w:rPr>
                      <w:rFonts w:hint="default" w:ascii="Times New Roman" w:hAnsi="Times New Roman" w:cs="Times New Roman"/>
                      <w:bCs/>
                      <w:color w:val="auto"/>
                      <w:sz w:val="21"/>
                      <w:szCs w:val="21"/>
                      <w:lang w:val="en-US" w:eastAsia="zh-CN"/>
                    </w:rPr>
                    <w:t>04</w:t>
                  </w:r>
                </w:p>
              </w:tc>
              <w:tc>
                <w:tcPr>
                  <w:tcW w:w="779" w:type="pct"/>
                  <w:noWrap w:val="0"/>
                  <w:vAlign w:val="center"/>
                </w:tcPr>
                <w:p w14:paraId="60D0B2F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41.800</w:t>
                  </w:r>
                </w:p>
              </w:tc>
              <w:tc>
                <w:tcPr>
                  <w:tcW w:w="779" w:type="pct"/>
                  <w:noWrap w:val="0"/>
                  <w:vAlign w:val="center"/>
                </w:tcPr>
                <w:p w14:paraId="378F8134">
                  <w:pPr>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500</w:t>
                  </w:r>
                </w:p>
              </w:tc>
              <w:tc>
                <w:tcPr>
                  <w:tcW w:w="1036" w:type="pct"/>
                  <w:noWrap w:val="0"/>
                  <w:vAlign w:val="center"/>
                </w:tcPr>
                <w:p w14:paraId="4081B1F7">
                  <w:pPr>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400</w:t>
                  </w:r>
                </w:p>
              </w:tc>
              <w:tc>
                <w:tcPr>
                  <w:tcW w:w="622" w:type="pct"/>
                  <w:noWrap w:val="0"/>
                  <w:vAlign w:val="center"/>
                </w:tcPr>
                <w:p w14:paraId="695E8026">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4513D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6" w:type="pct"/>
                  <w:noWrap w:val="0"/>
                  <w:vAlign w:val="center"/>
                </w:tcPr>
                <w:p w14:paraId="3FA6335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925" w:type="pct"/>
                  <w:noWrap w:val="0"/>
                  <w:vAlign w:val="center"/>
                </w:tcPr>
                <w:p w14:paraId="60A3643C">
                  <w:pPr>
                    <w:adjustRightInd w:val="0"/>
                    <w:snapToGrid w:val="0"/>
                    <w:jc w:val="center"/>
                    <w:rPr>
                      <w:rFonts w:hint="default" w:ascii="Times New Roman" w:hAnsi="Times New Roman" w:eastAsia="宋体" w:cs="Times New Roman"/>
                      <w:color w:val="auto"/>
                      <w:kern w:val="0"/>
                      <w:sz w:val="21"/>
                      <w:szCs w:val="21"/>
                      <w:highlight w:val="red"/>
                      <w:lang w:val="en-US" w:eastAsia="zh-CN"/>
                    </w:rPr>
                  </w:pPr>
                  <w:r>
                    <w:rPr>
                      <w:rFonts w:hint="default" w:ascii="Times New Roman" w:hAnsi="Times New Roman" w:cs="Times New Roman"/>
                      <w:bCs/>
                      <w:color w:val="auto"/>
                      <w:sz w:val="21"/>
                      <w:szCs w:val="21"/>
                      <w:lang w:val="en-US" w:eastAsia="zh-CN"/>
                    </w:rPr>
                    <w:t>156</w:t>
                  </w:r>
                </w:p>
              </w:tc>
              <w:tc>
                <w:tcPr>
                  <w:tcW w:w="779" w:type="pct"/>
                  <w:noWrap w:val="0"/>
                  <w:vAlign w:val="center"/>
                </w:tcPr>
                <w:p w14:paraId="278BEC8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779" w:type="pct"/>
                  <w:noWrap w:val="0"/>
                  <w:vAlign w:val="center"/>
                </w:tcPr>
                <w:p w14:paraId="644929A8">
                  <w:pPr>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300</w:t>
                  </w:r>
                </w:p>
              </w:tc>
              <w:tc>
                <w:tcPr>
                  <w:tcW w:w="1036" w:type="pct"/>
                  <w:noWrap w:val="0"/>
                  <w:vAlign w:val="center"/>
                </w:tcPr>
                <w:p w14:paraId="6FBF3590">
                  <w:pPr>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180</w:t>
                  </w:r>
                </w:p>
              </w:tc>
              <w:tc>
                <w:tcPr>
                  <w:tcW w:w="622" w:type="pct"/>
                  <w:noWrap w:val="0"/>
                  <w:vAlign w:val="center"/>
                </w:tcPr>
                <w:p w14:paraId="098E6314">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3A885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6" w:type="pct"/>
                  <w:noWrap w:val="0"/>
                  <w:vAlign w:val="center"/>
                </w:tcPr>
                <w:p w14:paraId="236D518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SS</w:t>
                  </w:r>
                </w:p>
              </w:tc>
              <w:tc>
                <w:tcPr>
                  <w:tcW w:w="925" w:type="pct"/>
                  <w:noWrap w:val="0"/>
                  <w:vAlign w:val="center"/>
                </w:tcPr>
                <w:p w14:paraId="50D99EE7">
                  <w:pPr>
                    <w:adjustRightInd w:val="0"/>
                    <w:snapToGrid w:val="0"/>
                    <w:jc w:val="center"/>
                    <w:rPr>
                      <w:rFonts w:hint="default" w:ascii="Times New Roman" w:hAnsi="Times New Roman" w:eastAsia="宋体" w:cs="Times New Roman"/>
                      <w:color w:val="auto"/>
                      <w:kern w:val="0"/>
                      <w:sz w:val="21"/>
                      <w:szCs w:val="21"/>
                      <w:highlight w:val="red"/>
                      <w:lang w:val="en-US" w:eastAsia="zh-CN"/>
                    </w:rPr>
                  </w:pPr>
                  <w:r>
                    <w:rPr>
                      <w:rFonts w:hint="default" w:ascii="Times New Roman" w:hAnsi="Times New Roman" w:eastAsia="宋体" w:cs="Times New Roman"/>
                      <w:bCs/>
                      <w:color w:val="auto"/>
                      <w:sz w:val="21"/>
                      <w:szCs w:val="21"/>
                      <w:lang w:val="en-US" w:eastAsia="zh-CN"/>
                    </w:rPr>
                    <w:t>88</w:t>
                  </w:r>
                </w:p>
              </w:tc>
              <w:tc>
                <w:tcPr>
                  <w:tcW w:w="779" w:type="pct"/>
                  <w:noWrap w:val="0"/>
                  <w:vAlign w:val="center"/>
                </w:tcPr>
                <w:p w14:paraId="7A89E6C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779" w:type="pct"/>
                  <w:noWrap w:val="0"/>
                  <w:vAlign w:val="center"/>
                </w:tcPr>
                <w:p w14:paraId="5F37CBD5">
                  <w:pPr>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400</w:t>
                  </w:r>
                </w:p>
              </w:tc>
              <w:tc>
                <w:tcPr>
                  <w:tcW w:w="1036" w:type="pct"/>
                  <w:noWrap w:val="0"/>
                  <w:vAlign w:val="center"/>
                </w:tcPr>
                <w:p w14:paraId="007D6A00">
                  <w:pPr>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300</w:t>
                  </w:r>
                </w:p>
              </w:tc>
              <w:tc>
                <w:tcPr>
                  <w:tcW w:w="622" w:type="pct"/>
                  <w:noWrap w:val="0"/>
                  <w:vAlign w:val="center"/>
                </w:tcPr>
                <w:p w14:paraId="6211CE1B">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03FC8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6" w:type="pct"/>
                  <w:noWrap w:val="0"/>
                  <w:vAlign w:val="center"/>
                </w:tcPr>
                <w:p w14:paraId="63DEC832">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925" w:type="pct"/>
                  <w:noWrap w:val="0"/>
                  <w:vAlign w:val="center"/>
                </w:tcPr>
                <w:p w14:paraId="734AF486">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Cs/>
                      <w:color w:val="auto"/>
                      <w:sz w:val="21"/>
                      <w:szCs w:val="21"/>
                      <w:lang w:val="en-US" w:eastAsia="zh-CN"/>
                    </w:rPr>
                    <w:t>29.34</w:t>
                  </w:r>
                </w:p>
              </w:tc>
              <w:tc>
                <w:tcPr>
                  <w:tcW w:w="779" w:type="pct"/>
                  <w:noWrap w:val="0"/>
                  <w:vAlign w:val="center"/>
                </w:tcPr>
                <w:p w14:paraId="7063224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4.6</w:t>
                  </w:r>
                </w:p>
              </w:tc>
              <w:tc>
                <w:tcPr>
                  <w:tcW w:w="779" w:type="pct"/>
                  <w:noWrap w:val="0"/>
                  <w:vAlign w:val="center"/>
                </w:tcPr>
                <w:p w14:paraId="4CDCDD8B">
                  <w:pPr>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45</w:t>
                  </w:r>
                </w:p>
              </w:tc>
              <w:tc>
                <w:tcPr>
                  <w:tcW w:w="1036" w:type="pct"/>
                  <w:noWrap w:val="0"/>
                  <w:vAlign w:val="center"/>
                </w:tcPr>
                <w:p w14:paraId="6A36BF48">
                  <w:pPr>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35</w:t>
                  </w:r>
                </w:p>
              </w:tc>
              <w:tc>
                <w:tcPr>
                  <w:tcW w:w="622" w:type="pct"/>
                  <w:noWrap w:val="0"/>
                  <w:vAlign w:val="center"/>
                </w:tcPr>
                <w:p w14:paraId="631C46A4">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0A2C3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6" w:type="pct"/>
                  <w:shd w:val="clear" w:color="auto" w:fill="auto"/>
                  <w:noWrap w:val="0"/>
                  <w:vAlign w:val="center"/>
                </w:tcPr>
                <w:p w14:paraId="67F956A5">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0"/>
                      <w:sz w:val="21"/>
                      <w:szCs w:val="21"/>
                      <w:vertAlign w:val="baseline"/>
                      <w:lang w:val="en-US" w:eastAsia="zh-CN"/>
                    </w:rPr>
                    <w:t>石油类</w:t>
                  </w:r>
                </w:p>
              </w:tc>
              <w:tc>
                <w:tcPr>
                  <w:tcW w:w="925" w:type="pct"/>
                  <w:noWrap w:val="0"/>
                  <w:vAlign w:val="center"/>
                </w:tcPr>
                <w:p w14:paraId="0227C3BB">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779" w:type="pct"/>
                  <w:shd w:val="clear" w:color="auto" w:fill="auto"/>
                  <w:noWrap w:val="0"/>
                  <w:vAlign w:val="center"/>
                </w:tcPr>
                <w:p w14:paraId="42838785">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w:t>
                  </w:r>
                </w:p>
              </w:tc>
              <w:tc>
                <w:tcPr>
                  <w:tcW w:w="779" w:type="pct"/>
                  <w:shd w:val="clear" w:color="auto" w:fill="auto"/>
                  <w:noWrap w:val="0"/>
                  <w:vAlign w:val="center"/>
                </w:tcPr>
                <w:p w14:paraId="1E47070A">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20</w:t>
                  </w:r>
                </w:p>
              </w:tc>
              <w:tc>
                <w:tcPr>
                  <w:tcW w:w="1036" w:type="pct"/>
                  <w:noWrap w:val="0"/>
                  <w:vAlign w:val="center"/>
                </w:tcPr>
                <w:p w14:paraId="0B09FE31">
                  <w:pPr>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622" w:type="pct"/>
                  <w:noWrap w:val="0"/>
                  <w:vAlign w:val="center"/>
                </w:tcPr>
                <w:p w14:paraId="4ACFDB76">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384A5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6" w:type="pct"/>
                  <w:shd w:val="clear" w:color="auto" w:fill="auto"/>
                  <w:noWrap w:val="0"/>
                  <w:vAlign w:val="center"/>
                </w:tcPr>
                <w:p w14:paraId="105258ED">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0"/>
                      <w:sz w:val="21"/>
                      <w:szCs w:val="21"/>
                      <w:vertAlign w:val="baseline"/>
                      <w:lang w:val="en-US" w:eastAsia="zh-CN"/>
                    </w:rPr>
                    <w:t>TN</w:t>
                  </w:r>
                </w:p>
              </w:tc>
              <w:tc>
                <w:tcPr>
                  <w:tcW w:w="925" w:type="pct"/>
                  <w:noWrap w:val="0"/>
                  <w:vAlign w:val="center"/>
                </w:tcPr>
                <w:p w14:paraId="1EA5FFE5">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779" w:type="pct"/>
                  <w:shd w:val="clear" w:color="auto" w:fill="auto"/>
                  <w:noWrap w:val="0"/>
                  <w:vAlign w:val="center"/>
                </w:tcPr>
                <w:p w14:paraId="6292CAB0">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14.40</w:t>
                  </w:r>
                </w:p>
              </w:tc>
              <w:tc>
                <w:tcPr>
                  <w:tcW w:w="779" w:type="pct"/>
                  <w:shd w:val="clear" w:color="auto" w:fill="auto"/>
                  <w:noWrap w:val="0"/>
                  <w:vAlign w:val="center"/>
                </w:tcPr>
                <w:p w14:paraId="7AC95A20">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70</w:t>
                  </w:r>
                </w:p>
              </w:tc>
              <w:tc>
                <w:tcPr>
                  <w:tcW w:w="1036" w:type="pct"/>
                  <w:noWrap w:val="0"/>
                  <w:vAlign w:val="center"/>
                </w:tcPr>
                <w:p w14:paraId="28A21F2A">
                  <w:pPr>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45</w:t>
                  </w:r>
                </w:p>
              </w:tc>
              <w:tc>
                <w:tcPr>
                  <w:tcW w:w="622" w:type="pct"/>
                  <w:noWrap w:val="0"/>
                  <w:vAlign w:val="center"/>
                </w:tcPr>
                <w:p w14:paraId="5E63F34C">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14:paraId="5F69F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6" w:type="pct"/>
                  <w:shd w:val="clear" w:color="auto" w:fill="auto"/>
                  <w:noWrap w:val="0"/>
                  <w:vAlign w:val="center"/>
                </w:tcPr>
                <w:p w14:paraId="3998F53D">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0"/>
                      <w:sz w:val="21"/>
                      <w:szCs w:val="21"/>
                      <w:vertAlign w:val="baseline"/>
                      <w:lang w:val="en-US" w:eastAsia="zh-CN"/>
                    </w:rPr>
                    <w:t>TP</w:t>
                  </w:r>
                </w:p>
              </w:tc>
              <w:tc>
                <w:tcPr>
                  <w:tcW w:w="925" w:type="pct"/>
                  <w:noWrap w:val="0"/>
                  <w:vAlign w:val="center"/>
                </w:tcPr>
                <w:p w14:paraId="303DAFBD">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779" w:type="pct"/>
                  <w:shd w:val="clear" w:color="auto" w:fill="auto"/>
                  <w:noWrap w:val="0"/>
                  <w:vAlign w:val="center"/>
                </w:tcPr>
                <w:p w14:paraId="18227F9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w:t>
                  </w:r>
                </w:p>
              </w:tc>
              <w:tc>
                <w:tcPr>
                  <w:tcW w:w="779" w:type="pct"/>
                  <w:shd w:val="clear" w:color="auto" w:fill="auto"/>
                  <w:noWrap w:val="0"/>
                  <w:vAlign w:val="center"/>
                </w:tcPr>
                <w:p w14:paraId="48539016">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w:t>
                  </w:r>
                </w:p>
              </w:tc>
              <w:tc>
                <w:tcPr>
                  <w:tcW w:w="1036" w:type="pct"/>
                  <w:noWrap w:val="0"/>
                  <w:vAlign w:val="center"/>
                </w:tcPr>
                <w:p w14:paraId="1273DDCE">
                  <w:pPr>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w:t>
                  </w:r>
                </w:p>
              </w:tc>
              <w:tc>
                <w:tcPr>
                  <w:tcW w:w="622" w:type="pct"/>
                  <w:noWrap w:val="0"/>
                  <w:vAlign w:val="center"/>
                </w:tcPr>
                <w:p w14:paraId="3FD5045B">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bl>
          <w:p w14:paraId="14C26E01">
            <w:pPr>
              <w:pStyle w:val="92"/>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0"/>
              <w:textAlignment w:val="auto"/>
              <w:rPr>
                <w:rFonts w:hint="default" w:ascii="Times New Roman" w:hAnsi="Times New Roman" w:eastAsia="宋体" w:cs="Times New Roman"/>
                <w:color w:val="auto"/>
                <w:lang w:val="en-US" w:eastAsia="zh-CN" w:bidi="he-IL"/>
              </w:rPr>
            </w:pPr>
            <w:r>
              <w:rPr>
                <w:rFonts w:hint="default" w:ascii="Times New Roman" w:hAnsi="Times New Roman" w:cs="Times New Roman"/>
                <w:color w:val="auto"/>
                <w:lang w:bidi="he-IL"/>
              </w:rPr>
              <w:t>根据上表所列数据，本项目</w:t>
            </w:r>
            <w:r>
              <w:rPr>
                <w:rFonts w:hint="eastAsia" w:ascii="Times New Roman" w:hAnsi="Times New Roman" w:cs="Times New Roman"/>
                <w:color w:val="auto"/>
                <w:lang w:val="en-US" w:eastAsia="zh-CN" w:bidi="he-IL"/>
              </w:rPr>
              <w:t>外排废水</w:t>
            </w:r>
            <w:r>
              <w:rPr>
                <w:rFonts w:hint="default" w:ascii="Times New Roman" w:hAnsi="Times New Roman" w:cs="Times New Roman"/>
                <w:color w:val="auto"/>
                <w:lang w:bidi="he-IL"/>
              </w:rPr>
              <w:t>主要污染物排放浓度均能满足</w:t>
            </w:r>
            <w:r>
              <w:rPr>
                <w:rFonts w:hint="default" w:ascii="Times New Roman" w:hAnsi="Times New Roman" w:cs="Times New Roman"/>
                <w:color w:val="auto"/>
                <w:spacing w:val="4"/>
              </w:rPr>
              <w:t>《污水综合排放标准》(GB8978-1996)表4三级标准</w:t>
            </w:r>
            <w:r>
              <w:rPr>
                <w:rFonts w:hint="default" w:ascii="Times New Roman" w:hAnsi="Times New Roman" w:cs="Times New Roman"/>
                <w:color w:val="auto"/>
                <w:lang w:eastAsia="zh-CN"/>
              </w:rPr>
              <w:t>及</w:t>
            </w:r>
            <w:r>
              <w:rPr>
                <w:rFonts w:hint="default" w:ascii="Times New Roman" w:hAnsi="Times New Roman" w:cs="Times New Roman"/>
                <w:color w:val="auto"/>
              </w:rPr>
              <w:t>《污水排入城镇下水道水质标准》(GB/T 31962-2015)表1中B级标准限值</w:t>
            </w:r>
            <w:r>
              <w:rPr>
                <w:rFonts w:hint="default" w:ascii="Times New Roman" w:hAnsi="Times New Roman" w:cs="Times New Roman"/>
                <w:color w:val="auto"/>
                <w:lang w:eastAsia="zh-CN"/>
              </w:rPr>
              <w:t>，也可以符合污水处理厂进水水质</w:t>
            </w:r>
            <w:r>
              <w:rPr>
                <w:rFonts w:hint="default" w:ascii="Times New Roman" w:hAnsi="Times New Roman" w:cs="Times New Roman"/>
                <w:color w:val="auto"/>
                <w:lang w:bidi="he-IL"/>
              </w:rPr>
              <w:t>。</w:t>
            </w:r>
          </w:p>
          <w:p w14:paraId="74F5B202">
            <w:pPr>
              <w:pStyle w:val="81"/>
              <w:keepNext w:val="0"/>
              <w:keepLines w:val="0"/>
              <w:pageBreakBefore w:val="0"/>
              <w:widowControl w:val="0"/>
              <w:kinsoku/>
              <w:wordWrap/>
              <w:overflowPunct/>
              <w:topLinePunct w:val="0"/>
              <w:autoSpaceDE/>
              <w:autoSpaceDN/>
              <w:bidi w:val="0"/>
              <w:adjustRightInd/>
              <w:snapToGrid/>
              <w:spacing w:before="0" w:after="0" w:line="360" w:lineRule="auto"/>
              <w:ind w:left="0" w:leftChars="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lang w:eastAsia="zh-CN"/>
              </w:rPr>
              <w:t>项目废水排放不涉及有毒有害污染物，不涉及持久性、重金属污染物，也</w:t>
            </w:r>
            <w:r>
              <w:rPr>
                <w:rFonts w:hint="default" w:ascii="Times New Roman" w:hAnsi="Times New Roman" w:cs="Times New Roman"/>
                <w:color w:val="auto"/>
              </w:rPr>
              <w:t>不含有腐蚀成分</w:t>
            </w:r>
            <w:r>
              <w:rPr>
                <w:rFonts w:hint="default" w:ascii="Times New Roman" w:hAnsi="Times New Roman" w:cs="Times New Roman"/>
                <w:color w:val="auto"/>
                <w:lang w:eastAsia="zh-CN"/>
              </w:rPr>
              <w:t>，因此，从水质方面分析，项目废水经处理达标后，江镜华侨农场污水处理厂可</w:t>
            </w:r>
            <w:r>
              <w:rPr>
                <w:rFonts w:hint="default" w:ascii="Times New Roman" w:hAnsi="Times New Roman" w:cs="Times New Roman"/>
                <w:color w:val="auto"/>
              </w:rPr>
              <w:t>接纳项目</w:t>
            </w:r>
            <w:r>
              <w:rPr>
                <w:rFonts w:hint="default" w:ascii="Times New Roman" w:hAnsi="Times New Roman" w:cs="Times New Roman"/>
                <w:color w:val="auto"/>
                <w:lang w:eastAsia="zh-CN"/>
              </w:rPr>
              <w:t>废水水质，不会对污水处理厂水质负荷造成冲击</w:t>
            </w:r>
            <w:r>
              <w:rPr>
                <w:rFonts w:hint="default" w:ascii="Times New Roman" w:hAnsi="Times New Roman" w:cs="Times New Roman"/>
                <w:color w:val="auto"/>
              </w:rPr>
              <w:t>。</w:t>
            </w:r>
          </w:p>
          <w:p w14:paraId="7DEB8EA1">
            <w:pPr>
              <w:pStyle w:val="81"/>
              <w:rPr>
                <w:rFonts w:hint="default" w:ascii="Times New Roman" w:hAnsi="Times New Roman" w:cs="Times New Roman"/>
                <w:color w:val="auto"/>
                <w:highlight w:val="none"/>
                <w:lang w:val="en-US" w:eastAsia="zh-CN" w:bidi="he-IL"/>
              </w:rPr>
            </w:pPr>
            <w:r>
              <w:rPr>
                <w:rFonts w:hint="default" w:ascii="Times New Roman" w:hAnsi="Times New Roman" w:cs="Times New Roman"/>
                <w:color w:val="auto"/>
                <w:highlight w:val="none"/>
                <w:lang w:val="en-US" w:eastAsia="zh-CN" w:bidi="he-IL"/>
              </w:rPr>
              <w:t>③水量负荷</w:t>
            </w:r>
          </w:p>
          <w:p w14:paraId="67DA00B6">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根据业主提供的资料，厂房外已建设的化粪池大小为3m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vertAlign w:val="baseline"/>
                <w:lang w:val="en-US" w:eastAsia="zh-CN"/>
              </w:rPr>
              <w:t>，拟建污水处理设施处理能力为40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/d。本项目外排</w:t>
            </w:r>
            <w:r>
              <w:rPr>
                <w:rFonts w:hint="eastAsia" w:cs="Times New Roman"/>
                <w:color w:val="auto"/>
                <w:sz w:val="24"/>
                <w:szCs w:val="24"/>
                <w:lang w:val="en-US" w:eastAsia="zh-CN"/>
              </w:rPr>
              <w:t>生活</w:t>
            </w:r>
            <w:r>
              <w:rPr>
                <w:rFonts w:hint="default" w:ascii="Times New Roman" w:hAnsi="Times New Roman" w:cs="Times New Roman"/>
                <w:color w:val="auto"/>
                <w:sz w:val="24"/>
                <w:szCs w:val="24"/>
                <w:lang w:val="en-US" w:eastAsia="zh-CN"/>
              </w:rPr>
              <w:t>污水排放量为0.51m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/d，生产废水产生量为</w:t>
            </w:r>
            <w:r>
              <w:rPr>
                <w:rFonts w:hint="eastAsia" w:cs="Times New Roman"/>
                <w:color w:val="auto"/>
                <w:sz w:val="24"/>
                <w:szCs w:val="24"/>
                <w:lang w:val="en-US" w:eastAsia="zh-CN"/>
              </w:rPr>
              <w:t>32.27</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/d，因此，化粪池可消纳本项目产生的生活污水，拟建的</w:t>
            </w:r>
            <w:r>
              <w:rPr>
                <w:rFonts w:hint="eastAsia" w:ascii="Times New Roman" w:hAnsi="Times New Roman" w:cs="Times New Roman"/>
                <w:color w:val="auto"/>
                <w:sz w:val="24"/>
                <w:szCs w:val="24"/>
                <w:lang w:val="en-US" w:eastAsia="zh-CN"/>
              </w:rPr>
              <w:t>废水处理设施</w:t>
            </w:r>
            <w:r>
              <w:rPr>
                <w:rFonts w:hint="default" w:ascii="Times New Roman" w:hAnsi="Times New Roman" w:cs="Times New Roman"/>
                <w:color w:val="auto"/>
                <w:sz w:val="24"/>
                <w:szCs w:val="24"/>
                <w:lang w:val="en-US" w:eastAsia="zh-CN"/>
              </w:rPr>
              <w:t>可</w:t>
            </w:r>
            <w:r>
              <w:rPr>
                <w:rFonts w:hint="eastAsia" w:ascii="Times New Roman" w:hAnsi="Times New Roman" w:cs="Times New Roman"/>
                <w:color w:val="auto"/>
                <w:sz w:val="24"/>
                <w:szCs w:val="24"/>
                <w:lang w:val="en-US" w:eastAsia="zh-CN"/>
              </w:rPr>
              <w:t>满足生产负荷</w:t>
            </w:r>
            <w:r>
              <w:rPr>
                <w:rFonts w:hint="default" w:ascii="Times New Roman" w:hAnsi="Times New Roman" w:cs="Times New Roman"/>
                <w:color w:val="auto"/>
                <w:sz w:val="24"/>
                <w:szCs w:val="24"/>
                <w:lang w:val="en-US" w:eastAsia="zh-CN"/>
              </w:rPr>
              <w:t>。</w:t>
            </w:r>
          </w:p>
          <w:p w14:paraId="04B631A4">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另外，本项目拟在生产废水排放口设置在线监测设备，通过监测流量指标对项目外排生产废水进行管控，如发生超</w:t>
            </w:r>
            <w:r>
              <w:rPr>
                <w:rFonts w:hint="eastAsia" w:cs="Times New Roman"/>
                <w:color w:val="auto"/>
                <w:sz w:val="24"/>
                <w:szCs w:val="24"/>
                <w:lang w:val="en-US" w:eastAsia="zh-CN"/>
              </w:rPr>
              <w:t>量</w:t>
            </w:r>
            <w:r>
              <w:rPr>
                <w:rFonts w:hint="default" w:ascii="Times New Roman" w:hAnsi="Times New Roman" w:cs="Times New Roman"/>
                <w:color w:val="auto"/>
                <w:sz w:val="24"/>
                <w:szCs w:val="24"/>
                <w:lang w:val="en-US" w:eastAsia="zh-CN"/>
              </w:rPr>
              <w:t>排放，立即停止生产，将事故废水引至事故水罐暂存。</w:t>
            </w:r>
          </w:p>
          <w:p w14:paraId="534DBC4C">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江镜华侨农场污水处理厂</w:t>
            </w:r>
            <w:r>
              <w:rPr>
                <w:rFonts w:hint="default" w:ascii="Times New Roman" w:hAnsi="Times New Roman" w:cs="Times New Roman"/>
                <w:color w:val="auto"/>
                <w:sz w:val="24"/>
                <w:szCs w:val="24"/>
                <w:shd w:val="clear" w:color="auto" w:fill="FFFFFF"/>
              </w:rPr>
              <w:t>投建一期一组1.25万m</w:t>
            </w:r>
            <w:r>
              <w:rPr>
                <w:rFonts w:hint="default" w:ascii="Times New Roman" w:hAnsi="Times New Roman" w:cs="Times New Roman"/>
                <w:color w:val="auto"/>
                <w:sz w:val="24"/>
                <w:szCs w:val="24"/>
                <w:shd w:val="clear" w:color="auto" w:fill="FFFFFF"/>
                <w:vertAlign w:val="superscript"/>
              </w:rPr>
              <w:t>3</w:t>
            </w:r>
            <w:r>
              <w:rPr>
                <w:rFonts w:hint="default" w:ascii="Times New Roman" w:hAnsi="Times New Roman" w:cs="Times New Roman"/>
                <w:color w:val="auto"/>
                <w:sz w:val="24"/>
                <w:szCs w:val="24"/>
                <w:shd w:val="clear" w:color="auto" w:fill="FFFFFF"/>
              </w:rPr>
              <w:t>/d，预留一期二组1.25万m</w:t>
            </w:r>
            <w:r>
              <w:rPr>
                <w:rFonts w:hint="default" w:ascii="Times New Roman" w:hAnsi="Times New Roman" w:cs="Times New Roman"/>
                <w:color w:val="auto"/>
                <w:sz w:val="24"/>
                <w:szCs w:val="24"/>
                <w:shd w:val="clear" w:color="auto" w:fill="FFFFFF"/>
                <w:vertAlign w:val="superscript"/>
              </w:rPr>
              <w:t>3</w:t>
            </w:r>
            <w:r>
              <w:rPr>
                <w:rFonts w:hint="default" w:ascii="Times New Roman" w:hAnsi="Times New Roman" w:cs="Times New Roman"/>
                <w:color w:val="auto"/>
                <w:sz w:val="24"/>
                <w:szCs w:val="24"/>
                <w:shd w:val="clear" w:color="auto" w:fill="FFFFFF"/>
              </w:rPr>
              <w:t>/d，远期2030年污水工程规模为15.0万m</w:t>
            </w:r>
            <w:r>
              <w:rPr>
                <w:rFonts w:hint="default" w:ascii="Times New Roman" w:hAnsi="Times New Roman" w:cs="Times New Roman"/>
                <w:color w:val="auto"/>
                <w:sz w:val="24"/>
                <w:szCs w:val="24"/>
                <w:shd w:val="clear" w:color="auto" w:fill="FFFFFF"/>
                <w:vertAlign w:val="superscript"/>
              </w:rPr>
              <w:t>3</w:t>
            </w:r>
            <w:r>
              <w:rPr>
                <w:rFonts w:hint="default" w:ascii="Times New Roman" w:hAnsi="Times New Roman" w:cs="Times New Roman"/>
                <w:color w:val="auto"/>
                <w:sz w:val="24"/>
                <w:szCs w:val="24"/>
                <w:shd w:val="clear" w:color="auto" w:fill="FFFFFF"/>
              </w:rPr>
              <w:t>/d。</w:t>
            </w:r>
            <w:r>
              <w:rPr>
                <w:rFonts w:hint="default" w:ascii="Times New Roman" w:hAnsi="Times New Roman" w:cs="Times New Roman"/>
                <w:color w:val="auto"/>
                <w:sz w:val="24"/>
                <w:szCs w:val="24"/>
                <w:lang w:eastAsia="zh-CN"/>
              </w:rPr>
              <w:t>根据调查，</w:t>
            </w:r>
            <w:r>
              <w:rPr>
                <w:rFonts w:hint="default" w:ascii="Times New Roman" w:hAnsi="Times New Roman" w:cs="Times New Roman"/>
                <w:color w:val="auto"/>
                <w:sz w:val="24"/>
                <w:szCs w:val="24"/>
              </w:rPr>
              <w:t>目前</w:t>
            </w:r>
            <w:r>
              <w:rPr>
                <w:rFonts w:hint="default" w:ascii="Times New Roman" w:hAnsi="Times New Roman" w:cs="Times New Roman"/>
                <w:color w:val="auto"/>
                <w:sz w:val="24"/>
                <w:szCs w:val="24"/>
                <w:lang w:eastAsia="zh-CN"/>
              </w:rPr>
              <w:t>江镜华侨农场污水处理厂</w:t>
            </w:r>
            <w:r>
              <w:rPr>
                <w:rFonts w:hint="default" w:ascii="Times New Roman" w:hAnsi="Times New Roman" w:cs="Times New Roman"/>
                <w:color w:val="auto"/>
                <w:sz w:val="24"/>
                <w:szCs w:val="24"/>
              </w:rPr>
              <w:t>实际</w:t>
            </w:r>
            <w:r>
              <w:rPr>
                <w:rFonts w:hint="default" w:ascii="Times New Roman" w:hAnsi="Times New Roman" w:cs="Times New Roman"/>
                <w:color w:val="auto"/>
                <w:sz w:val="24"/>
                <w:szCs w:val="24"/>
                <w:lang w:val="en-US" w:eastAsia="zh-CN"/>
              </w:rPr>
              <w:t>日平均</w:t>
            </w:r>
            <w:r>
              <w:rPr>
                <w:rFonts w:hint="default" w:ascii="Times New Roman" w:hAnsi="Times New Roman" w:cs="Times New Roman"/>
                <w:color w:val="auto"/>
                <w:sz w:val="24"/>
                <w:szCs w:val="24"/>
              </w:rPr>
              <w:t>处理量为</w:t>
            </w:r>
            <w:r>
              <w:rPr>
                <w:rFonts w:hint="default" w:ascii="Times New Roman" w:hAnsi="Times New Roman" w:cs="Times New Roman"/>
                <w:color w:val="auto"/>
                <w:sz w:val="24"/>
                <w:szCs w:val="24"/>
                <w:lang w:val="en-US" w:eastAsia="zh-CN"/>
              </w:rPr>
              <w:t>2000</w:t>
            </w:r>
            <w:r>
              <w:rPr>
                <w:rFonts w:hint="default" w:ascii="Times New Roman" w:hAnsi="Times New Roman" w:cs="Times New Roman"/>
                <w:color w:val="auto"/>
                <w:sz w:val="24"/>
                <w:szCs w:val="24"/>
              </w:rPr>
              <w:t>t/d，尚有余量</w:t>
            </w:r>
            <w:r>
              <w:rPr>
                <w:rFonts w:hint="default" w:ascii="Times New Roman" w:hAnsi="Times New Roman" w:cs="Times New Roman"/>
                <w:color w:val="auto"/>
                <w:sz w:val="24"/>
                <w:szCs w:val="24"/>
                <w:lang w:val="en-US" w:eastAsia="zh-CN"/>
              </w:rPr>
              <w:t>10500</w:t>
            </w:r>
            <w:r>
              <w:rPr>
                <w:rFonts w:hint="default" w:ascii="Times New Roman" w:hAnsi="Times New Roman" w:cs="Times New Roman"/>
                <w:color w:val="auto"/>
                <w:sz w:val="24"/>
                <w:szCs w:val="24"/>
              </w:rPr>
              <w:t>t/d。项目</w:t>
            </w:r>
            <w:r>
              <w:rPr>
                <w:rFonts w:hint="default" w:ascii="Times New Roman" w:hAnsi="Times New Roman" w:cs="Times New Roman"/>
                <w:color w:val="auto"/>
                <w:sz w:val="24"/>
                <w:szCs w:val="24"/>
                <w:lang w:val="en-US" w:eastAsia="zh-CN"/>
              </w:rPr>
              <w:t>废水</w:t>
            </w:r>
            <w:r>
              <w:rPr>
                <w:rFonts w:hint="default" w:ascii="Times New Roman" w:hAnsi="Times New Roman" w:cs="Times New Roman"/>
                <w:color w:val="auto"/>
                <w:sz w:val="24"/>
                <w:szCs w:val="24"/>
              </w:rPr>
              <w:t>排放量</w:t>
            </w:r>
            <w:r>
              <w:rPr>
                <w:rFonts w:hint="eastAsia" w:cs="Times New Roman"/>
                <w:color w:val="auto"/>
                <w:sz w:val="24"/>
                <w:szCs w:val="24"/>
                <w:lang w:val="en-US" w:eastAsia="zh-CN"/>
              </w:rPr>
              <w:t>4.2</w:t>
            </w:r>
            <w:r>
              <w:rPr>
                <w:rFonts w:hint="default" w:ascii="Times New Roman" w:hAnsi="Times New Roman" w:cs="Times New Roman"/>
                <w:color w:val="auto"/>
                <w:sz w:val="24"/>
                <w:szCs w:val="24"/>
              </w:rPr>
              <w:t>t/d，仅占</w:t>
            </w:r>
            <w:r>
              <w:rPr>
                <w:rFonts w:hint="default" w:ascii="Times New Roman" w:hAnsi="Times New Roman" w:cs="Times New Roman"/>
                <w:color w:val="auto"/>
                <w:sz w:val="24"/>
                <w:szCs w:val="24"/>
                <w:lang w:eastAsia="zh-CN"/>
              </w:rPr>
              <w:t>江镜华侨农场污水处理厂</w:t>
            </w:r>
            <w:r>
              <w:rPr>
                <w:rFonts w:hint="default" w:ascii="Times New Roman" w:hAnsi="Times New Roman" w:cs="Times New Roman"/>
                <w:color w:val="auto"/>
                <w:sz w:val="24"/>
                <w:szCs w:val="24"/>
              </w:rPr>
              <w:t>处理余量的</w:t>
            </w:r>
            <w:r>
              <w:rPr>
                <w:rFonts w:hint="default" w:ascii="Times New Roman" w:hAnsi="Times New Roman" w:cs="Times New Roman"/>
                <w:color w:val="auto"/>
                <w:sz w:val="24"/>
                <w:szCs w:val="24"/>
                <w:lang w:val="en-US" w:eastAsia="zh-CN"/>
              </w:rPr>
              <w:t>0.</w:t>
            </w:r>
            <w:r>
              <w:rPr>
                <w:rFonts w:hint="eastAsia" w:cs="Times New Roman"/>
                <w:color w:val="auto"/>
                <w:sz w:val="24"/>
                <w:szCs w:val="24"/>
                <w:lang w:val="en-US" w:eastAsia="zh-CN"/>
              </w:rPr>
              <w:t>04</w:t>
            </w:r>
            <w:r>
              <w:rPr>
                <w:rFonts w:hint="default" w:ascii="Times New Roman" w:hAnsi="Times New Roman" w:cs="Times New Roman"/>
                <w:color w:val="auto"/>
                <w:sz w:val="24"/>
                <w:szCs w:val="24"/>
              </w:rPr>
              <w:t>%，从水量上而言，</w:t>
            </w:r>
            <w:r>
              <w:rPr>
                <w:rFonts w:hint="default" w:ascii="Times New Roman" w:hAnsi="Times New Roman" w:cs="Times New Roman"/>
                <w:color w:val="auto"/>
                <w:sz w:val="24"/>
                <w:szCs w:val="24"/>
                <w:lang w:eastAsia="zh-CN"/>
              </w:rPr>
              <w:t>江镜华侨农场污水处理厂可</w:t>
            </w:r>
            <w:r>
              <w:rPr>
                <w:rFonts w:hint="default" w:ascii="Times New Roman" w:hAnsi="Times New Roman" w:cs="Times New Roman"/>
                <w:color w:val="auto"/>
                <w:sz w:val="24"/>
                <w:szCs w:val="24"/>
              </w:rPr>
              <w:t>接纳项目</w:t>
            </w:r>
            <w:r>
              <w:rPr>
                <w:rFonts w:hint="default" w:ascii="Times New Roman" w:hAnsi="Times New Roman" w:cs="Times New Roman"/>
                <w:color w:val="auto"/>
                <w:sz w:val="24"/>
                <w:szCs w:val="24"/>
                <w:lang w:eastAsia="zh-CN"/>
              </w:rPr>
              <w:t>废水排放量，不会对污水处理厂水量负荷造成冲击</w:t>
            </w:r>
            <w:r>
              <w:rPr>
                <w:rFonts w:hint="default" w:ascii="Times New Roman" w:hAnsi="Times New Roman" w:cs="Times New Roman"/>
                <w:color w:val="auto"/>
                <w:sz w:val="24"/>
                <w:szCs w:val="24"/>
              </w:rPr>
              <w:t>。</w:t>
            </w:r>
          </w:p>
          <w:p w14:paraId="09D0ABE0">
            <w:pPr>
              <w:adjustRightInd w:val="0"/>
              <w:snapToGrid w:val="0"/>
              <w:spacing w:line="360" w:lineRule="auto"/>
              <w:rPr>
                <w:rFonts w:hint="default" w:ascii="Times New Roman" w:hAnsi="Times New Roman" w:eastAsia="黑体" w:cs="Times New Roman"/>
                <w:b/>
                <w:bCs/>
                <w:color w:val="auto"/>
                <w:kern w:val="0"/>
                <w:sz w:val="24"/>
              </w:rPr>
            </w:pPr>
            <w:r>
              <w:rPr>
                <w:rFonts w:hint="default" w:ascii="Times New Roman" w:hAnsi="Times New Roman" w:eastAsia="宋体" w:cs="Times New Roman"/>
                <w:b/>
                <w:bCs/>
                <w:color w:val="auto"/>
                <w:kern w:val="0"/>
                <w:sz w:val="24"/>
              </w:rPr>
              <w:t>4.</w:t>
            </w:r>
            <w:r>
              <w:rPr>
                <w:rFonts w:hint="default"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rPr>
              <w:t>.3 自行监测计划</w:t>
            </w:r>
          </w:p>
          <w:p w14:paraId="16061FDE">
            <w:pPr>
              <w:pStyle w:val="79"/>
              <w:adjustRightInd w:val="0"/>
              <w:snapToGrid w:val="0"/>
              <w:ind w:firstLine="480"/>
              <w:rPr>
                <w:rFonts w:hint="default" w:ascii="Times New Roman" w:hAnsi="Times New Roman" w:cs="Times New Roman"/>
                <w:bCs/>
                <w:color w:val="auto"/>
              </w:rPr>
            </w:pPr>
            <w:r>
              <w:rPr>
                <w:rFonts w:hint="default" w:ascii="Times New Roman" w:hAnsi="Times New Roman" w:cs="Times New Roman"/>
                <w:color w:val="auto"/>
              </w:rPr>
              <w:t>本项目实行排污许可</w:t>
            </w:r>
            <w:r>
              <w:rPr>
                <w:rFonts w:hint="default" w:ascii="Times New Roman" w:hAnsi="Times New Roman" w:cs="Times New Roman"/>
                <w:color w:val="auto"/>
                <w:lang w:eastAsia="zh-CN"/>
              </w:rPr>
              <w:t>简化管理</w:t>
            </w:r>
            <w:r>
              <w:rPr>
                <w:rFonts w:hint="default" w:ascii="Times New Roman" w:hAnsi="Times New Roman" w:cs="Times New Roman"/>
                <w:color w:val="auto"/>
              </w:rPr>
              <w:t>，项目废水经预处理后排入市政管网，送往</w:t>
            </w:r>
            <w:r>
              <w:rPr>
                <w:rFonts w:hint="default" w:ascii="Times New Roman" w:hAnsi="Times New Roman" w:cs="Times New Roman"/>
                <w:color w:val="auto"/>
                <w:lang w:eastAsia="zh-CN"/>
              </w:rPr>
              <w:t>江镜华侨农场污水处理厂</w:t>
            </w:r>
            <w:r>
              <w:rPr>
                <w:rFonts w:hint="default" w:ascii="Times New Roman" w:hAnsi="Times New Roman" w:cs="Times New Roman"/>
                <w:color w:val="auto"/>
              </w:rPr>
              <w:t>集中处理，属于间接排放，</w:t>
            </w:r>
            <w:r>
              <w:rPr>
                <w:rFonts w:hint="default" w:ascii="Times New Roman" w:hAnsi="Times New Roman" w:cs="Times New Roman"/>
                <w:bCs/>
                <w:color w:val="auto"/>
              </w:rPr>
              <w:t>本评价参照</w:t>
            </w:r>
            <w:r>
              <w:rPr>
                <w:rFonts w:hint="default" w:ascii="Times New Roman" w:hAnsi="Times New Roman" w:cs="Times New Roman"/>
                <w:bCs/>
                <w:color w:val="auto"/>
                <w:sz w:val="24"/>
                <w:lang w:eastAsia="zh-CN"/>
              </w:rPr>
              <w:t>《</w:t>
            </w:r>
            <w:r>
              <w:rPr>
                <w:rFonts w:hint="default" w:ascii="Times New Roman" w:hAnsi="Times New Roman" w:eastAsia="宋体" w:cs="Times New Roman"/>
                <w:bCs/>
                <w:color w:val="auto"/>
                <w:sz w:val="24"/>
                <w:lang w:eastAsia="zh-CN"/>
              </w:rPr>
              <w:t>排污许可证申请与核发技术规范</w:t>
            </w:r>
            <w:r>
              <w:rPr>
                <w:rFonts w:hint="default" w:ascii="Times New Roman" w:hAnsi="Times New Roman" w:cs="Times New Roman"/>
                <w:bCs/>
                <w:color w:val="auto"/>
                <w:sz w:val="24"/>
                <w:lang w:val="en-US" w:eastAsia="zh-CN"/>
              </w:rPr>
              <w:t xml:space="preserve"> </w:t>
            </w:r>
            <w:r>
              <w:rPr>
                <w:rFonts w:hint="default" w:ascii="Times New Roman" w:hAnsi="Times New Roman" w:eastAsia="宋体" w:cs="Times New Roman"/>
                <w:bCs/>
                <w:color w:val="auto"/>
                <w:sz w:val="24"/>
                <w:lang w:eastAsia="zh-CN"/>
              </w:rPr>
              <w:t>废弃资源加工工业</w:t>
            </w:r>
            <w:r>
              <w:rPr>
                <w:rFonts w:hint="default" w:ascii="Times New Roman" w:hAnsi="Times New Roman" w:cs="Times New Roman"/>
                <w:bCs/>
                <w:color w:val="auto"/>
                <w:sz w:val="24"/>
                <w:lang w:eastAsia="zh-CN"/>
              </w:rPr>
              <w:t>》</w:t>
            </w:r>
            <w:r>
              <w:rPr>
                <w:rFonts w:hint="default" w:ascii="Times New Roman" w:hAnsi="Times New Roman" w:eastAsia="宋体" w:cs="Times New Roman"/>
                <w:bCs/>
                <w:color w:val="auto"/>
                <w:sz w:val="24"/>
                <w:lang w:eastAsia="zh-CN"/>
              </w:rPr>
              <w:t>（HJ 1</w:t>
            </w:r>
            <w:r>
              <w:rPr>
                <w:rFonts w:hint="default" w:ascii="Times New Roman" w:hAnsi="Times New Roman" w:cs="Times New Roman"/>
                <w:bCs/>
                <w:color w:val="auto"/>
                <w:sz w:val="24"/>
                <w:lang w:val="en-US" w:eastAsia="zh-CN"/>
              </w:rPr>
              <w:t>034</w:t>
            </w:r>
            <w:r>
              <w:rPr>
                <w:rFonts w:hint="default" w:ascii="Times New Roman" w:hAnsi="Times New Roman" w:eastAsia="宋体" w:cs="Times New Roman"/>
                <w:bCs/>
                <w:color w:val="auto"/>
                <w:sz w:val="24"/>
                <w:lang w:eastAsia="zh-CN"/>
              </w:rPr>
              <w:t>—20</w:t>
            </w:r>
            <w:r>
              <w:rPr>
                <w:rFonts w:hint="default" w:ascii="Times New Roman" w:hAnsi="Times New Roman" w:cs="Times New Roman"/>
                <w:bCs/>
                <w:color w:val="auto"/>
                <w:sz w:val="24"/>
                <w:lang w:val="en-US" w:eastAsia="zh-CN"/>
              </w:rPr>
              <w:t>19</w:t>
            </w:r>
            <w:r>
              <w:rPr>
                <w:rFonts w:hint="default" w:ascii="Times New Roman" w:hAnsi="Times New Roman" w:eastAsia="宋体" w:cs="Times New Roman"/>
                <w:bCs/>
                <w:color w:val="auto"/>
                <w:sz w:val="24"/>
                <w:lang w:eastAsia="zh-CN"/>
              </w:rPr>
              <w:t>）</w:t>
            </w:r>
            <w:r>
              <w:rPr>
                <w:rFonts w:hint="default" w:ascii="Times New Roman" w:hAnsi="Times New Roman" w:cs="Times New Roman"/>
                <w:bCs/>
                <w:color w:val="auto"/>
                <w:lang w:eastAsia="zh-CN"/>
              </w:rPr>
              <w:t>的</w:t>
            </w:r>
            <w:r>
              <w:rPr>
                <w:rFonts w:hint="default" w:ascii="Times New Roman" w:hAnsi="Times New Roman" w:cs="Times New Roman"/>
                <w:bCs/>
                <w:color w:val="auto"/>
              </w:rPr>
              <w:t>要求，提出项目运营期废水自行监测计划，</w:t>
            </w:r>
            <w:r>
              <w:rPr>
                <w:rFonts w:hint="default" w:ascii="Times New Roman" w:hAnsi="Times New Roman" w:cs="Times New Roman"/>
                <w:bCs/>
                <w:color w:val="auto"/>
                <w:lang w:eastAsia="zh-CN"/>
              </w:rPr>
              <w:t>具体情况</w:t>
            </w:r>
            <w:r>
              <w:rPr>
                <w:rFonts w:hint="default" w:ascii="Times New Roman" w:hAnsi="Times New Roman" w:cs="Times New Roman"/>
                <w:bCs/>
                <w:color w:val="auto"/>
              </w:rPr>
              <w:t>详见表4.</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-4。</w:t>
            </w:r>
          </w:p>
          <w:p w14:paraId="16B90303">
            <w:pPr>
              <w:pStyle w:val="79"/>
              <w:adjustRightInd w:val="0"/>
              <w:snapToGrid w:val="0"/>
              <w:spacing w:before="120" w:beforeLines="50" w:line="240" w:lineRule="auto"/>
              <w:ind w:firstLine="0" w:firstLineChars="0"/>
              <w:jc w:val="center"/>
              <w:rPr>
                <w:rFonts w:hint="default" w:ascii="Times New Roman" w:hAnsi="Times New Roman" w:eastAsia="黑体" w:cs="Times New Roman"/>
                <w:color w:val="auto"/>
              </w:rPr>
            </w:pPr>
            <w:r>
              <w:rPr>
                <w:rFonts w:hint="default" w:ascii="Times New Roman" w:hAnsi="Times New Roman" w:eastAsia="黑体" w:cs="Times New Roman"/>
                <w:color w:val="auto"/>
                <w:kern w:val="0"/>
              </w:rPr>
              <w:t>表4.</w:t>
            </w:r>
            <w:r>
              <w:rPr>
                <w:rFonts w:hint="default" w:ascii="Times New Roman" w:hAnsi="Times New Roman" w:eastAsia="黑体" w:cs="Times New Roman"/>
                <w:color w:val="auto"/>
                <w:kern w:val="0"/>
                <w:lang w:val="en-US" w:eastAsia="zh-CN"/>
              </w:rPr>
              <w:t>3</w:t>
            </w:r>
            <w:r>
              <w:rPr>
                <w:rFonts w:hint="default" w:ascii="Times New Roman" w:hAnsi="Times New Roman" w:eastAsia="黑体" w:cs="Times New Roman"/>
                <w:color w:val="auto"/>
                <w:kern w:val="0"/>
              </w:rPr>
              <w:t>-4 项目废水自行监测计划</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2013"/>
              <w:gridCol w:w="3539"/>
              <w:gridCol w:w="1946"/>
            </w:tblGrid>
            <w:tr w14:paraId="0B8E5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506" w:type="pct"/>
                  <w:noWrap w:val="0"/>
                  <w:vAlign w:val="center"/>
                </w:tcPr>
                <w:p w14:paraId="606D58BF">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1206" w:type="pct"/>
                  <w:noWrap w:val="0"/>
                  <w:vAlign w:val="center"/>
                </w:tcPr>
                <w:p w14:paraId="7C27E9C9">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监测点位</w:t>
                  </w:r>
                </w:p>
              </w:tc>
              <w:tc>
                <w:tcPr>
                  <w:tcW w:w="2120" w:type="pct"/>
                  <w:noWrap w:val="0"/>
                  <w:vAlign w:val="center"/>
                </w:tcPr>
                <w:p w14:paraId="124511F6">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监测因子</w:t>
                  </w:r>
                </w:p>
              </w:tc>
              <w:tc>
                <w:tcPr>
                  <w:tcW w:w="1166" w:type="pct"/>
                  <w:noWrap w:val="0"/>
                  <w:vAlign w:val="center"/>
                </w:tcPr>
                <w:p w14:paraId="08655ABE">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监测频次</w:t>
                  </w:r>
                </w:p>
              </w:tc>
            </w:tr>
            <w:tr w14:paraId="5B3B2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vMerge w:val="restart"/>
                  <w:noWrap w:val="0"/>
                  <w:vAlign w:val="center"/>
                </w:tcPr>
                <w:p w14:paraId="240D5241">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1206" w:type="pct"/>
                  <w:vMerge w:val="restart"/>
                  <w:noWrap w:val="0"/>
                  <w:vAlign w:val="center"/>
                </w:tcPr>
                <w:p w14:paraId="0256F128">
                  <w:pPr>
                    <w:adjustRightInd w:val="0"/>
                    <w:snapToGrid w:val="0"/>
                    <w:spacing w:line="340" w:lineRule="exact"/>
                    <w:jc w:val="center"/>
                    <w:rPr>
                      <w:rFonts w:hint="default" w:ascii="Times New Roman" w:hAnsi="Times New Roman" w:cs="Times New Roman"/>
                      <w:bCs/>
                      <w:color w:val="auto"/>
                      <w:szCs w:val="21"/>
                    </w:rPr>
                  </w:pPr>
                  <w:r>
                    <w:rPr>
                      <w:rFonts w:hint="eastAsia" w:cs="Times New Roman"/>
                      <w:bCs/>
                      <w:color w:val="auto"/>
                      <w:szCs w:val="21"/>
                      <w:lang w:val="en-US" w:eastAsia="zh-CN"/>
                    </w:rPr>
                    <w:t>车间</w:t>
                  </w:r>
                  <w:r>
                    <w:rPr>
                      <w:rFonts w:hint="default" w:ascii="Times New Roman" w:hAnsi="Times New Roman" w:cs="Times New Roman"/>
                      <w:bCs/>
                      <w:color w:val="auto"/>
                      <w:szCs w:val="21"/>
                    </w:rPr>
                    <w:t>污水总排放口</w:t>
                  </w:r>
                </w:p>
              </w:tc>
              <w:tc>
                <w:tcPr>
                  <w:tcW w:w="2120" w:type="pct"/>
                  <w:noWrap w:val="0"/>
                  <w:vAlign w:val="center"/>
                </w:tcPr>
                <w:p w14:paraId="1DD76E8A">
                  <w:pPr>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流量</w:t>
                  </w:r>
                </w:p>
              </w:tc>
              <w:tc>
                <w:tcPr>
                  <w:tcW w:w="1166" w:type="pct"/>
                  <w:noWrap w:val="0"/>
                  <w:vAlign w:val="center"/>
                </w:tcPr>
                <w:p w14:paraId="5B5368A6">
                  <w:pPr>
                    <w:adjustRightInd w:val="0"/>
                    <w:snapToGrid w:val="0"/>
                    <w:spacing w:line="340" w:lineRule="exac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在线监测</w:t>
                  </w:r>
                </w:p>
              </w:tc>
            </w:tr>
            <w:tr w14:paraId="23133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vMerge w:val="continue"/>
                  <w:noWrap w:val="0"/>
                  <w:vAlign w:val="center"/>
                </w:tcPr>
                <w:p w14:paraId="4FDFA128">
                  <w:pPr>
                    <w:adjustRightInd w:val="0"/>
                    <w:snapToGrid w:val="0"/>
                    <w:spacing w:line="340" w:lineRule="exact"/>
                    <w:jc w:val="center"/>
                    <w:rPr>
                      <w:rFonts w:hint="default" w:ascii="Times New Roman" w:hAnsi="Times New Roman" w:cs="Times New Roman"/>
                      <w:bCs/>
                      <w:color w:val="auto"/>
                      <w:szCs w:val="21"/>
                    </w:rPr>
                  </w:pPr>
                  <w:bookmarkStart w:id="27" w:name="_Toc215736207"/>
                </w:p>
              </w:tc>
              <w:tc>
                <w:tcPr>
                  <w:tcW w:w="1206" w:type="pct"/>
                  <w:vMerge w:val="continue"/>
                  <w:noWrap w:val="0"/>
                  <w:vAlign w:val="center"/>
                </w:tcPr>
                <w:p w14:paraId="05CAE07B">
                  <w:pPr>
                    <w:adjustRightInd w:val="0"/>
                    <w:snapToGrid w:val="0"/>
                    <w:spacing w:line="340" w:lineRule="exact"/>
                    <w:jc w:val="center"/>
                    <w:rPr>
                      <w:rFonts w:hint="default" w:ascii="Times New Roman" w:hAnsi="Times New Roman" w:cs="Times New Roman"/>
                      <w:bCs/>
                      <w:color w:val="auto"/>
                      <w:szCs w:val="21"/>
                    </w:rPr>
                  </w:pPr>
                </w:p>
              </w:tc>
              <w:tc>
                <w:tcPr>
                  <w:tcW w:w="2120" w:type="pct"/>
                  <w:noWrap w:val="0"/>
                  <w:vAlign w:val="center"/>
                </w:tcPr>
                <w:p w14:paraId="07022C7D">
                  <w:pPr>
                    <w:snapToGrid w:val="0"/>
                    <w:spacing w:line="340" w:lineRule="exact"/>
                    <w:jc w:val="center"/>
                    <w:rPr>
                      <w:rFonts w:hint="eastAsia" w:cs="Times New Roman"/>
                      <w:color w:val="auto"/>
                      <w:szCs w:val="21"/>
                      <w:lang w:val="en-US" w:eastAsia="zh-CN"/>
                    </w:rPr>
                  </w:pPr>
                  <w:r>
                    <w:rPr>
                      <w:rFonts w:hint="default" w:ascii="Times New Roman" w:hAnsi="Times New Roman" w:cs="Times New Roman"/>
                      <w:color w:val="auto"/>
                      <w:szCs w:val="21"/>
                    </w:rPr>
                    <w:t>pH、COD、BOD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、SS、NH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石油类、TP、TN</w:t>
                  </w:r>
                </w:p>
              </w:tc>
              <w:tc>
                <w:tcPr>
                  <w:tcW w:w="1166" w:type="pct"/>
                  <w:noWrap w:val="0"/>
                  <w:vAlign w:val="center"/>
                </w:tcPr>
                <w:p w14:paraId="15BEA7F2">
                  <w:pPr>
                    <w:adjustRightInd w:val="0"/>
                    <w:snapToGrid w:val="0"/>
                    <w:spacing w:line="340" w:lineRule="exact"/>
                    <w:jc w:val="center"/>
                    <w:rPr>
                      <w:rFonts w:hint="default" w:ascii="Times New Roman" w:hAnsi="Times New Roman"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1天</w:t>
                  </w:r>
                  <w:r>
                    <w:rPr>
                      <w:rFonts w:hint="default" w:ascii="Times New Roman" w:hAnsi="Times New Roman" w:cs="Times New Roman"/>
                      <w:bCs/>
                      <w:color w:val="auto"/>
                      <w:sz w:val="21"/>
                      <w:szCs w:val="21"/>
                      <w:u w:val="none"/>
                    </w:rPr>
                    <w:t>/</w:t>
                  </w:r>
                  <w:r>
                    <w:rPr>
                      <w:rFonts w:hint="default" w:ascii="Times New Roman" w:hAnsi="Times New Roman" w:cs="Times New Roman"/>
                      <w:bCs/>
                      <w:color w:val="auto"/>
                      <w:sz w:val="21"/>
                      <w:szCs w:val="21"/>
                      <w:u w:val="none"/>
                      <w:lang w:val="en-US" w:eastAsia="zh-CN"/>
                    </w:rPr>
                    <w:t>半</w:t>
                  </w:r>
                  <w:r>
                    <w:rPr>
                      <w:rFonts w:hint="default" w:ascii="Times New Roman" w:hAnsi="Times New Roman" w:cs="Times New Roman"/>
                      <w:bCs/>
                      <w:color w:val="auto"/>
                      <w:sz w:val="21"/>
                      <w:szCs w:val="21"/>
                      <w:u w:val="none"/>
                    </w:rPr>
                    <w:t>年</w:t>
                  </w:r>
                  <w:r>
                    <w:rPr>
                      <w:rFonts w:hint="default" w:ascii="Times New Roman" w:hAnsi="Times New Roman" w:cs="Times New Roman"/>
                      <w:bCs/>
                      <w:color w:val="auto"/>
                      <w:sz w:val="21"/>
                      <w:szCs w:val="21"/>
                      <w:u w:val="none"/>
                      <w:lang w:eastAsia="zh-CN"/>
                    </w:rPr>
                    <w:t>、</w:t>
                  </w:r>
                  <w:r>
                    <w:rPr>
                      <w:rFonts w:hint="default" w:ascii="Times New Roman" w:hAnsi="Times New Roman" w:cs="Times New Roman"/>
                      <w:bCs/>
                      <w:color w:val="auto"/>
                      <w:sz w:val="21"/>
                      <w:szCs w:val="21"/>
                      <w:u w:val="none"/>
                      <w:lang w:val="en-US" w:eastAsia="zh-CN"/>
                    </w:rPr>
                    <w:t>1次/天</w:t>
                  </w:r>
                </w:p>
              </w:tc>
            </w:tr>
          </w:tbl>
          <w:p w14:paraId="76E0DA51">
            <w:pPr>
              <w:pStyle w:val="125"/>
              <w:bidi w:val="0"/>
              <w:ind w:left="0" w:leftChars="0" w:firstLine="0" w:firstLineChars="0"/>
              <w:rPr>
                <w:rFonts w:hint="default" w:ascii="Times New Roman" w:hAnsi="Times New Roman" w:cs="Times New Roman"/>
                <w:color w:val="auto"/>
              </w:rPr>
            </w:pPr>
          </w:p>
          <w:bookmarkEnd w:id="27"/>
          <w:p w14:paraId="368E62F9">
            <w:pPr>
              <w:adjustRightInd w:val="0"/>
              <w:snapToGrid w:val="0"/>
              <w:rPr>
                <w:rFonts w:hint="default" w:ascii="Times New Roman" w:hAnsi="Times New Roman" w:eastAsia="宋体" w:cs="Times New Roman"/>
                <w:bCs/>
                <w:color w:val="auto"/>
                <w:spacing w:val="-10"/>
                <w:szCs w:val="21"/>
              </w:rPr>
            </w:pPr>
          </w:p>
        </w:tc>
      </w:tr>
    </w:tbl>
    <w:p w14:paraId="0C046260">
      <w:pPr>
        <w:rPr>
          <w:rFonts w:hint="default" w:ascii="Times New Roman" w:hAnsi="Times New Roman" w:eastAsia="宋体"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226"/>
      </w:tblGrid>
      <w:tr w14:paraId="5201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5" w:hRule="atLeast"/>
        </w:trPr>
        <w:tc>
          <w:tcPr>
            <w:tcW w:w="426" w:type="dxa"/>
            <w:noWrap w:val="0"/>
            <w:vAlign w:val="center"/>
          </w:tcPr>
          <w:p w14:paraId="4227F925">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34CF517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6B41B9C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2B5E29A7">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68D19050">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481976B1">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13228" w:type="dxa"/>
            <w:tcBorders>
              <w:bottom w:val="single" w:color="000000" w:sz="12" w:space="0"/>
            </w:tcBorders>
            <w:noWrap w:val="0"/>
            <w:vAlign w:val="top"/>
          </w:tcPr>
          <w:p w14:paraId="4A2039FF">
            <w:pPr>
              <w:adjustRightInd w:val="0"/>
              <w:snapToGrid w:val="0"/>
              <w:spacing w:before="240" w:beforeLines="100" w:after="120" w:afterLines="50"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4.</w:t>
            </w:r>
            <w:r>
              <w:rPr>
                <w:rFonts w:hint="eastAsia" w:cs="Times New Roman"/>
                <w:b/>
                <w:color w:val="auto"/>
                <w:sz w:val="28"/>
                <w:szCs w:val="28"/>
                <w:lang w:val="en-US" w:eastAsia="zh-CN"/>
              </w:rPr>
              <w:t>4</w:t>
            </w:r>
            <w:r>
              <w:rPr>
                <w:rFonts w:hint="default" w:ascii="Times New Roman" w:hAnsi="Times New Roman" w:cs="Times New Roman"/>
                <w:b/>
                <w:color w:val="auto"/>
                <w:sz w:val="28"/>
                <w:szCs w:val="28"/>
              </w:rPr>
              <w:t>运营期声环境影响分析和污染防治措施</w:t>
            </w:r>
          </w:p>
          <w:p w14:paraId="3487D131">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4.</w:t>
            </w:r>
            <w:r>
              <w:rPr>
                <w:rFonts w:hint="eastAsia" w:cs="Times New Roman"/>
                <w:b/>
                <w:bCs/>
                <w:color w:val="auto"/>
                <w:kern w:val="0"/>
                <w:sz w:val="24"/>
                <w:lang w:val="en-US" w:eastAsia="zh-CN"/>
              </w:rPr>
              <w:t>4</w:t>
            </w:r>
            <w:r>
              <w:rPr>
                <w:rFonts w:hint="default" w:ascii="Times New Roman" w:hAnsi="Times New Roman" w:cs="Times New Roman"/>
                <w:b/>
                <w:bCs/>
                <w:color w:val="auto"/>
                <w:kern w:val="0"/>
                <w:sz w:val="24"/>
              </w:rPr>
              <w:t>.1 运营期噪声源强核算</w:t>
            </w:r>
          </w:p>
          <w:p w14:paraId="0FCE177D">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本项目主要的噪声污染源为项目生产设备运行过程中产生的噪声，根据类比分析，本项目室内噪声源强调查清单详见表4.</w:t>
            </w:r>
            <w:r>
              <w:rPr>
                <w:rFonts w:hint="eastAsia" w:cs="Times New Roman"/>
                <w:color w:val="auto"/>
                <w:sz w:val="24"/>
                <w:lang w:val="en-US" w:eastAsia="zh-CN"/>
              </w:rPr>
              <w:t>4</w:t>
            </w:r>
            <w:r>
              <w:rPr>
                <w:rFonts w:hint="default" w:ascii="Times New Roman" w:hAnsi="Times New Roman" w:cs="Times New Roman"/>
                <w:color w:val="auto"/>
                <w:sz w:val="24"/>
              </w:rPr>
              <w:t>-1。</w:t>
            </w:r>
          </w:p>
          <w:p w14:paraId="68E2A4B2">
            <w:pPr>
              <w:pStyle w:val="91"/>
              <w:keepNext w:val="0"/>
              <w:keepLines w:val="0"/>
              <w:pageBreakBefore w:val="0"/>
              <w:widowControl w:val="0"/>
              <w:kinsoku/>
              <w:wordWrap/>
              <w:overflowPunct/>
              <w:topLinePunct w:val="0"/>
              <w:autoSpaceDE w:val="0"/>
              <w:autoSpaceDN w:val="0"/>
              <w:bidi w:val="0"/>
              <w:adjustRightInd w:val="0"/>
              <w:snapToGrid w:val="0"/>
              <w:spacing w:before="157" w:beforeLines="50" w:after="0" w:line="240" w:lineRule="auto"/>
              <w:ind w:left="0" w:leftChars="0" w:firstLine="0"/>
              <w:textAlignment w:val="baseline"/>
              <w:rPr>
                <w:rFonts w:hint="eastAsia" w:ascii="黑体" w:hAnsi="黑体" w:eastAsia="黑体" w:cs="黑体"/>
                <w:b w:val="0"/>
                <w:bCs w:val="0"/>
                <w:color w:val="auto"/>
              </w:rPr>
            </w:pPr>
            <w:r>
              <w:rPr>
                <w:rFonts w:hint="eastAsia" w:ascii="黑体" w:hAnsi="黑体" w:eastAsia="黑体" w:cs="黑体"/>
                <w:b w:val="0"/>
                <w:bCs w:val="0"/>
                <w:color w:val="auto"/>
              </w:rPr>
              <w:t>表4.</w:t>
            </w:r>
            <w:r>
              <w:rPr>
                <w:rFonts w:hint="eastAsia" w:ascii="黑体" w:hAnsi="黑体" w:eastAsia="黑体" w:cs="黑体"/>
                <w:b w:val="0"/>
                <w:bCs w:val="0"/>
                <w:color w:val="auto"/>
                <w:lang w:val="en-US" w:eastAsia="zh-CN"/>
              </w:rPr>
              <w:t>4</w:t>
            </w:r>
            <w:r>
              <w:rPr>
                <w:rFonts w:hint="eastAsia" w:ascii="黑体" w:hAnsi="黑体" w:eastAsia="黑体" w:cs="黑体"/>
                <w:b w:val="0"/>
                <w:bCs w:val="0"/>
                <w:color w:val="auto"/>
              </w:rPr>
              <w:t>-1  工业企业噪声源强调查清单(室内声源)</w:t>
            </w:r>
          </w:p>
          <w:tbl>
            <w:tblPr>
              <w:tblStyle w:val="2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51"/>
              <w:gridCol w:w="708"/>
              <w:gridCol w:w="815"/>
              <w:gridCol w:w="971"/>
              <w:gridCol w:w="789"/>
              <w:gridCol w:w="604"/>
              <w:gridCol w:w="1059"/>
              <w:gridCol w:w="534"/>
              <w:gridCol w:w="518"/>
              <w:gridCol w:w="510"/>
              <w:gridCol w:w="1059"/>
              <w:gridCol w:w="669"/>
              <w:gridCol w:w="895"/>
              <w:gridCol w:w="679"/>
              <w:gridCol w:w="1012"/>
              <w:gridCol w:w="906"/>
              <w:gridCol w:w="921"/>
            </w:tblGrid>
            <w:tr w14:paraId="6E527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blHeader/>
              </w:trPr>
              <w:tc>
                <w:tcPr>
                  <w:tcW w:w="135" w:type="pct"/>
                  <w:vMerge w:val="restart"/>
                  <w:noWrap w:val="0"/>
                  <w:vAlign w:val="center"/>
                </w:tcPr>
                <w:p w14:paraId="3B6715F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72" w:type="pct"/>
                  <w:vMerge w:val="restart"/>
                  <w:noWrap w:val="0"/>
                  <w:vAlign w:val="center"/>
                </w:tcPr>
                <w:p w14:paraId="616CD8B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建筑物名称</w:t>
                  </w:r>
                </w:p>
              </w:tc>
              <w:tc>
                <w:tcPr>
                  <w:tcW w:w="313" w:type="pct"/>
                  <w:vMerge w:val="restart"/>
                  <w:noWrap w:val="0"/>
                  <w:vAlign w:val="center"/>
                </w:tcPr>
                <w:p w14:paraId="6DCFD89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w:t>
                  </w:r>
                </w:p>
                <w:p w14:paraId="65DCD36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373" w:type="pct"/>
                  <w:vMerge w:val="restart"/>
                  <w:noWrap w:val="0"/>
                  <w:vAlign w:val="center"/>
                </w:tcPr>
                <w:p w14:paraId="1FD67EB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声源类型(间断、连续等)</w:t>
                  </w:r>
                </w:p>
              </w:tc>
              <w:tc>
                <w:tcPr>
                  <w:tcW w:w="303" w:type="pct"/>
                  <w:vMerge w:val="restart"/>
                  <w:noWrap w:val="0"/>
                  <w:vAlign w:val="center"/>
                </w:tcPr>
                <w:p w14:paraId="0785170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声源声</w:t>
                  </w:r>
                </w:p>
                <w:p w14:paraId="51AA7B8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功率级/dB(A)</w:t>
                  </w:r>
                </w:p>
              </w:tc>
              <w:tc>
                <w:tcPr>
                  <w:tcW w:w="232" w:type="pct"/>
                  <w:vMerge w:val="restart"/>
                  <w:noWrap w:val="0"/>
                  <w:vAlign w:val="center"/>
                </w:tcPr>
                <w:p w14:paraId="3705A22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核算</w:t>
                  </w:r>
                </w:p>
                <w:p w14:paraId="7EFF0ED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方法</w:t>
                  </w:r>
                </w:p>
              </w:tc>
              <w:tc>
                <w:tcPr>
                  <w:tcW w:w="407" w:type="pct"/>
                  <w:vMerge w:val="restart"/>
                  <w:noWrap w:val="0"/>
                  <w:vAlign w:val="center"/>
                </w:tcPr>
                <w:p w14:paraId="6B9EEFD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声源控制措施</w:t>
                  </w:r>
                </w:p>
              </w:tc>
              <w:tc>
                <w:tcPr>
                  <w:tcW w:w="600" w:type="pct"/>
                  <w:gridSpan w:val="3"/>
                  <w:noWrap w:val="0"/>
                  <w:vAlign w:val="center"/>
                </w:tcPr>
                <w:p w14:paraId="33EF544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空间相对位置</w:t>
                  </w:r>
                </w:p>
              </w:tc>
              <w:tc>
                <w:tcPr>
                  <w:tcW w:w="664" w:type="pct"/>
                  <w:gridSpan w:val="2"/>
                  <w:vMerge w:val="restart"/>
                  <w:noWrap w:val="0"/>
                  <w:vAlign w:val="center"/>
                </w:tcPr>
                <w:p w14:paraId="2B7B907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距室内边</w:t>
                  </w:r>
                </w:p>
                <w:p w14:paraId="6307CE2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界距离/m</w:t>
                  </w:r>
                </w:p>
              </w:tc>
              <w:tc>
                <w:tcPr>
                  <w:tcW w:w="344" w:type="pct"/>
                  <w:vMerge w:val="restart"/>
                  <w:noWrap w:val="0"/>
                  <w:vAlign w:val="center"/>
                </w:tcPr>
                <w:p w14:paraId="20EBF97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室内边</w:t>
                  </w:r>
                </w:p>
                <w:p w14:paraId="21243AB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界声压级/dB(A)</w:t>
                  </w:r>
                </w:p>
              </w:tc>
              <w:tc>
                <w:tcPr>
                  <w:tcW w:w="261" w:type="pct"/>
                  <w:vMerge w:val="restart"/>
                  <w:noWrap w:val="0"/>
                  <w:vAlign w:val="center"/>
                </w:tcPr>
                <w:p w14:paraId="573E521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w:t>
                  </w:r>
                </w:p>
                <w:p w14:paraId="5DB0C74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时段</w:t>
                  </w:r>
                </w:p>
              </w:tc>
              <w:tc>
                <w:tcPr>
                  <w:tcW w:w="389" w:type="pct"/>
                  <w:vMerge w:val="restart"/>
                  <w:noWrap w:val="0"/>
                  <w:vAlign w:val="center"/>
                </w:tcPr>
                <w:p w14:paraId="6F72CEC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建筑物插入损失/dB(A)</w:t>
                  </w:r>
                </w:p>
              </w:tc>
              <w:tc>
                <w:tcPr>
                  <w:tcW w:w="702" w:type="pct"/>
                  <w:gridSpan w:val="2"/>
                  <w:noWrap w:val="0"/>
                  <w:vAlign w:val="center"/>
                </w:tcPr>
                <w:p w14:paraId="69096A7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建筑物外噪声</w:t>
                  </w:r>
                </w:p>
              </w:tc>
            </w:tr>
            <w:tr w14:paraId="679C8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blHeader/>
              </w:trPr>
              <w:tc>
                <w:tcPr>
                  <w:tcW w:w="135" w:type="pct"/>
                  <w:vMerge w:val="continue"/>
                  <w:noWrap w:val="0"/>
                  <w:vAlign w:val="center"/>
                </w:tcPr>
                <w:p w14:paraId="03E33C4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292D15E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123314D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4B0E793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2E1DB8A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1C16F9B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06CDA22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noWrap w:val="0"/>
                  <w:vAlign w:val="center"/>
                </w:tcPr>
                <w:p w14:paraId="016CAF7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199" w:type="pct"/>
                  <w:noWrap w:val="0"/>
                  <w:vAlign w:val="center"/>
                </w:tcPr>
                <w:p w14:paraId="1061547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196" w:type="pct"/>
                  <w:noWrap w:val="0"/>
                  <w:vAlign w:val="center"/>
                </w:tcPr>
                <w:p w14:paraId="595DEB8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w:t>
                  </w:r>
                </w:p>
              </w:tc>
              <w:tc>
                <w:tcPr>
                  <w:tcW w:w="664" w:type="pct"/>
                  <w:gridSpan w:val="2"/>
                  <w:vMerge w:val="continue"/>
                  <w:noWrap w:val="0"/>
                  <w:vAlign w:val="center"/>
                </w:tcPr>
                <w:p w14:paraId="1768790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44" w:type="pct"/>
                  <w:vMerge w:val="continue"/>
                  <w:noWrap w:val="0"/>
                  <w:vAlign w:val="center"/>
                </w:tcPr>
                <w:p w14:paraId="083E5FB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61" w:type="pct"/>
                  <w:vMerge w:val="continue"/>
                  <w:noWrap w:val="0"/>
                  <w:vAlign w:val="center"/>
                </w:tcPr>
                <w:p w14:paraId="605820C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89" w:type="pct"/>
                  <w:vMerge w:val="continue"/>
                  <w:noWrap w:val="0"/>
                  <w:vAlign w:val="center"/>
                </w:tcPr>
                <w:p w14:paraId="4B80D6D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48" w:type="pct"/>
                  <w:noWrap w:val="0"/>
                  <w:vAlign w:val="center"/>
                </w:tcPr>
                <w:p w14:paraId="0CACD2A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声压级/dB(A)</w:t>
                  </w:r>
                </w:p>
              </w:tc>
              <w:tc>
                <w:tcPr>
                  <w:tcW w:w="354" w:type="pct"/>
                  <w:noWrap w:val="0"/>
                  <w:vAlign w:val="center"/>
                </w:tcPr>
                <w:p w14:paraId="3C0A31C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建筑物外距离/m</w:t>
                  </w:r>
                </w:p>
              </w:tc>
            </w:tr>
            <w:tr w14:paraId="67480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77F13A8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72" w:type="pct"/>
                  <w:vMerge w:val="restart"/>
                  <w:noWrap w:val="0"/>
                  <w:vAlign w:val="center"/>
                </w:tcPr>
                <w:p w14:paraId="59585C7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B37</w:t>
                  </w:r>
                  <w:r>
                    <w:rPr>
                      <w:rFonts w:hint="default" w:ascii="Times New Roman" w:hAnsi="Times New Roman" w:cs="Times New Roman"/>
                      <w:color w:val="auto"/>
                      <w:sz w:val="21"/>
                      <w:szCs w:val="21"/>
                    </w:rPr>
                    <w:t>#厂房</w:t>
                  </w:r>
                </w:p>
              </w:tc>
              <w:tc>
                <w:tcPr>
                  <w:tcW w:w="313" w:type="pct"/>
                  <w:vMerge w:val="restart"/>
                  <w:noWrap w:val="0"/>
                  <w:vAlign w:val="center"/>
                </w:tcPr>
                <w:p w14:paraId="509069D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分选输送机</w:t>
                  </w:r>
                </w:p>
              </w:tc>
              <w:tc>
                <w:tcPr>
                  <w:tcW w:w="373" w:type="pct"/>
                  <w:vMerge w:val="restart"/>
                  <w:noWrap w:val="0"/>
                  <w:vAlign w:val="center"/>
                </w:tcPr>
                <w:p w14:paraId="40FA7F9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间断</w:t>
                  </w:r>
                </w:p>
              </w:tc>
              <w:tc>
                <w:tcPr>
                  <w:tcW w:w="303" w:type="pct"/>
                  <w:vMerge w:val="restart"/>
                  <w:noWrap w:val="0"/>
                  <w:vAlign w:val="center"/>
                </w:tcPr>
                <w:p w14:paraId="6ABBAC6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70</w:t>
                  </w:r>
                </w:p>
              </w:tc>
              <w:tc>
                <w:tcPr>
                  <w:tcW w:w="232" w:type="pct"/>
                  <w:vMerge w:val="restart"/>
                  <w:noWrap w:val="0"/>
                  <w:vAlign w:val="center"/>
                </w:tcPr>
                <w:p w14:paraId="578C671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kern w:val="0"/>
                      <w:sz w:val="21"/>
                      <w:szCs w:val="21"/>
                      <w:lang w:bidi="ar"/>
                    </w:rPr>
                  </w:pPr>
                  <w:r>
                    <w:rPr>
                      <w:rFonts w:hint="default" w:ascii="Times New Roman" w:hAnsi="Times New Roman" w:cs="Times New Roman"/>
                      <w:bCs/>
                      <w:color w:val="auto"/>
                      <w:sz w:val="21"/>
                      <w:szCs w:val="21"/>
                    </w:rPr>
                    <w:t>类比法</w:t>
                  </w:r>
                </w:p>
              </w:tc>
              <w:tc>
                <w:tcPr>
                  <w:tcW w:w="407" w:type="pct"/>
                  <w:vMerge w:val="restart"/>
                  <w:noWrap w:val="0"/>
                  <w:vAlign w:val="center"/>
                </w:tcPr>
                <w:p w14:paraId="3189D17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w:t>
                  </w:r>
                </w:p>
              </w:tc>
              <w:tc>
                <w:tcPr>
                  <w:tcW w:w="205" w:type="pct"/>
                  <w:vMerge w:val="restart"/>
                  <w:noWrap w:val="0"/>
                  <w:vAlign w:val="center"/>
                </w:tcPr>
                <w:p w14:paraId="5B8CA90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199" w:type="pct"/>
                  <w:vMerge w:val="restart"/>
                  <w:noWrap w:val="0"/>
                  <w:vAlign w:val="center"/>
                </w:tcPr>
                <w:p w14:paraId="2F2396A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w:t>
                  </w:r>
                </w:p>
              </w:tc>
              <w:tc>
                <w:tcPr>
                  <w:tcW w:w="196" w:type="pct"/>
                  <w:vMerge w:val="restart"/>
                  <w:noWrap w:val="0"/>
                  <w:vAlign w:val="center"/>
                </w:tcPr>
                <w:p w14:paraId="12EA4E5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407" w:type="pct"/>
                  <w:noWrap w:val="0"/>
                  <w:vAlign w:val="center"/>
                </w:tcPr>
                <w:p w14:paraId="1C7132D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086D6FF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c>
                <w:tcPr>
                  <w:tcW w:w="344" w:type="pct"/>
                  <w:noWrap w:val="0"/>
                  <w:vAlign w:val="center"/>
                </w:tcPr>
                <w:p w14:paraId="608ED1E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restart"/>
                  <w:noWrap w:val="0"/>
                  <w:vAlign w:val="center"/>
                </w:tcPr>
                <w:p w14:paraId="14B1AE6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391248D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8F44A3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4AC25A3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B0CF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715F6E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2FBE6DF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7A78B60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08DDA2D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1189630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5F8E3B4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1252A7C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3AE2E10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1AD7704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6FF65E7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15B5F68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1A04043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344" w:type="pct"/>
                  <w:noWrap w:val="0"/>
                  <w:vAlign w:val="center"/>
                </w:tcPr>
                <w:p w14:paraId="1F2ABFE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4C276B1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2D5324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AC9926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4BCD703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3769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9E2633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39D3F05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238C5BE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087568E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179AB71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4159BEC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60B46E6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2B9E0E9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0DA81A5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6F92F6A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0E9B6EF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3A1949E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344" w:type="pct"/>
                  <w:noWrap w:val="0"/>
                  <w:vAlign w:val="center"/>
                </w:tcPr>
                <w:p w14:paraId="31C05BAC">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w:t>
                  </w:r>
                </w:p>
              </w:tc>
              <w:tc>
                <w:tcPr>
                  <w:tcW w:w="261" w:type="pct"/>
                  <w:vMerge w:val="continue"/>
                  <w:noWrap w:val="0"/>
                  <w:vAlign w:val="center"/>
                </w:tcPr>
                <w:p w14:paraId="5F3CFBF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8E9AE3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3AAD87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21D0175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6DEE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81914D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6FC0048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3A88E31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53C9B07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10AD57C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75A9C1D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39BADC9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012BAB2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30ED752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0764054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72D61D2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201CCDF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344" w:type="pct"/>
                  <w:noWrap w:val="0"/>
                  <w:vAlign w:val="center"/>
                </w:tcPr>
                <w:p w14:paraId="3840448C">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79AEBF6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B82B10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2B57BC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6DD57F2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ECE0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3513073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72" w:type="pct"/>
                  <w:vMerge w:val="continue"/>
                  <w:noWrap w:val="0"/>
                  <w:vAlign w:val="center"/>
                </w:tcPr>
                <w:p w14:paraId="572FE85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3954927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上料输送机</w:t>
                  </w:r>
                </w:p>
              </w:tc>
              <w:tc>
                <w:tcPr>
                  <w:tcW w:w="373" w:type="pct"/>
                  <w:vMerge w:val="restart"/>
                  <w:noWrap w:val="0"/>
                  <w:vAlign w:val="center"/>
                </w:tcPr>
                <w:p w14:paraId="36D6454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间断</w:t>
                  </w:r>
                </w:p>
              </w:tc>
              <w:tc>
                <w:tcPr>
                  <w:tcW w:w="303" w:type="pct"/>
                  <w:vMerge w:val="restart"/>
                  <w:noWrap w:val="0"/>
                  <w:vAlign w:val="center"/>
                </w:tcPr>
                <w:p w14:paraId="058B7C5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65</w:t>
                  </w:r>
                </w:p>
              </w:tc>
              <w:tc>
                <w:tcPr>
                  <w:tcW w:w="232" w:type="pct"/>
                  <w:vMerge w:val="restart"/>
                  <w:noWrap w:val="0"/>
                  <w:vAlign w:val="center"/>
                </w:tcPr>
                <w:p w14:paraId="609ABCB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kern w:val="0"/>
                      <w:sz w:val="21"/>
                      <w:szCs w:val="21"/>
                      <w:lang w:bidi="ar"/>
                    </w:rPr>
                  </w:pPr>
                  <w:r>
                    <w:rPr>
                      <w:rFonts w:hint="default" w:ascii="Times New Roman" w:hAnsi="Times New Roman" w:cs="Times New Roman"/>
                      <w:bCs/>
                      <w:color w:val="auto"/>
                      <w:sz w:val="21"/>
                      <w:szCs w:val="21"/>
                    </w:rPr>
                    <w:t>类比法</w:t>
                  </w:r>
                </w:p>
              </w:tc>
              <w:tc>
                <w:tcPr>
                  <w:tcW w:w="407" w:type="pct"/>
                  <w:vMerge w:val="restart"/>
                  <w:noWrap w:val="0"/>
                  <w:vAlign w:val="center"/>
                </w:tcPr>
                <w:p w14:paraId="284C9BC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密闭隔声间、车间隔声、设备基础减振等</w:t>
                  </w:r>
                </w:p>
              </w:tc>
              <w:tc>
                <w:tcPr>
                  <w:tcW w:w="205" w:type="pct"/>
                  <w:vMerge w:val="restart"/>
                  <w:noWrap w:val="0"/>
                  <w:vAlign w:val="center"/>
                </w:tcPr>
                <w:p w14:paraId="367DC60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199" w:type="pct"/>
                  <w:vMerge w:val="restart"/>
                  <w:noWrap w:val="0"/>
                  <w:vAlign w:val="center"/>
                </w:tcPr>
                <w:p w14:paraId="7CEDD72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196" w:type="pct"/>
                  <w:vMerge w:val="restart"/>
                  <w:noWrap w:val="0"/>
                  <w:vAlign w:val="center"/>
                </w:tcPr>
                <w:p w14:paraId="3623303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sz w:val="21"/>
                      <w:szCs w:val="21"/>
                      <w:lang w:val="en-US" w:eastAsia="zh-CN"/>
                    </w:rPr>
                    <w:t>2.5</w:t>
                  </w:r>
                </w:p>
              </w:tc>
              <w:tc>
                <w:tcPr>
                  <w:tcW w:w="407" w:type="pct"/>
                  <w:noWrap w:val="0"/>
                  <w:vAlign w:val="center"/>
                </w:tcPr>
                <w:p w14:paraId="57E92BF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6AD2505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w:t>
                  </w:r>
                </w:p>
              </w:tc>
              <w:tc>
                <w:tcPr>
                  <w:tcW w:w="344" w:type="pct"/>
                  <w:noWrap w:val="0"/>
                  <w:vAlign w:val="center"/>
                </w:tcPr>
                <w:p w14:paraId="668BC4F8">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restart"/>
                  <w:noWrap w:val="0"/>
                  <w:vAlign w:val="center"/>
                </w:tcPr>
                <w:p w14:paraId="6F8C3DC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2D64D48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BB2B12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591D89C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A4FF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95AFE6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57ED6EC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0CD41F5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61518AD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601BD50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1C5FC1C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012424F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0BE6C4A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5CAC91E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445973C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300F40B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052F1AD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344" w:type="pct"/>
                  <w:noWrap w:val="0"/>
                  <w:vAlign w:val="center"/>
                </w:tcPr>
                <w:p w14:paraId="2AED61CC">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20BECE0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0E21D0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8F4666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27A58E3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B3E0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C15232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64E240F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290DEF7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54FC297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1D084A6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6C43AA4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4E578D7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53319CA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3186B9B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5D9E081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5AF7165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6CE7CED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344" w:type="pct"/>
                  <w:noWrap w:val="0"/>
                  <w:vAlign w:val="center"/>
                </w:tcPr>
                <w:p w14:paraId="06758858">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10326B9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BF5153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7F1892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3E4F963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A638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D97549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1568132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22F13E4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0DC6023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0B0B90C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7789F37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1FF9142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4B548A9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45A25BE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41FB379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7C9D028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1C2B575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344" w:type="pct"/>
                  <w:noWrap w:val="0"/>
                  <w:vAlign w:val="center"/>
                </w:tcPr>
                <w:p w14:paraId="12AB12E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601F8EB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33907B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2D29D1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4070124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6FC9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3520F58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72" w:type="pct"/>
                  <w:vMerge w:val="continue"/>
                  <w:noWrap w:val="0"/>
                  <w:vAlign w:val="center"/>
                </w:tcPr>
                <w:p w14:paraId="7060217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76B1BEB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多功能卧式粉碎机</w:t>
                  </w:r>
                </w:p>
              </w:tc>
              <w:tc>
                <w:tcPr>
                  <w:tcW w:w="373" w:type="pct"/>
                  <w:vMerge w:val="restart"/>
                  <w:noWrap w:val="0"/>
                  <w:vAlign w:val="center"/>
                </w:tcPr>
                <w:p w14:paraId="7C454F2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间断</w:t>
                  </w:r>
                </w:p>
              </w:tc>
              <w:tc>
                <w:tcPr>
                  <w:tcW w:w="303" w:type="pct"/>
                  <w:vMerge w:val="restart"/>
                  <w:noWrap w:val="0"/>
                  <w:vAlign w:val="center"/>
                </w:tcPr>
                <w:p w14:paraId="5A8B323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75</w:t>
                  </w:r>
                </w:p>
              </w:tc>
              <w:tc>
                <w:tcPr>
                  <w:tcW w:w="232" w:type="pct"/>
                  <w:vMerge w:val="restart"/>
                  <w:noWrap w:val="0"/>
                  <w:vAlign w:val="center"/>
                </w:tcPr>
                <w:p w14:paraId="54E4525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kern w:val="0"/>
                      <w:sz w:val="21"/>
                      <w:szCs w:val="21"/>
                      <w:lang w:bidi="ar"/>
                    </w:rPr>
                  </w:pPr>
                  <w:r>
                    <w:rPr>
                      <w:rFonts w:hint="default" w:ascii="Times New Roman" w:hAnsi="Times New Roman" w:cs="Times New Roman"/>
                      <w:bCs/>
                      <w:color w:val="auto"/>
                      <w:sz w:val="21"/>
                      <w:szCs w:val="21"/>
                    </w:rPr>
                    <w:t>类比法</w:t>
                  </w:r>
                </w:p>
              </w:tc>
              <w:tc>
                <w:tcPr>
                  <w:tcW w:w="407" w:type="pct"/>
                  <w:vMerge w:val="restart"/>
                  <w:noWrap w:val="0"/>
                  <w:vAlign w:val="center"/>
                </w:tcPr>
                <w:p w14:paraId="23846A8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199B49C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w:t>
                  </w:r>
                </w:p>
              </w:tc>
              <w:tc>
                <w:tcPr>
                  <w:tcW w:w="199" w:type="pct"/>
                  <w:vMerge w:val="restart"/>
                  <w:noWrap w:val="0"/>
                  <w:vAlign w:val="center"/>
                </w:tcPr>
                <w:p w14:paraId="3A4F548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196" w:type="pct"/>
                  <w:vMerge w:val="restart"/>
                  <w:noWrap w:val="0"/>
                  <w:vAlign w:val="center"/>
                </w:tcPr>
                <w:p w14:paraId="7370ADA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sz w:val="21"/>
                      <w:szCs w:val="21"/>
                      <w:lang w:val="en-US" w:eastAsia="zh-CN"/>
                    </w:rPr>
                    <w:t>2.5</w:t>
                  </w:r>
                </w:p>
              </w:tc>
              <w:tc>
                <w:tcPr>
                  <w:tcW w:w="407" w:type="pct"/>
                  <w:noWrap w:val="0"/>
                  <w:vAlign w:val="center"/>
                </w:tcPr>
                <w:p w14:paraId="1D319C0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60BB8A3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344" w:type="pct"/>
                  <w:noWrap w:val="0"/>
                  <w:vAlign w:val="center"/>
                </w:tcPr>
                <w:p w14:paraId="079B45BA">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261" w:type="pct"/>
                  <w:vMerge w:val="restart"/>
                  <w:noWrap w:val="0"/>
                  <w:vAlign w:val="center"/>
                </w:tcPr>
                <w:p w14:paraId="33DE345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610526F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5E1F8A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 </w:t>
                  </w:r>
                </w:p>
              </w:tc>
              <w:tc>
                <w:tcPr>
                  <w:tcW w:w="354" w:type="pct"/>
                  <w:noWrap w:val="0"/>
                  <w:vAlign w:val="center"/>
                </w:tcPr>
                <w:p w14:paraId="1DDE029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9385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A5AE70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27F3A0C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6CDF123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6EFD8A3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459DFB6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3AD85B1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5F69AA2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0624000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04831BC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1BDE15A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374000B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32A98D0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344" w:type="pct"/>
                  <w:noWrap w:val="0"/>
                  <w:vAlign w:val="center"/>
                </w:tcPr>
                <w:p w14:paraId="5160E80C">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261" w:type="pct"/>
                  <w:vMerge w:val="continue"/>
                  <w:noWrap w:val="0"/>
                  <w:vAlign w:val="center"/>
                </w:tcPr>
                <w:p w14:paraId="0380AF8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6FC95E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DA40F1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354" w:type="pct"/>
                  <w:noWrap w:val="0"/>
                  <w:vAlign w:val="center"/>
                </w:tcPr>
                <w:p w14:paraId="5EC1B36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88DD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197885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0B4F8B8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2537B46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498E0B6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26B6AC9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63E9437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2956A76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242FB8E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5C28E52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3AC9688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45AAE05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1375B77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344" w:type="pct"/>
                  <w:noWrap w:val="0"/>
                  <w:vAlign w:val="center"/>
                </w:tcPr>
                <w:p w14:paraId="17D69B70">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464FFD2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A0C71A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04F8AF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49BFFB5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9800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494640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4BF4EAF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74ADB7D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5CE4A8F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637389B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38845F8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5271C70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195CA26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0586553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44F45D8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1E13F3F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5724ED1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7766EA6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27B4512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6765FAE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6C64581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5E8BE19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07DF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530A524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72" w:type="pct"/>
                  <w:vMerge w:val="continue"/>
                  <w:noWrap w:val="0"/>
                  <w:vAlign w:val="center"/>
                </w:tcPr>
                <w:p w14:paraId="431F6A1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369AFC5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强力摩擦机</w:t>
                  </w:r>
                </w:p>
              </w:tc>
              <w:tc>
                <w:tcPr>
                  <w:tcW w:w="373" w:type="pct"/>
                  <w:vMerge w:val="restart"/>
                  <w:noWrap w:val="0"/>
                  <w:vAlign w:val="center"/>
                </w:tcPr>
                <w:p w14:paraId="02C6137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间断</w:t>
                  </w:r>
                </w:p>
              </w:tc>
              <w:tc>
                <w:tcPr>
                  <w:tcW w:w="303" w:type="pct"/>
                  <w:vMerge w:val="restart"/>
                  <w:noWrap w:val="0"/>
                  <w:vAlign w:val="center"/>
                </w:tcPr>
                <w:p w14:paraId="329A8B2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3CCAE9D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kern w:val="0"/>
                      <w:sz w:val="21"/>
                      <w:szCs w:val="21"/>
                      <w:lang w:bidi="ar"/>
                    </w:rPr>
                  </w:pPr>
                  <w:r>
                    <w:rPr>
                      <w:rFonts w:hint="default" w:ascii="Times New Roman" w:hAnsi="Times New Roman" w:cs="Times New Roman"/>
                      <w:bCs/>
                      <w:color w:val="auto"/>
                      <w:sz w:val="21"/>
                      <w:szCs w:val="21"/>
                    </w:rPr>
                    <w:t>类比法</w:t>
                  </w:r>
                </w:p>
              </w:tc>
              <w:tc>
                <w:tcPr>
                  <w:tcW w:w="407" w:type="pct"/>
                  <w:vMerge w:val="restart"/>
                  <w:noWrap w:val="0"/>
                  <w:vAlign w:val="center"/>
                </w:tcPr>
                <w:p w14:paraId="4670EA1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10EF797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199" w:type="pct"/>
                  <w:vMerge w:val="restart"/>
                  <w:noWrap w:val="0"/>
                  <w:vAlign w:val="center"/>
                </w:tcPr>
                <w:p w14:paraId="5E47C61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196" w:type="pct"/>
                  <w:vMerge w:val="restart"/>
                  <w:noWrap w:val="0"/>
                  <w:vAlign w:val="center"/>
                </w:tcPr>
                <w:p w14:paraId="499605F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sz w:val="21"/>
                      <w:szCs w:val="21"/>
                      <w:lang w:val="en-US" w:eastAsia="zh-CN"/>
                    </w:rPr>
                    <w:t>2.5</w:t>
                  </w:r>
                </w:p>
              </w:tc>
              <w:tc>
                <w:tcPr>
                  <w:tcW w:w="407" w:type="pct"/>
                  <w:noWrap w:val="0"/>
                  <w:vAlign w:val="center"/>
                </w:tcPr>
                <w:p w14:paraId="7ECE309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686BB99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344" w:type="pct"/>
                  <w:noWrap w:val="0"/>
                  <w:vAlign w:val="center"/>
                </w:tcPr>
                <w:p w14:paraId="75E9461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restart"/>
                  <w:noWrap w:val="0"/>
                  <w:vAlign w:val="center"/>
                </w:tcPr>
                <w:p w14:paraId="4740944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661E4BB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611352B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67FC605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2792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51FAD1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328C190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7A34E5C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3D067BC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30148B6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32B6AF9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6EA167C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35FB641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236B1EF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63D4AC1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0A21F45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275FEDB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00738CF0">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424C2CE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FA4941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599805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32EC91C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E67D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50BA25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7792798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72E4443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63C8205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4DA846A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509746F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516ADE8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338933B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591C98E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65F9F7A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6A76256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780F093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344" w:type="pct"/>
                  <w:noWrap w:val="0"/>
                  <w:vAlign w:val="center"/>
                </w:tcPr>
                <w:p w14:paraId="0322014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618CD8D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0D0CD3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6F5C439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272B504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3986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D43F79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77AB93C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5BA22ED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147A2FB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5101F6F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5A01E22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16A9FD9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6F65429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32133C6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6EE68A4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6DC2D75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07C39DB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7C717C85">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0828C67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08118D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CF79FB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3D5B304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5979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309EEB3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72" w:type="pct"/>
                  <w:vMerge w:val="continue"/>
                  <w:noWrap w:val="0"/>
                  <w:vAlign w:val="center"/>
                </w:tcPr>
                <w:p w14:paraId="2217DE8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3B23339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立式洗脱机A</w:t>
                  </w:r>
                </w:p>
              </w:tc>
              <w:tc>
                <w:tcPr>
                  <w:tcW w:w="373" w:type="pct"/>
                  <w:vMerge w:val="restart"/>
                  <w:noWrap w:val="0"/>
                  <w:vAlign w:val="center"/>
                </w:tcPr>
                <w:p w14:paraId="5B346AC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250161B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1E47078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5ABCA88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45B18A1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-40</w:t>
                  </w:r>
                </w:p>
              </w:tc>
              <w:tc>
                <w:tcPr>
                  <w:tcW w:w="199" w:type="pct"/>
                  <w:vMerge w:val="restart"/>
                  <w:noWrap w:val="0"/>
                  <w:vAlign w:val="center"/>
                </w:tcPr>
                <w:p w14:paraId="2BE1187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17</w:t>
                  </w:r>
                </w:p>
              </w:tc>
              <w:tc>
                <w:tcPr>
                  <w:tcW w:w="196" w:type="pct"/>
                  <w:vMerge w:val="restart"/>
                  <w:noWrap w:val="0"/>
                  <w:vAlign w:val="center"/>
                </w:tcPr>
                <w:p w14:paraId="481F575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sz w:val="21"/>
                      <w:szCs w:val="21"/>
                      <w:lang w:val="en-US" w:eastAsia="zh-CN"/>
                    </w:rPr>
                    <w:t>2.5</w:t>
                  </w:r>
                </w:p>
              </w:tc>
              <w:tc>
                <w:tcPr>
                  <w:tcW w:w="407" w:type="pct"/>
                  <w:noWrap w:val="0"/>
                  <w:vAlign w:val="center"/>
                </w:tcPr>
                <w:p w14:paraId="157FC03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50C8BE2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344" w:type="pct"/>
                  <w:noWrap w:val="0"/>
                  <w:vAlign w:val="center"/>
                </w:tcPr>
                <w:p w14:paraId="4DEFD398">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restart"/>
                  <w:noWrap w:val="0"/>
                  <w:vAlign w:val="center"/>
                </w:tcPr>
                <w:p w14:paraId="640304F1">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18875DC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A76D54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6FF9C32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67FC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41CD78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2460960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1216EF0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1ABDB0A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7D38DB6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5CC4694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2176155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0F74BE9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7EAB8B6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2A9EEB7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42C0BC1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7437E68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29ACE64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31D2C1F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2E5081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8F5402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7A4A4EA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9DE2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A76DDB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2270F91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2578DFE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4141631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64F05C9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384FEC4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18C49BC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67014BC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2E42F7D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0A5B237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202A751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27E087C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344" w:type="pct"/>
                  <w:noWrap w:val="0"/>
                  <w:vAlign w:val="center"/>
                </w:tcPr>
                <w:p w14:paraId="36ABF826">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0C80779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A961A3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C1BA2F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7D5985C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F47A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39F247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40CF757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7DE6222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4CFCF92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362DFCF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2A5B081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655F9D7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137A598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7905B7D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328B81F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692F31D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584EA80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4A78684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20300C1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4EB0CD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7EC32C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260F100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1EC2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351D76B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72" w:type="pct"/>
                  <w:vMerge w:val="continue"/>
                  <w:noWrap w:val="0"/>
                  <w:vAlign w:val="center"/>
                </w:tcPr>
                <w:p w14:paraId="51C2447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0C98E81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沉浮分离漂槽</w:t>
                  </w:r>
                </w:p>
              </w:tc>
              <w:tc>
                <w:tcPr>
                  <w:tcW w:w="373" w:type="pct"/>
                  <w:vMerge w:val="restart"/>
                  <w:noWrap w:val="0"/>
                  <w:vAlign w:val="center"/>
                </w:tcPr>
                <w:p w14:paraId="7E27CCA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2E63694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198EACD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0C68D10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00BB62B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w:t>
                  </w:r>
                </w:p>
              </w:tc>
              <w:tc>
                <w:tcPr>
                  <w:tcW w:w="199" w:type="pct"/>
                  <w:vMerge w:val="restart"/>
                  <w:noWrap w:val="0"/>
                  <w:vAlign w:val="center"/>
                </w:tcPr>
                <w:p w14:paraId="7318476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196" w:type="pct"/>
                  <w:vMerge w:val="restart"/>
                  <w:noWrap w:val="0"/>
                  <w:vAlign w:val="center"/>
                </w:tcPr>
                <w:p w14:paraId="59C5A39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14AF5B8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34C935D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344" w:type="pct"/>
                  <w:noWrap w:val="0"/>
                  <w:vAlign w:val="center"/>
                </w:tcPr>
                <w:p w14:paraId="3D222423">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sz w:val="21"/>
                      <w:szCs w:val="21"/>
                      <w:lang w:val="en-US" w:eastAsia="zh-CN"/>
                    </w:rPr>
                    <w:t>35</w:t>
                  </w:r>
                </w:p>
              </w:tc>
              <w:tc>
                <w:tcPr>
                  <w:tcW w:w="261" w:type="pct"/>
                  <w:vMerge w:val="restart"/>
                  <w:noWrap w:val="0"/>
                  <w:vAlign w:val="center"/>
                </w:tcPr>
                <w:p w14:paraId="03BB98B5">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1A57E40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43C8FF9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63E93AC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C370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1DB3BC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6C0EF93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2044D88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0287D07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36885BD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0BBBC3F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0959E85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75BE2E6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1763E96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05E829B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22BAB32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21585BA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5CBD288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41</w:t>
                  </w:r>
                </w:p>
              </w:tc>
              <w:tc>
                <w:tcPr>
                  <w:tcW w:w="261" w:type="pct"/>
                  <w:vMerge w:val="continue"/>
                  <w:noWrap w:val="0"/>
                  <w:vAlign w:val="center"/>
                </w:tcPr>
                <w:p w14:paraId="2BDA0E0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64980DA">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0CF32EA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5DE961E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1EAB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8EF986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411DE63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79B6664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6ED7CCB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112A678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7002C63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545DF44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34705C2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2A221C5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0D607E3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71F96B3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27D6A9C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344" w:type="pct"/>
                  <w:noWrap w:val="0"/>
                  <w:vAlign w:val="center"/>
                </w:tcPr>
                <w:p w14:paraId="039F53BD">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continue"/>
                  <w:noWrap w:val="0"/>
                  <w:vAlign w:val="center"/>
                </w:tcPr>
                <w:p w14:paraId="6369561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35FB4C4">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05C8923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4008D59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41E2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66F16B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2DEAF42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652B5BF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708C7F2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66A77CC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090DAB1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30428CC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55F3B47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3E24076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32574CF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7CA7D28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64B74CC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4FC0D5D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36</w:t>
                  </w:r>
                </w:p>
              </w:tc>
              <w:tc>
                <w:tcPr>
                  <w:tcW w:w="261" w:type="pct"/>
                  <w:vMerge w:val="continue"/>
                  <w:noWrap w:val="0"/>
                  <w:vAlign w:val="center"/>
                </w:tcPr>
                <w:p w14:paraId="34AF985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5BBA739">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0CA7819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343A526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FB1D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0B3BDBF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72" w:type="pct"/>
                  <w:vMerge w:val="continue"/>
                  <w:noWrap w:val="0"/>
                  <w:vAlign w:val="center"/>
                </w:tcPr>
                <w:p w14:paraId="0C440FD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714504E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底渣抽料机</w:t>
                  </w:r>
                </w:p>
              </w:tc>
              <w:tc>
                <w:tcPr>
                  <w:tcW w:w="373" w:type="pct"/>
                  <w:vMerge w:val="restart"/>
                  <w:noWrap w:val="0"/>
                  <w:vAlign w:val="center"/>
                </w:tcPr>
                <w:p w14:paraId="49B41EB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1831C4E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4A1C585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41A1363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7906CA8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-37</w:t>
                  </w:r>
                </w:p>
              </w:tc>
              <w:tc>
                <w:tcPr>
                  <w:tcW w:w="199" w:type="pct"/>
                  <w:vMerge w:val="restart"/>
                  <w:noWrap w:val="0"/>
                  <w:vAlign w:val="center"/>
                </w:tcPr>
                <w:p w14:paraId="576EE3D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196" w:type="pct"/>
                  <w:vMerge w:val="restart"/>
                  <w:noWrap w:val="0"/>
                  <w:vAlign w:val="center"/>
                </w:tcPr>
                <w:p w14:paraId="761EBA1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4FB3640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4404207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344" w:type="pct"/>
                  <w:noWrap w:val="0"/>
                  <w:vAlign w:val="center"/>
                </w:tcPr>
                <w:p w14:paraId="2B0E9029">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restart"/>
                  <w:noWrap w:val="0"/>
                  <w:vAlign w:val="center"/>
                </w:tcPr>
                <w:p w14:paraId="20EEBB8B">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12A57D8D">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D11670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777A7C5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1011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09333C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3AC600D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977B6B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D89B71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E82EB0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1E2FFF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546A438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B1711E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EC5103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65D613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688F32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5EE60BA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608A28B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3E78F55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1B710D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67D23D7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7F98C5B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574D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8D3FB9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A3D727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20FE51B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30ED105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5A8436B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2110525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5143F7B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216333B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E65510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153FC4F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5DC8BB2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6E7B3B5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344" w:type="pct"/>
                  <w:noWrap w:val="0"/>
                  <w:vAlign w:val="center"/>
                </w:tcPr>
                <w:p w14:paraId="1FB09A19">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continue"/>
                  <w:noWrap w:val="0"/>
                  <w:vAlign w:val="center"/>
                </w:tcPr>
                <w:p w14:paraId="5502E4E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94EF02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7A72E2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546FF9C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886C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50891D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707CD6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3AD4DAA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4F06B94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49CCF14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45C0308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ECE153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05634AD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42A5F5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0647033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C55483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14DF1C1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6FA3AFA2">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031807B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4288CF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38C7B3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13C4D89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6D7B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86" w:hRule="atLeast"/>
              </w:trPr>
              <w:tc>
                <w:tcPr>
                  <w:tcW w:w="135" w:type="pct"/>
                  <w:vMerge w:val="restart"/>
                  <w:noWrap w:val="0"/>
                  <w:vAlign w:val="center"/>
                </w:tcPr>
                <w:p w14:paraId="50E8420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72" w:type="pct"/>
                  <w:vMerge w:val="continue"/>
                  <w:noWrap w:val="0"/>
                  <w:vAlign w:val="center"/>
                </w:tcPr>
                <w:p w14:paraId="1080370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0047523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螺旋抽料机</w:t>
                  </w:r>
                </w:p>
              </w:tc>
              <w:tc>
                <w:tcPr>
                  <w:tcW w:w="373" w:type="pct"/>
                  <w:vMerge w:val="restart"/>
                  <w:noWrap w:val="0"/>
                  <w:vAlign w:val="center"/>
                </w:tcPr>
                <w:p w14:paraId="537AB9A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28EE913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182F125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5FA901C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3D62645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199" w:type="pct"/>
                  <w:vMerge w:val="restart"/>
                  <w:noWrap w:val="0"/>
                  <w:vAlign w:val="center"/>
                </w:tcPr>
                <w:p w14:paraId="3DD30C5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196" w:type="pct"/>
                  <w:vMerge w:val="restart"/>
                  <w:noWrap w:val="0"/>
                  <w:vAlign w:val="center"/>
                </w:tcPr>
                <w:p w14:paraId="29D5941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080033A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0B3DFA6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44" w:type="pct"/>
                  <w:noWrap w:val="0"/>
                  <w:vAlign w:val="center"/>
                </w:tcPr>
                <w:p w14:paraId="1268B586">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40</w:t>
                  </w:r>
                </w:p>
              </w:tc>
              <w:tc>
                <w:tcPr>
                  <w:tcW w:w="261" w:type="pct"/>
                  <w:vMerge w:val="restart"/>
                  <w:noWrap w:val="0"/>
                  <w:vAlign w:val="center"/>
                </w:tcPr>
                <w:p w14:paraId="2110FF7A">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255CA53C">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888B55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64FAC58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2B2A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8D8DF7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990066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6B5BDB3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28B0A9B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2CE6DEA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6C41ED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AAFA00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D31875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3E541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8070E3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921255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2A573B7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63832E8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4632763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D9C4C9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2619A5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09F218C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4074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4A1F8B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46C6725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C0EF18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2052FCA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8C2817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8F133A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6D70DF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0BD3A6A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7874D0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D4CC9A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65F6F58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3FAAAA2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344" w:type="pct"/>
                  <w:noWrap w:val="0"/>
                  <w:vAlign w:val="center"/>
                </w:tcPr>
                <w:p w14:paraId="598B130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627A755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51DF4F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AE867D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172C331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F073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AA688C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36A94A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3ECCEF9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44EFA8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3B0B05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42BE479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7E8120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11EC68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AD84AD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DDAB58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63E985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640A257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49035FBC">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5CF402E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A1CEBD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9242A5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0A9B442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EECD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4646EBF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272" w:type="pct"/>
                  <w:vMerge w:val="continue"/>
                  <w:noWrap w:val="0"/>
                  <w:vAlign w:val="center"/>
                </w:tcPr>
                <w:p w14:paraId="77208E3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31C7B01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高速脱水机</w:t>
                  </w:r>
                </w:p>
              </w:tc>
              <w:tc>
                <w:tcPr>
                  <w:tcW w:w="373" w:type="pct"/>
                  <w:vMerge w:val="restart"/>
                  <w:noWrap w:val="0"/>
                  <w:vAlign w:val="center"/>
                </w:tcPr>
                <w:p w14:paraId="7DF2EA3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3C7A656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6498E0C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53C8998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25FA7BB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199" w:type="pct"/>
                  <w:vMerge w:val="restart"/>
                  <w:noWrap w:val="0"/>
                  <w:vAlign w:val="center"/>
                </w:tcPr>
                <w:p w14:paraId="04425CA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96" w:type="pct"/>
                  <w:vMerge w:val="restart"/>
                  <w:noWrap w:val="0"/>
                  <w:vAlign w:val="center"/>
                </w:tcPr>
                <w:p w14:paraId="269C0B3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266B83B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3000F34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344" w:type="pct"/>
                  <w:noWrap w:val="0"/>
                  <w:vAlign w:val="center"/>
                </w:tcPr>
                <w:p w14:paraId="64284FDA">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40</w:t>
                  </w:r>
                </w:p>
              </w:tc>
              <w:tc>
                <w:tcPr>
                  <w:tcW w:w="261" w:type="pct"/>
                  <w:vMerge w:val="restart"/>
                  <w:noWrap w:val="0"/>
                  <w:vAlign w:val="center"/>
                </w:tcPr>
                <w:p w14:paraId="24A86EDA">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3403A354">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D54B38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34EE4C6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A187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9DC3CC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4E200F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B25B10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B1790E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2F65797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D5AAC3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37C5B64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736A68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3508B05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06330A4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2A1237F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0A53DE5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4BEC16C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0D27435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4ED80E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6899FDA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692D705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8CA1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4B54E9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74AF345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6ED51BF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0A347A3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5BC31E5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359FD0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8FFC8A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2603D3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2ECCA53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229FA8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2549692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721EB53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344" w:type="pct"/>
                  <w:noWrap w:val="0"/>
                  <w:vAlign w:val="center"/>
                </w:tcPr>
                <w:p w14:paraId="7D6B5B9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7047B64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4EDEBF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296759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7442570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1328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9B9D36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70D91AE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BC59AF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34C6DE3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7177509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2C0D53D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7EAF10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073EF2D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073169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243946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2DFD779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4D12429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5D1EEB1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252B209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437AFF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89D0C2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29C15AB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93E3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69F5740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72" w:type="pct"/>
                  <w:vMerge w:val="continue"/>
                  <w:noWrap w:val="0"/>
                  <w:vAlign w:val="center"/>
                </w:tcPr>
                <w:p w14:paraId="480DB3B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24DC86F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加热干燥机</w:t>
                  </w:r>
                </w:p>
              </w:tc>
              <w:tc>
                <w:tcPr>
                  <w:tcW w:w="373" w:type="pct"/>
                  <w:vMerge w:val="restart"/>
                  <w:noWrap w:val="0"/>
                  <w:vAlign w:val="center"/>
                </w:tcPr>
                <w:p w14:paraId="43ECD63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294686D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286EA3C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2CF83B9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1C0D0FA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199" w:type="pct"/>
                  <w:vMerge w:val="restart"/>
                  <w:noWrap w:val="0"/>
                  <w:vAlign w:val="center"/>
                </w:tcPr>
                <w:p w14:paraId="6231F8C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96" w:type="pct"/>
                  <w:vMerge w:val="restart"/>
                  <w:noWrap w:val="0"/>
                  <w:vAlign w:val="center"/>
                </w:tcPr>
                <w:p w14:paraId="0128C01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408C66C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628D061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w:t>
                  </w:r>
                </w:p>
              </w:tc>
              <w:tc>
                <w:tcPr>
                  <w:tcW w:w="344" w:type="pct"/>
                  <w:noWrap w:val="0"/>
                  <w:vAlign w:val="center"/>
                </w:tcPr>
                <w:p w14:paraId="6C0C04B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restart"/>
                  <w:noWrap w:val="0"/>
                  <w:vAlign w:val="center"/>
                </w:tcPr>
                <w:p w14:paraId="3E44D5FF">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5DFF8FFD">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D0BC16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4C8F84F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89DF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9EC2C8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5EA5E3E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95FD01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F73BBB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46D68D7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79C462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00ADBE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EE3AD0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120676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F20D6F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61E029D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39F1682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0507E254">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35B00E7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CE2B60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BCDDA1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39D72A3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61E4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F432C7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DB390D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7970E3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3F219EC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1F2FACC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BA4090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050B259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813BDB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189618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29147AE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2926145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76DC976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344" w:type="pct"/>
                  <w:noWrap w:val="0"/>
                  <w:vAlign w:val="center"/>
                </w:tcPr>
                <w:p w14:paraId="568E38C0">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continue"/>
                  <w:noWrap w:val="0"/>
                  <w:vAlign w:val="center"/>
                </w:tcPr>
                <w:p w14:paraId="428A659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647B53F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7EBA51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5F8FACF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1F5A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D4F017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7ADCB2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4F0EEE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2B3262F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1964815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4C509C3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30B83B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FB86E7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D3BBF2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DD6FA4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21DE5F3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604638D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47269A9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0A409A3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5EDD94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7AEE82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437BE65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4684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3734411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272" w:type="pct"/>
                  <w:vMerge w:val="continue"/>
                  <w:noWrap w:val="0"/>
                  <w:vAlign w:val="center"/>
                </w:tcPr>
                <w:p w14:paraId="1F6274C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1B5B65E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风送上料机</w:t>
                  </w:r>
                </w:p>
              </w:tc>
              <w:tc>
                <w:tcPr>
                  <w:tcW w:w="373" w:type="pct"/>
                  <w:vMerge w:val="restart"/>
                  <w:noWrap w:val="0"/>
                  <w:vAlign w:val="center"/>
                </w:tcPr>
                <w:p w14:paraId="17FDC47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3DD78B3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2C20D35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3027779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4F3B2DB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99" w:type="pct"/>
                  <w:vMerge w:val="restart"/>
                  <w:noWrap w:val="0"/>
                  <w:vAlign w:val="center"/>
                </w:tcPr>
                <w:p w14:paraId="53D74AC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96" w:type="pct"/>
                  <w:vMerge w:val="restart"/>
                  <w:noWrap w:val="0"/>
                  <w:vAlign w:val="center"/>
                </w:tcPr>
                <w:p w14:paraId="214C484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301CAD4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7829B6F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344" w:type="pct"/>
                  <w:noWrap w:val="0"/>
                  <w:vAlign w:val="center"/>
                </w:tcPr>
                <w:p w14:paraId="7BC2D0E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restart"/>
                  <w:noWrap w:val="0"/>
                  <w:vAlign w:val="center"/>
                </w:tcPr>
                <w:p w14:paraId="0FA6C289">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2B6CEC52">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AA8781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2E9609D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8D6A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67ED48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5799DA4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8A469C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370BA3E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DB09AF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53C36BE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B0ED2D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215129B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4001B74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4F86300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578CDE2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1D2C712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409785C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261" w:type="pct"/>
                  <w:vMerge w:val="continue"/>
                  <w:noWrap w:val="0"/>
                  <w:vAlign w:val="center"/>
                </w:tcPr>
                <w:p w14:paraId="4131886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6AE031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76C016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5205639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2147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20F3D5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920BE1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6D2A16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1699B02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E84C58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53A538B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3FBFCF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5CB549A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923CD1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BE5889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EAC01C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5641181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44" w:type="pct"/>
                  <w:noWrap w:val="0"/>
                  <w:vAlign w:val="center"/>
                </w:tcPr>
                <w:p w14:paraId="5D395B4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continue"/>
                  <w:noWrap w:val="0"/>
                  <w:vAlign w:val="center"/>
                </w:tcPr>
                <w:p w14:paraId="2D261F2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58312E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1444B0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380694B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C421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7CF9D1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3E8D92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786D16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69B193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929E0F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B42087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5EC9737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233EBCF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4C7CD65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AA8340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CC6A4B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125F6E3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6317424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261" w:type="pct"/>
                  <w:vMerge w:val="continue"/>
                  <w:noWrap w:val="0"/>
                  <w:vAlign w:val="center"/>
                </w:tcPr>
                <w:p w14:paraId="22FB59D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E1E135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215FB6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7FBF785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F2D2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14A54B4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72" w:type="pct"/>
                  <w:vMerge w:val="continue"/>
                  <w:noWrap w:val="0"/>
                  <w:vAlign w:val="center"/>
                </w:tcPr>
                <w:p w14:paraId="19C3F52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621B9B9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风选分选机</w:t>
                  </w:r>
                </w:p>
              </w:tc>
              <w:tc>
                <w:tcPr>
                  <w:tcW w:w="373" w:type="pct"/>
                  <w:vMerge w:val="restart"/>
                  <w:noWrap w:val="0"/>
                  <w:vAlign w:val="center"/>
                </w:tcPr>
                <w:p w14:paraId="2AA1658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0576040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5F1C81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07E3E31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3A6F92B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199" w:type="pct"/>
                  <w:vMerge w:val="restart"/>
                  <w:noWrap w:val="0"/>
                  <w:vAlign w:val="center"/>
                </w:tcPr>
                <w:p w14:paraId="7CD0E74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96" w:type="pct"/>
                  <w:vMerge w:val="restart"/>
                  <w:noWrap w:val="0"/>
                  <w:vAlign w:val="center"/>
                </w:tcPr>
                <w:p w14:paraId="112F7AA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0518B75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3CC77A9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344" w:type="pct"/>
                  <w:noWrap w:val="0"/>
                  <w:vAlign w:val="center"/>
                </w:tcPr>
                <w:p w14:paraId="2AC840F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restart"/>
                  <w:noWrap w:val="0"/>
                  <w:vAlign w:val="center"/>
                </w:tcPr>
                <w:p w14:paraId="3B339E25">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0B9FF83D">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0CDB06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557BEFE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971B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A3919A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0F5929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3D4E27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E4BFF8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78A4973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19097C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2932F00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F37513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596C295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4AFFBA6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87FC0E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01B5E0C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3FD239F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261" w:type="pct"/>
                  <w:vMerge w:val="continue"/>
                  <w:noWrap w:val="0"/>
                  <w:vAlign w:val="center"/>
                </w:tcPr>
                <w:p w14:paraId="5E7FB8D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6E23F4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D8E99B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3571CE8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F754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082CDD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7972B94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39338CA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FF29C1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4D73B94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2F56C4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782B1C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504FA9B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282ADF9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21CDF26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2EF543A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68E17AF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344" w:type="pct"/>
                  <w:noWrap w:val="0"/>
                  <w:vAlign w:val="center"/>
                </w:tcPr>
                <w:p w14:paraId="5919F29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continue"/>
                  <w:noWrap w:val="0"/>
                  <w:vAlign w:val="center"/>
                </w:tcPr>
                <w:p w14:paraId="4A064E8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B5E98C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0F5D93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4340076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4FDB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2C0956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3615449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C046E7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2612333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84B778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5E30FE8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44AE26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D148CF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BB6B5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2FB5045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3FCD806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6187C96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6339F8E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261" w:type="pct"/>
                  <w:vMerge w:val="continue"/>
                  <w:noWrap w:val="0"/>
                  <w:vAlign w:val="center"/>
                </w:tcPr>
                <w:p w14:paraId="2ED223E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72CCC4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C641FF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2EF481B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1F0E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6141F71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272" w:type="pct"/>
                  <w:vMerge w:val="continue"/>
                  <w:noWrap w:val="0"/>
                  <w:vAlign w:val="center"/>
                </w:tcPr>
                <w:p w14:paraId="5C0ECF5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3299B93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震动上料机</w:t>
                  </w:r>
                </w:p>
              </w:tc>
              <w:tc>
                <w:tcPr>
                  <w:tcW w:w="373" w:type="pct"/>
                  <w:vMerge w:val="restart"/>
                  <w:noWrap w:val="0"/>
                  <w:vAlign w:val="center"/>
                </w:tcPr>
                <w:p w14:paraId="6AA7867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6725F39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6B5E521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3AAD912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2B989CC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199" w:type="pct"/>
                  <w:vMerge w:val="restart"/>
                  <w:noWrap w:val="0"/>
                  <w:vAlign w:val="center"/>
                </w:tcPr>
                <w:p w14:paraId="279DF65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96" w:type="pct"/>
                  <w:vMerge w:val="restart"/>
                  <w:noWrap w:val="0"/>
                  <w:vAlign w:val="center"/>
                </w:tcPr>
                <w:p w14:paraId="61D613E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3196CBE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6766A87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344" w:type="pct"/>
                  <w:noWrap w:val="0"/>
                  <w:vAlign w:val="center"/>
                </w:tcPr>
                <w:p w14:paraId="3ED3A58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 </w:t>
                  </w:r>
                </w:p>
              </w:tc>
              <w:tc>
                <w:tcPr>
                  <w:tcW w:w="261" w:type="pct"/>
                  <w:vMerge w:val="restart"/>
                  <w:noWrap w:val="0"/>
                  <w:vAlign w:val="center"/>
                </w:tcPr>
                <w:p w14:paraId="67F7A85B">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44547042">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981BD8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7231B3F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E703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E37EA7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4DC7E38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972B8F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24B25E2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45BDA7C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A6E6B8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C254D5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5DF071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85174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434A89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0F507A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156302A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295BB53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261" w:type="pct"/>
                  <w:vMerge w:val="continue"/>
                  <w:noWrap w:val="0"/>
                  <w:vAlign w:val="center"/>
                </w:tcPr>
                <w:p w14:paraId="1E4286C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04C288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5C77D0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13BB45F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0526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213D6B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7C669F1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4A42C0F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C1B8BC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2F05806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1B1EC5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90A4EE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68330C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451FEF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20D93FF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142EF8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0C2B3FC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344" w:type="pct"/>
                  <w:noWrap w:val="0"/>
                  <w:vAlign w:val="center"/>
                </w:tcPr>
                <w:p w14:paraId="7426040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 </w:t>
                  </w:r>
                </w:p>
              </w:tc>
              <w:tc>
                <w:tcPr>
                  <w:tcW w:w="261" w:type="pct"/>
                  <w:vMerge w:val="continue"/>
                  <w:noWrap w:val="0"/>
                  <w:vAlign w:val="center"/>
                </w:tcPr>
                <w:p w14:paraId="2B5FD70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261F5E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1731DE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228BDFF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281C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97CD2F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D344AD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462D3D5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3F928FC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424AD98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42E4C3F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E67673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A893E9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DCDB32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436B91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44F584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7EA85D0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0EE3ACD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261" w:type="pct"/>
                  <w:vMerge w:val="continue"/>
                  <w:noWrap w:val="0"/>
                  <w:vAlign w:val="center"/>
                </w:tcPr>
                <w:p w14:paraId="3E224D5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D8317C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1FD185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6759416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AF45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2C1619D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272" w:type="pct"/>
                  <w:vMerge w:val="continue"/>
                  <w:noWrap w:val="0"/>
                  <w:vAlign w:val="center"/>
                </w:tcPr>
                <w:p w14:paraId="50275A3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0550206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橡胶分离机</w:t>
                  </w:r>
                </w:p>
              </w:tc>
              <w:tc>
                <w:tcPr>
                  <w:tcW w:w="373" w:type="pct"/>
                  <w:vMerge w:val="restart"/>
                  <w:noWrap w:val="0"/>
                  <w:vAlign w:val="center"/>
                </w:tcPr>
                <w:p w14:paraId="69F210A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2393DB9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166CB35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5EEED25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75B5C06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199" w:type="pct"/>
                  <w:vMerge w:val="restart"/>
                  <w:noWrap w:val="0"/>
                  <w:vAlign w:val="center"/>
                </w:tcPr>
                <w:p w14:paraId="37B7CB7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96" w:type="pct"/>
                  <w:vMerge w:val="restart"/>
                  <w:noWrap w:val="0"/>
                  <w:vAlign w:val="center"/>
                </w:tcPr>
                <w:p w14:paraId="0239BD1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63A79BA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565798C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344" w:type="pct"/>
                  <w:noWrap w:val="0"/>
                  <w:vAlign w:val="center"/>
                </w:tcPr>
                <w:p w14:paraId="03CE007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restart"/>
                  <w:noWrap w:val="0"/>
                  <w:vAlign w:val="center"/>
                </w:tcPr>
                <w:p w14:paraId="0AB944B0">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26774202">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51972CE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3F94F45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177A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6778D2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CB6921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8EF3E6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32C09A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7F09529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02F5EE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114F1C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574944D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74C8D6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0D2DF92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AEAD0C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16F8FBD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4F5501C0">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2E1985D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2156CA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31BF930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736A2FD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41DB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C10D50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5C21FC6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604C6EF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F5E795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E3DD38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2FE0D5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A10F37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2DD18A8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AFF2D6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DC29C6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4A82B2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2096D5A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38</w:t>
                  </w:r>
                </w:p>
              </w:tc>
              <w:tc>
                <w:tcPr>
                  <w:tcW w:w="344" w:type="pct"/>
                  <w:noWrap w:val="0"/>
                  <w:vAlign w:val="center"/>
                </w:tcPr>
                <w:p w14:paraId="0B32A9F6">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continue"/>
                  <w:noWrap w:val="0"/>
                  <w:vAlign w:val="center"/>
                </w:tcPr>
                <w:p w14:paraId="23FAA18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C4D224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0A779DC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01E1AAA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370B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3F4719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51BCD1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275321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2B4712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755F691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EE204D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AAF98E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6B0EA7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AA75D7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E9D48F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5BF6C94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1E3CF56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6FB9FBE5">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429DF49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68719A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03B717D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592E067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1F31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1212BDA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272" w:type="pct"/>
                  <w:vMerge w:val="continue"/>
                  <w:noWrap w:val="0"/>
                  <w:vAlign w:val="center"/>
                </w:tcPr>
                <w:p w14:paraId="2720BD7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298D1DD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螺旋上料机</w:t>
                  </w:r>
                </w:p>
              </w:tc>
              <w:tc>
                <w:tcPr>
                  <w:tcW w:w="373" w:type="pct"/>
                  <w:vMerge w:val="restart"/>
                  <w:noWrap w:val="0"/>
                  <w:vAlign w:val="center"/>
                </w:tcPr>
                <w:p w14:paraId="16EB897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2BDA9EE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24C25ED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2DC362C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5D31D8E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-23</w:t>
                  </w:r>
                </w:p>
              </w:tc>
              <w:tc>
                <w:tcPr>
                  <w:tcW w:w="199" w:type="pct"/>
                  <w:vMerge w:val="restart"/>
                  <w:noWrap w:val="0"/>
                  <w:vAlign w:val="center"/>
                </w:tcPr>
                <w:p w14:paraId="202138A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96" w:type="pct"/>
                  <w:vMerge w:val="restart"/>
                  <w:noWrap w:val="0"/>
                  <w:vAlign w:val="center"/>
                </w:tcPr>
                <w:p w14:paraId="1EFE54F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0CC5CA0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48B8F15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344" w:type="pct"/>
                  <w:noWrap w:val="0"/>
                  <w:vAlign w:val="center"/>
                </w:tcPr>
                <w:p w14:paraId="07C3C270">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40</w:t>
                  </w:r>
                </w:p>
              </w:tc>
              <w:tc>
                <w:tcPr>
                  <w:tcW w:w="261" w:type="pct"/>
                  <w:vMerge w:val="restart"/>
                  <w:noWrap w:val="0"/>
                  <w:vAlign w:val="center"/>
                </w:tcPr>
                <w:p w14:paraId="77564AAD">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76C313C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3D2901C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0ACA8C3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9BED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A7A8E7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4D5119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3F463D9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2D655AD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7A8848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752D643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8EA825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46518CD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1EBE59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2FBFB8C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5F313A0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499EEB6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202BD89D">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55B3F2F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89BA1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28CDB07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79F2161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5921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86C14D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BE44F9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2C6584F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2880B4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70D652A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E1A736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9BD472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164AFB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4D6868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4E7EC48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6BF85A8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430C440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344" w:type="pct"/>
                  <w:noWrap w:val="0"/>
                  <w:vAlign w:val="center"/>
                </w:tcPr>
                <w:p w14:paraId="5067469E">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22D9414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F8AB38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135E351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4C51F2D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C064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8E5A84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FC9358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4827F1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E3FB61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F3B457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7ACA3EC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DA3F60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1BC058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635F3E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E926A6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470EEC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34E7433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0C46DD4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1720439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C356FB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0FE01B4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1E1169F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AD7E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634E52E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272" w:type="pct"/>
                  <w:vMerge w:val="continue"/>
                  <w:noWrap w:val="0"/>
                  <w:vAlign w:val="center"/>
                </w:tcPr>
                <w:p w14:paraId="1EA77DA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3D6445B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分选输送机</w:t>
                  </w:r>
                </w:p>
              </w:tc>
              <w:tc>
                <w:tcPr>
                  <w:tcW w:w="373" w:type="pct"/>
                  <w:vMerge w:val="restart"/>
                  <w:noWrap w:val="0"/>
                  <w:vAlign w:val="center"/>
                </w:tcPr>
                <w:p w14:paraId="669F65D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136CD7F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5D60811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5659A27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285C44B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199" w:type="pct"/>
                  <w:vMerge w:val="restart"/>
                  <w:noWrap w:val="0"/>
                  <w:vAlign w:val="center"/>
                </w:tcPr>
                <w:p w14:paraId="627BC74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96" w:type="pct"/>
                  <w:vMerge w:val="restart"/>
                  <w:noWrap w:val="0"/>
                  <w:vAlign w:val="center"/>
                </w:tcPr>
                <w:p w14:paraId="328D0C5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3A9ECEC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3A73C9C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344" w:type="pct"/>
                  <w:noWrap w:val="0"/>
                  <w:vAlign w:val="center"/>
                </w:tcPr>
                <w:p w14:paraId="743D6B30">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restart"/>
                  <w:noWrap w:val="0"/>
                  <w:vAlign w:val="center"/>
                </w:tcPr>
                <w:p w14:paraId="72C819D8">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05ADDA33">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6554609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5BB5370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C6FD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CBA9FB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ED6F39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6E3279E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0C2FD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81AC8B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552080B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2AD21FB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E0C8B6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AB79A9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79DC47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51155CC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338B73B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2865561E">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0A4900B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11AD90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33268F9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43DED48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CD4C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1037C5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7069C7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43F7B1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4580B74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A09644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D3A93E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07D96D6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10A1704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4F54C9B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678AEF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3AE9F4E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5EDDAA4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344" w:type="pct"/>
                  <w:noWrap w:val="0"/>
                  <w:vAlign w:val="center"/>
                </w:tcPr>
                <w:p w14:paraId="35C9051C">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continue"/>
                  <w:noWrap w:val="0"/>
                  <w:vAlign w:val="center"/>
                </w:tcPr>
                <w:p w14:paraId="0471363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685820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39BCBF7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245727C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8C36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5B7ECC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02E125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3587C46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6CA75B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2D4202C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4F0A4FB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FB8BCE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0C4CF3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52D5C90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8D77AA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51C0373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21F77F0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0D8BD67C">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1089DB5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2F8B65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5FA5038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0066BF0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4362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4B86D6D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272" w:type="pct"/>
                  <w:vMerge w:val="continue"/>
                  <w:noWrap w:val="0"/>
                  <w:vAlign w:val="center"/>
                </w:tcPr>
                <w:p w14:paraId="09932F8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3198F839">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破碎机</w:t>
                  </w:r>
                </w:p>
              </w:tc>
              <w:tc>
                <w:tcPr>
                  <w:tcW w:w="373" w:type="pct"/>
                  <w:vMerge w:val="restart"/>
                  <w:noWrap w:val="0"/>
                  <w:vAlign w:val="center"/>
                </w:tcPr>
                <w:p w14:paraId="3393FFB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6200DB9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32" w:type="pct"/>
                  <w:vMerge w:val="restart"/>
                  <w:noWrap w:val="0"/>
                  <w:vAlign w:val="center"/>
                </w:tcPr>
                <w:p w14:paraId="1911C15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72865FA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47AA40A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199" w:type="pct"/>
                  <w:vMerge w:val="restart"/>
                  <w:noWrap w:val="0"/>
                  <w:vAlign w:val="center"/>
                </w:tcPr>
                <w:p w14:paraId="012897C9">
                  <w:pPr>
                    <w:pStyle w:val="141"/>
                    <w:keepNext w:val="0"/>
                    <w:keepLines w:val="0"/>
                    <w:pageBreakBefore w:val="0"/>
                    <w:kinsoku/>
                    <w:wordWrap/>
                    <w:overflowPunct/>
                    <w:topLinePunct w:val="0"/>
                    <w:autoSpaceDE/>
                    <w:autoSpaceDN/>
                    <w:bidi w:val="0"/>
                    <w:adjustRightInd w:val="0"/>
                    <w:snapToGrid/>
                    <w:spacing w:line="340" w:lineRule="exact"/>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96" w:type="pct"/>
                  <w:vMerge w:val="restart"/>
                  <w:noWrap w:val="0"/>
                  <w:vAlign w:val="center"/>
                </w:tcPr>
                <w:p w14:paraId="1970A17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2C8A1CB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761AF28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344" w:type="pct"/>
                  <w:noWrap w:val="0"/>
                  <w:vAlign w:val="center"/>
                </w:tcPr>
                <w:p w14:paraId="4E73339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261" w:type="pct"/>
                  <w:vMerge w:val="restart"/>
                  <w:noWrap w:val="0"/>
                  <w:vAlign w:val="center"/>
                </w:tcPr>
                <w:p w14:paraId="53E9DD7A">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2EE190B5">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1A06D0B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354" w:type="pct"/>
                  <w:noWrap w:val="0"/>
                  <w:vAlign w:val="center"/>
                </w:tcPr>
                <w:p w14:paraId="7366AC9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2B01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F3835E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3EC265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3D6E0F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026AA32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47FACFD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800281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3E219D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24FA1D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264DFFE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B7492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B2AC4B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3408E0B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p>
              </w:tc>
              <w:tc>
                <w:tcPr>
                  <w:tcW w:w="344" w:type="pct"/>
                  <w:noWrap w:val="0"/>
                  <w:vAlign w:val="center"/>
                </w:tcPr>
                <w:p w14:paraId="7091163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 </w:t>
                  </w:r>
                </w:p>
              </w:tc>
              <w:tc>
                <w:tcPr>
                  <w:tcW w:w="261" w:type="pct"/>
                  <w:vMerge w:val="continue"/>
                  <w:noWrap w:val="0"/>
                  <w:vAlign w:val="center"/>
                </w:tcPr>
                <w:p w14:paraId="225FC22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4A46F2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310B2D1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354" w:type="pct"/>
                  <w:noWrap w:val="0"/>
                  <w:vAlign w:val="center"/>
                </w:tcPr>
                <w:p w14:paraId="32387C6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8AD7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CEBA81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E89179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6683A66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168119F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77E995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6D0475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D8EED6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0140FCC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203B7A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96B465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3AA226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7EDA5CA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344" w:type="pct"/>
                  <w:noWrap w:val="0"/>
                  <w:vAlign w:val="center"/>
                </w:tcPr>
                <w:p w14:paraId="19D7B07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261" w:type="pct"/>
                  <w:vMerge w:val="continue"/>
                  <w:noWrap w:val="0"/>
                  <w:vAlign w:val="center"/>
                </w:tcPr>
                <w:p w14:paraId="4D37D69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0EDDE4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50BA68F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354" w:type="pct"/>
                  <w:noWrap w:val="0"/>
                  <w:vAlign w:val="center"/>
                </w:tcPr>
                <w:p w14:paraId="33236BE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21D2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8E765A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4A54B21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3E68EC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DAF438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93169D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5C9A10F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735B72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61DFC5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2A6173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D542EF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3265E0D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3D50A01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16</w:t>
                  </w:r>
                </w:p>
              </w:tc>
              <w:tc>
                <w:tcPr>
                  <w:tcW w:w="344" w:type="pct"/>
                  <w:noWrap w:val="0"/>
                  <w:vAlign w:val="center"/>
                </w:tcPr>
                <w:p w14:paraId="1F084B3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261" w:type="pct"/>
                  <w:vMerge w:val="continue"/>
                  <w:noWrap w:val="0"/>
                  <w:vAlign w:val="center"/>
                </w:tcPr>
                <w:p w14:paraId="2DF4A63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63845B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43773F6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354" w:type="pct"/>
                  <w:noWrap w:val="0"/>
                  <w:vAlign w:val="center"/>
                </w:tcPr>
                <w:p w14:paraId="10A1954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77D1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0417CFF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272" w:type="pct"/>
                  <w:vMerge w:val="continue"/>
                  <w:noWrap w:val="0"/>
                  <w:vAlign w:val="center"/>
                </w:tcPr>
                <w:p w14:paraId="72068E0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659CB985">
                  <w:pPr>
                    <w:pStyle w:val="15"/>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Times New Roman" w:cs="Times New Roman"/>
                      <w:color w:val="auto"/>
                      <w:sz w:val="21"/>
                      <w:szCs w:val="21"/>
                      <w:lang w:val="zh-CN"/>
                    </w:rPr>
                  </w:pPr>
                  <w:r>
                    <w:rPr>
                      <w:rFonts w:hint="default" w:ascii="Times New Roman" w:hAnsi="Times New Roman" w:eastAsia="宋体" w:cs="Times New Roman"/>
                      <w:i w:val="0"/>
                      <w:iCs w:val="0"/>
                      <w:color w:val="auto"/>
                      <w:kern w:val="0"/>
                      <w:sz w:val="21"/>
                      <w:szCs w:val="21"/>
                      <w:u w:val="none"/>
                      <w:lang w:val="en-US" w:eastAsia="zh-CN" w:bidi="ar"/>
                    </w:rPr>
                    <w:t>清洗机</w:t>
                  </w:r>
                </w:p>
              </w:tc>
              <w:tc>
                <w:tcPr>
                  <w:tcW w:w="373" w:type="pct"/>
                  <w:vMerge w:val="restart"/>
                  <w:noWrap w:val="0"/>
                  <w:vAlign w:val="center"/>
                </w:tcPr>
                <w:p w14:paraId="3F501A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2DDF2E9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321ADB1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66022BD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w:t>
                  </w:r>
                </w:p>
              </w:tc>
              <w:tc>
                <w:tcPr>
                  <w:tcW w:w="205" w:type="pct"/>
                  <w:vMerge w:val="restart"/>
                  <w:noWrap w:val="0"/>
                  <w:vAlign w:val="center"/>
                </w:tcPr>
                <w:p w14:paraId="2138862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199" w:type="pct"/>
                  <w:vMerge w:val="restart"/>
                  <w:noWrap w:val="0"/>
                  <w:vAlign w:val="center"/>
                </w:tcPr>
                <w:p w14:paraId="779CC61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96" w:type="pct"/>
                  <w:vMerge w:val="restart"/>
                  <w:noWrap w:val="0"/>
                  <w:vAlign w:val="center"/>
                </w:tcPr>
                <w:p w14:paraId="3133B5F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32C94D8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2FE2DAB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344" w:type="pct"/>
                  <w:noWrap w:val="0"/>
                  <w:vAlign w:val="center"/>
                </w:tcPr>
                <w:p w14:paraId="4B86085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restart"/>
                  <w:noWrap w:val="0"/>
                  <w:vAlign w:val="center"/>
                </w:tcPr>
                <w:p w14:paraId="1EBD6A8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24</w:t>
                  </w:r>
                  <w:r>
                    <w:rPr>
                      <w:rFonts w:hint="default" w:ascii="Times New Roman" w:hAnsi="Times New Roman" w:cs="Times New Roman"/>
                      <w:color w:val="auto"/>
                      <w:kern w:val="0"/>
                      <w:sz w:val="21"/>
                      <w:szCs w:val="21"/>
                      <w:lang w:bidi="ar"/>
                    </w:rPr>
                    <w:t>h/d</w:t>
                  </w:r>
                </w:p>
              </w:tc>
              <w:tc>
                <w:tcPr>
                  <w:tcW w:w="389" w:type="pct"/>
                  <w:noWrap w:val="0"/>
                  <w:vAlign w:val="center"/>
                </w:tcPr>
                <w:p w14:paraId="20862CD8">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2D38E7B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7D0A759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9706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479921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3C03C2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6EABD20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2A544CB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ABB7BA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F5AFE6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311682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459CDC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AFAF6C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7FA44E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587679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245F572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24EEBB1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261" w:type="pct"/>
                  <w:vMerge w:val="continue"/>
                  <w:noWrap w:val="0"/>
                  <w:vAlign w:val="center"/>
                </w:tcPr>
                <w:p w14:paraId="582DC6B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231420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3BAE0F5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48F9877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5D2B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45D41E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599097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11C80F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449D0DE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15EB120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DCA62C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D03455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5D1CCA5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36CDC8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06E8B2A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6E84F96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38D322B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344" w:type="pct"/>
                  <w:noWrap w:val="0"/>
                  <w:vAlign w:val="center"/>
                </w:tcPr>
                <w:p w14:paraId="6DE3F9D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continue"/>
                  <w:noWrap w:val="0"/>
                  <w:vAlign w:val="center"/>
                </w:tcPr>
                <w:p w14:paraId="211B31F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978B88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4554A94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21A72F7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06BD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AE180B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BF396A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486D8E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A9127B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4791627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2E3B349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B0DEDC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08A9BF0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30BCACF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B58264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2E92909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5380C4B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344" w:type="pct"/>
                  <w:noWrap w:val="0"/>
                  <w:vAlign w:val="center"/>
                </w:tcPr>
                <w:p w14:paraId="5D1B0AD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261" w:type="pct"/>
                  <w:vMerge w:val="continue"/>
                  <w:noWrap w:val="0"/>
                  <w:vAlign w:val="center"/>
                </w:tcPr>
                <w:p w14:paraId="7217586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5469A4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392B669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543F9E3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bl>
          <w:p w14:paraId="638DB9CF">
            <w:pPr>
              <w:adjustRightInd w:val="0"/>
              <w:snapToGrid w:val="0"/>
              <w:spacing w:line="360" w:lineRule="auto"/>
              <w:rPr>
                <w:rFonts w:hint="default" w:ascii="Times New Roman" w:hAnsi="Times New Roman" w:cs="Times New Roman"/>
                <w:b/>
                <w:color w:val="auto"/>
                <w:kern w:val="0"/>
                <w:sz w:val="28"/>
                <w:szCs w:val="28"/>
              </w:rPr>
            </w:pPr>
            <w:r>
              <w:rPr>
                <w:rFonts w:hint="default" w:ascii="Times New Roman" w:hAnsi="Times New Roman" w:cs="Times New Roman"/>
                <w:snapToGrid w:val="0"/>
                <w:color w:val="auto"/>
                <w:szCs w:val="21"/>
              </w:rPr>
              <w:t>备注：取厂区</w:t>
            </w:r>
            <w:r>
              <w:rPr>
                <w:rFonts w:hint="eastAsia" w:ascii="Times New Roman" w:hAnsi="Times New Roman" w:cs="Times New Roman"/>
                <w:snapToGrid w:val="0"/>
                <w:color w:val="auto"/>
                <w:szCs w:val="21"/>
                <w:lang w:val="en-US" w:eastAsia="zh-CN"/>
              </w:rPr>
              <w:t>东</w:t>
            </w:r>
            <w:r>
              <w:rPr>
                <w:rFonts w:hint="default" w:ascii="Times New Roman" w:hAnsi="Times New Roman" w:cs="Times New Roman"/>
                <w:snapToGrid w:val="0"/>
                <w:color w:val="auto"/>
                <w:szCs w:val="21"/>
              </w:rPr>
              <w:t>南角位置为原点。</w:t>
            </w:r>
          </w:p>
        </w:tc>
      </w:tr>
    </w:tbl>
    <w:p w14:paraId="1F096D4E">
      <w:pPr>
        <w:pStyle w:val="22"/>
        <w:jc w:val="center"/>
        <w:outlineLvl w:val="0"/>
        <w:rPr>
          <w:rFonts w:hint="default" w:ascii="Times New Roman" w:hAnsi="Times New Roman" w:eastAsia="黑体"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9"/>
        <w:gridCol w:w="8562"/>
      </w:tblGrid>
      <w:tr w14:paraId="7F8F4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2" w:hRule="atLeast"/>
          <w:jc w:val="center"/>
        </w:trPr>
        <w:tc>
          <w:tcPr>
            <w:tcW w:w="419" w:type="dxa"/>
            <w:noWrap w:val="0"/>
            <w:tcMar>
              <w:left w:w="28" w:type="dxa"/>
              <w:right w:w="28" w:type="dxa"/>
            </w:tcMar>
            <w:vAlign w:val="center"/>
          </w:tcPr>
          <w:p w14:paraId="3895C4B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2B0FD88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32C2843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019A8FCE">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13EC2257">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59AD504B">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562" w:type="dxa"/>
            <w:noWrap w:val="0"/>
            <w:vAlign w:val="top"/>
          </w:tcPr>
          <w:p w14:paraId="05F2751E">
            <w:pPr>
              <w:adjustRightInd w:val="0"/>
              <w:snapToGrid w:val="0"/>
              <w:spacing w:before="120" w:beforeLines="50" w:line="360" w:lineRule="auto"/>
              <w:rPr>
                <w:rFonts w:hint="default" w:ascii="Times New Roman" w:hAnsi="Times New Roman" w:eastAsia="黑体" w:cs="Times New Roman"/>
                <w:b/>
                <w:bCs/>
                <w:color w:val="auto"/>
                <w:kern w:val="0"/>
                <w:sz w:val="24"/>
              </w:rPr>
            </w:pPr>
            <w:r>
              <w:rPr>
                <w:rFonts w:hint="default" w:ascii="Times New Roman" w:hAnsi="Times New Roman" w:eastAsia="黑体" w:cs="Times New Roman"/>
                <w:b/>
                <w:bCs/>
                <w:color w:val="auto"/>
                <w:kern w:val="0"/>
                <w:sz w:val="24"/>
              </w:rPr>
              <w:t>4.</w:t>
            </w:r>
            <w:r>
              <w:rPr>
                <w:rFonts w:hint="eastAsia" w:eastAsia="黑体" w:cs="Times New Roman"/>
                <w:b/>
                <w:bCs/>
                <w:color w:val="auto"/>
                <w:kern w:val="0"/>
                <w:sz w:val="24"/>
                <w:lang w:val="en-US" w:eastAsia="zh-CN"/>
              </w:rPr>
              <w:t>4</w:t>
            </w:r>
            <w:r>
              <w:rPr>
                <w:rFonts w:hint="default" w:ascii="Times New Roman" w:hAnsi="Times New Roman" w:cs="Times New Roman"/>
                <w:b/>
                <w:color w:val="auto"/>
                <w:sz w:val="24"/>
              </w:rPr>
              <w:t>.2运营期声环境影响分析</w:t>
            </w:r>
          </w:p>
          <w:p w14:paraId="3267042D">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项目噪声预测模式采用《环境影响评价技术导则 声环境》(HJ2.4-2021)中附录A户外声传播的衰减及附录B典型行业噪声预测模型进行分析。</w:t>
            </w:r>
          </w:p>
          <w:p w14:paraId="4F68A894">
            <w:pPr>
              <w:adjustRightInd w:val="0"/>
              <w:snapToGrid w:val="0"/>
              <w:spacing w:line="360" w:lineRule="auto"/>
              <w:ind w:firstLine="480"/>
              <w:rPr>
                <w:rFonts w:hint="default" w:ascii="Times New Roman" w:hAnsi="Times New Roman" w:cs="Times New Roman"/>
                <w:b/>
                <w:color w:val="auto"/>
                <w:sz w:val="24"/>
              </w:rPr>
            </w:pPr>
            <w:r>
              <w:rPr>
                <w:rFonts w:hint="default" w:ascii="Times New Roman" w:hAnsi="Times New Roman" w:cs="Times New Roman"/>
                <w:b/>
                <w:color w:val="auto"/>
                <w:sz w:val="24"/>
              </w:rPr>
              <w:t>⑴室内声源等效室外声源声功率级计算方法</w:t>
            </w:r>
          </w:p>
          <w:p w14:paraId="1AE35D4A">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①如下图所示，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14:paraId="30D7C9B3">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244600" cy="241300"/>
                  <wp:effectExtent l="0" t="0" r="12700" b="508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20"/>
                          <a:stretch>
                            <a:fillRect/>
                          </a:stretch>
                        </pic:blipFill>
                        <pic:spPr>
                          <a:xfrm>
                            <a:off x="0" y="0"/>
                            <a:ext cx="1244600" cy="241300"/>
                          </a:xfrm>
                          <a:prstGeom prst="rect">
                            <a:avLst/>
                          </a:prstGeom>
                          <a:noFill/>
                          <a:ln>
                            <a:noFill/>
                          </a:ln>
                        </pic:spPr>
                      </pic:pic>
                    </a:graphicData>
                  </a:graphic>
                </wp:inline>
              </w:drawing>
            </w:r>
          </w:p>
          <w:p w14:paraId="5E795DA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46F2E6A2">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w:t>
            </w:r>
            <w:r>
              <w:rPr>
                <w:rFonts w:hint="default" w:ascii="Times New Roman" w:hAnsi="Times New Roman" w:cs="Times New Roman"/>
                <w:color w:val="auto"/>
                <w:sz w:val="24"/>
              </w:rPr>
              <w:t>—靠近开口处(或窗户)室内某倍频带的声压级或A声级，dB；</w:t>
            </w:r>
          </w:p>
          <w:p w14:paraId="34FE2272">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p2</w:t>
            </w:r>
            <w:r>
              <w:rPr>
                <w:rFonts w:hint="default" w:ascii="Times New Roman" w:hAnsi="Times New Roman" w:cs="Times New Roman"/>
                <w:color w:val="auto"/>
                <w:sz w:val="24"/>
              </w:rPr>
              <w:t>—靠近开口处(或窗户)室外某倍频带的声压级或A声级，dB；</w:t>
            </w:r>
          </w:p>
          <w:p w14:paraId="0A7C9B9D">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TI—隔墙(或窗户)倍频带或A声级的隔声量，dB。</w:t>
            </w:r>
          </w:p>
          <w:p w14:paraId="3A6B3EF7">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320290" cy="1279525"/>
                  <wp:effectExtent l="0" t="0" r="3810" b="1587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21"/>
                          <a:stretch>
                            <a:fillRect/>
                          </a:stretch>
                        </pic:blipFill>
                        <pic:spPr>
                          <a:xfrm>
                            <a:off x="0" y="0"/>
                            <a:ext cx="2320290" cy="1279525"/>
                          </a:xfrm>
                          <a:prstGeom prst="rect">
                            <a:avLst/>
                          </a:prstGeom>
                          <a:noFill/>
                          <a:ln>
                            <a:noFill/>
                          </a:ln>
                        </pic:spPr>
                      </pic:pic>
                    </a:graphicData>
                  </a:graphic>
                </wp:inline>
              </w:drawing>
            </w:r>
          </w:p>
          <w:p w14:paraId="00B7AE36">
            <w:pPr>
              <w:adjustRightInd w:val="0"/>
              <w:snapToGrid w:val="0"/>
              <w:spacing w:line="360" w:lineRule="auto"/>
              <w:ind w:firstLine="48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图4.4-1 室内声源等效室外声源图例</w:t>
            </w:r>
          </w:p>
          <w:p w14:paraId="1E7B4FCD">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②按下式计算某一室内声源靠近围护结构处产生的倍频带声压级或A声级：</w:t>
            </w:r>
          </w:p>
          <w:p w14:paraId="2A61019F">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714500" cy="482600"/>
                  <wp:effectExtent l="0" t="0" r="0" b="1333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2"/>
                          <a:stretch>
                            <a:fillRect/>
                          </a:stretch>
                        </pic:blipFill>
                        <pic:spPr>
                          <a:xfrm>
                            <a:off x="0" y="0"/>
                            <a:ext cx="1714500" cy="482600"/>
                          </a:xfrm>
                          <a:prstGeom prst="rect">
                            <a:avLst/>
                          </a:prstGeom>
                          <a:noFill/>
                          <a:ln>
                            <a:noFill/>
                          </a:ln>
                        </pic:spPr>
                      </pic:pic>
                    </a:graphicData>
                  </a:graphic>
                </wp:inline>
              </w:drawing>
            </w:r>
          </w:p>
          <w:p w14:paraId="570302E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5EAA3A3A">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Lp</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—靠近开口处(或窗户)室内某倍频带的声压级或A声级，dB；</w:t>
            </w:r>
          </w:p>
          <w:p w14:paraId="1A01D0C5">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Lw—点声源声功率级(A计权或倍频带)，dB；</w:t>
            </w:r>
          </w:p>
          <w:p w14:paraId="37EE3A30">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Q—指向性因数；通常对无指向性声源，当声源放在房间中心时，Q=1；当放在一面墙的中心时，Q=2；当放在两面墙夹角处时，Q=4；当放在三面墙夹角处时，Q=8；</w:t>
            </w:r>
          </w:p>
          <w:p w14:paraId="4799E46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R—房间常数；R=Sa/(1-a)，s为房间内表面面积，m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；a为平均吸声系数；</w:t>
            </w:r>
          </w:p>
          <w:p w14:paraId="6897BF9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r—声源到靠近围护结构某点处的距离，m。</w:t>
            </w:r>
          </w:p>
          <w:p w14:paraId="6E032D42">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③按下式计算出所有室内声源在靠近围护结构处产生的i倍频带叠加声压级：</w:t>
            </w:r>
          </w:p>
          <w:p w14:paraId="32AD31F8">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688465" cy="482600"/>
                  <wp:effectExtent l="0" t="0" r="6985" b="1333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23"/>
                          <a:stretch>
                            <a:fillRect/>
                          </a:stretch>
                        </pic:blipFill>
                        <pic:spPr>
                          <a:xfrm>
                            <a:off x="0" y="0"/>
                            <a:ext cx="1688465" cy="482600"/>
                          </a:xfrm>
                          <a:prstGeom prst="rect">
                            <a:avLst/>
                          </a:prstGeom>
                          <a:noFill/>
                          <a:ln>
                            <a:noFill/>
                          </a:ln>
                        </pic:spPr>
                      </pic:pic>
                    </a:graphicData>
                  </a:graphic>
                </wp:inline>
              </w:drawing>
            </w:r>
          </w:p>
          <w:p w14:paraId="1DE3E13C">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7F8A848D">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p1i</w:t>
            </w:r>
            <w:r>
              <w:rPr>
                <w:rFonts w:hint="default" w:ascii="Times New Roman" w:hAnsi="Times New Roman" w:cs="Times New Roman"/>
                <w:color w:val="auto"/>
                <w:sz w:val="24"/>
              </w:rPr>
              <w:t>(T)—靠近围护结构处室内N个声源i倍频带的叠加声压级，dB；</w:t>
            </w:r>
          </w:p>
          <w:p w14:paraId="4CBF42B5">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p1ij</w:t>
            </w:r>
            <w:r>
              <w:rPr>
                <w:rFonts w:hint="default" w:ascii="Times New Roman" w:hAnsi="Times New Roman" w:cs="Times New Roman"/>
                <w:color w:val="auto"/>
                <w:sz w:val="24"/>
              </w:rPr>
              <w:t>—室内j声源i倍频带的声压级，dB；</w:t>
            </w:r>
          </w:p>
          <w:p w14:paraId="358DBEA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N—室内声源总数。</w:t>
            </w:r>
          </w:p>
          <w:p w14:paraId="1EBF85D7">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④在室内近似为扩散声场时，按下式计算出室外靠近围护结构处的声压级：</w:t>
            </w:r>
          </w:p>
          <w:p w14:paraId="14C11605">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777365" cy="241300"/>
                  <wp:effectExtent l="0" t="0" r="13335" b="508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24"/>
                          <a:stretch>
                            <a:fillRect/>
                          </a:stretch>
                        </pic:blipFill>
                        <pic:spPr>
                          <a:xfrm>
                            <a:off x="0" y="0"/>
                            <a:ext cx="1777365" cy="241300"/>
                          </a:xfrm>
                          <a:prstGeom prst="rect">
                            <a:avLst/>
                          </a:prstGeom>
                          <a:noFill/>
                          <a:ln>
                            <a:noFill/>
                          </a:ln>
                        </pic:spPr>
                      </pic:pic>
                    </a:graphicData>
                  </a:graphic>
                </wp:inline>
              </w:drawing>
            </w:r>
          </w:p>
          <w:p w14:paraId="5B143CE0">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764CFD0B">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p2i</w:t>
            </w:r>
            <w:r>
              <w:rPr>
                <w:rFonts w:hint="default" w:ascii="Times New Roman" w:hAnsi="Times New Roman" w:cs="Times New Roman"/>
                <w:color w:val="auto"/>
                <w:sz w:val="24"/>
              </w:rPr>
              <w:t>(T)—靠近围护结构处室外N个声源i倍频带的叠加声压级，dB；</w:t>
            </w:r>
          </w:p>
          <w:p w14:paraId="77A5C397">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p1i</w:t>
            </w:r>
            <w:r>
              <w:rPr>
                <w:rFonts w:hint="default" w:ascii="Times New Roman" w:hAnsi="Times New Roman" w:cs="Times New Roman"/>
                <w:color w:val="auto"/>
                <w:sz w:val="24"/>
              </w:rPr>
              <w:t>(T)—靠近围护结构处室内N个声源i倍频带的叠加声压级，dB；</w:t>
            </w:r>
          </w:p>
          <w:p w14:paraId="7591B4F2">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TL</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—围护结构i倍频带的隔声量，dB。</w:t>
            </w:r>
          </w:p>
          <w:p w14:paraId="188847A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⑤按下式将室外声源的声压级和透声面积换算成等效的室外声源，计算出中心位置位于透声面积(S)处的等效声源的倍频带的声功率级</w:t>
            </w:r>
            <w:r>
              <w:rPr>
                <w:rFonts w:hint="default" w:ascii="Times New Roman" w:hAnsi="Times New Roman" w:cs="Times New Roman"/>
                <w:color w:val="auto"/>
                <w:sz w:val="24"/>
              </w:rPr>
              <w:softHyphen/>
            </w:r>
            <w:r>
              <w:rPr>
                <w:rFonts w:hint="default" w:ascii="Times New Roman" w:hAnsi="Times New Roman" w:cs="Times New Roman"/>
                <w:color w:val="auto"/>
                <w:sz w:val="24"/>
              </w:rPr>
              <w:softHyphen/>
            </w:r>
            <w:r>
              <w:rPr>
                <w:rFonts w:hint="default" w:ascii="Times New Roman" w:hAnsi="Times New Roman" w:cs="Times New Roman"/>
                <w:color w:val="auto"/>
                <w:sz w:val="24"/>
              </w:rPr>
              <w:t>：</w:t>
            </w:r>
          </w:p>
          <w:p w14:paraId="06E14B4D">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333500" cy="241300"/>
                  <wp:effectExtent l="0" t="0" r="0" b="508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25"/>
                          <a:stretch>
                            <a:fillRect/>
                          </a:stretch>
                        </pic:blipFill>
                        <pic:spPr>
                          <a:xfrm>
                            <a:off x="0" y="0"/>
                            <a:ext cx="1333500" cy="241300"/>
                          </a:xfrm>
                          <a:prstGeom prst="rect">
                            <a:avLst/>
                          </a:prstGeom>
                          <a:noFill/>
                          <a:ln>
                            <a:noFill/>
                          </a:ln>
                        </pic:spPr>
                      </pic:pic>
                    </a:graphicData>
                  </a:graphic>
                </wp:inline>
              </w:drawing>
            </w:r>
          </w:p>
          <w:p w14:paraId="6C9731C1">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6C20EE02">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Lw—中心位置位于透声面积(S)处的等效声源的倍频带声功率级，dB；</w:t>
            </w:r>
          </w:p>
          <w:p w14:paraId="5A56BCF4">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Lp</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(T)—靠近围护结构处室外声源的声压级，dB；</w:t>
            </w:r>
          </w:p>
          <w:p w14:paraId="53536A10">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S透声面积，m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2C1CFED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(2)户外声传播的衰减</w:t>
            </w:r>
          </w:p>
          <w:p w14:paraId="1B0DAD0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户外声传播衰减包括几何发散(Adiv)、大气吸收(Aatm)、地面效应(Agr)、障碍物屏蔽(Abar)、其他多方面效应(Amisc)引起的衰减。</w:t>
            </w:r>
          </w:p>
          <w:p w14:paraId="15BC606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①基本公式</w:t>
            </w:r>
          </w:p>
          <w:p w14:paraId="7066F4D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某个声源在预测点处声压级的计算公式如下：</w:t>
            </w:r>
          </w:p>
          <w:p w14:paraId="5EC02DAC">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eastAsia="Times New Roman" w:cs="Times New Roman"/>
                <w:i/>
                <w:color w:val="auto"/>
                <w:sz w:val="24"/>
              </w:rPr>
              <w:t>Lp</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Lw</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D</w:t>
            </w:r>
            <w:r>
              <w:rPr>
                <w:rFonts w:hint="default" w:ascii="Times New Roman" w:hAnsi="Times New Roman" w:eastAsia="Times New Roman" w:cs="Times New Roman"/>
                <w:color w:val="auto"/>
                <w:sz w:val="24"/>
              </w:rPr>
              <w:t>C</w:t>
            </w: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div</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atm</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gr</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bar</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misc)</w:t>
            </w:r>
          </w:p>
          <w:p w14:paraId="089D6BBA">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eastAsia="Times New Roman" w:cs="Times New Roman"/>
                <w:i/>
                <w:color w:val="auto"/>
                <w:sz w:val="24"/>
              </w:rPr>
              <w:t>Lp</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Lp</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0)+</w:t>
            </w:r>
            <w:r>
              <w:rPr>
                <w:rFonts w:hint="default" w:ascii="Times New Roman" w:hAnsi="Times New Roman" w:eastAsia="Times New Roman" w:cs="Times New Roman"/>
                <w:i/>
                <w:color w:val="auto"/>
                <w:sz w:val="24"/>
              </w:rPr>
              <w:t>D</w:t>
            </w:r>
            <w:r>
              <w:rPr>
                <w:rFonts w:hint="default" w:ascii="Times New Roman" w:hAnsi="Times New Roman" w:eastAsia="Times New Roman" w:cs="Times New Roman"/>
                <w:color w:val="auto"/>
                <w:sz w:val="24"/>
              </w:rPr>
              <w:t>C</w:t>
            </w: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div</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atm</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gr</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bar</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misc)</w:t>
            </w:r>
          </w:p>
          <w:p w14:paraId="624EA9F8">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0222535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Lp(r)—预测点处声压级，dB； </w:t>
            </w:r>
          </w:p>
          <w:p w14:paraId="5B04E5B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rPr>
              <w:softHyphen/>
            </w:r>
            <w:r>
              <w:rPr>
                <w:rFonts w:hint="default" w:ascii="Times New Roman" w:hAnsi="Times New Roman" w:cs="Times New Roman"/>
                <w:color w:val="auto"/>
                <w:sz w:val="24"/>
              </w:rPr>
              <w:softHyphen/>
            </w:r>
            <w:r>
              <w:rPr>
                <w:rFonts w:hint="default" w:ascii="Times New Roman" w:hAnsi="Times New Roman" w:cs="Times New Roman"/>
                <w:color w:val="auto"/>
                <w:sz w:val="24"/>
              </w:rPr>
              <w:t>w—由点声源产生的声功率级(A计权或倍频带)，dB；</w:t>
            </w:r>
          </w:p>
          <w:p w14:paraId="433DAE71">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Lp(r0)—参考位置r0处的声压级，dB；</w:t>
            </w:r>
          </w:p>
          <w:p w14:paraId="3C53AF05">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Dc—指向性校正，它描述点声源的等效连续声压级与产生声功率级Lw的全向点声源在规定方向的声级的偏差程度，dB； </w:t>
            </w:r>
          </w:p>
          <w:p w14:paraId="01AD77B0">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Adiv—几何发散引起的衰减，dB； </w:t>
            </w:r>
          </w:p>
          <w:p w14:paraId="2683AB2C">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Aatm—大气吸收引起的衰减，dB； </w:t>
            </w:r>
          </w:p>
          <w:p w14:paraId="574A7E5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Agr—地面效应引起的衰减，dB；</w:t>
            </w:r>
          </w:p>
          <w:p w14:paraId="1FFFFD63">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Abar—障碍物屏蔽引起的衰减，dB；</w:t>
            </w:r>
          </w:p>
          <w:p w14:paraId="73C07E79">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Amisc—其他多方面效应引起的衰减，dB。</w:t>
            </w:r>
          </w:p>
          <w:p w14:paraId="2A113C7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②预测点的</w:t>
            </w:r>
            <w:r>
              <w:rPr>
                <w:rFonts w:hint="default" w:ascii="Times New Roman" w:hAnsi="Times New Roman" w:eastAsia="Times New Roman" w:cs="Times New Roman"/>
                <w:color w:val="auto"/>
                <w:sz w:val="24"/>
              </w:rPr>
              <w:t>A</w:t>
            </w:r>
            <w:r>
              <w:rPr>
                <w:rFonts w:hint="default" w:ascii="Times New Roman" w:hAnsi="Times New Roman" w:cs="Times New Roman"/>
                <w:color w:val="auto"/>
                <w:sz w:val="24"/>
              </w:rPr>
              <w:t>声级</w:t>
            </w:r>
            <w:r>
              <w:rPr>
                <w:rFonts w:hint="default" w:ascii="Times New Roman" w:hAnsi="Times New Roman" w:eastAsia="Times New Roman" w:cs="Times New Roman"/>
                <w:i/>
                <w:color w:val="auto"/>
                <w:sz w:val="24"/>
              </w:rPr>
              <w:t>L</w:t>
            </w:r>
            <w:r>
              <w:rPr>
                <w:rFonts w:hint="default" w:ascii="Times New Roman" w:hAnsi="Times New Roman" w:eastAsia="Times New Roman" w:cs="Times New Roman"/>
                <w:color w:val="auto"/>
                <w:sz w:val="24"/>
                <w:vertAlign w:val="subscript"/>
              </w:rPr>
              <w:t>A</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w:t>
            </w:r>
            <w:r>
              <w:rPr>
                <w:rFonts w:hint="default" w:ascii="Times New Roman" w:hAnsi="Times New Roman" w:cs="Times New Roman"/>
                <w:color w:val="auto"/>
                <w:sz w:val="24"/>
              </w:rPr>
              <w:t>可按下式计算，即将</w:t>
            </w:r>
            <w:r>
              <w:rPr>
                <w:rFonts w:hint="default" w:ascii="Times New Roman" w:hAnsi="Times New Roman" w:eastAsia="Times New Roman" w:cs="Times New Roman"/>
                <w:color w:val="auto"/>
                <w:sz w:val="24"/>
              </w:rPr>
              <w:t>8</w:t>
            </w:r>
            <w:r>
              <w:rPr>
                <w:rFonts w:hint="default" w:ascii="Times New Roman" w:hAnsi="Times New Roman" w:cs="Times New Roman"/>
                <w:color w:val="auto"/>
                <w:sz w:val="24"/>
              </w:rPr>
              <w:t>个倍频带声压级合成，计算出预测点的</w:t>
            </w:r>
            <w:r>
              <w:rPr>
                <w:rFonts w:hint="default" w:ascii="Times New Roman" w:hAnsi="Times New Roman" w:eastAsia="Times New Roman" w:cs="Times New Roman"/>
                <w:color w:val="auto"/>
                <w:sz w:val="24"/>
              </w:rPr>
              <w:t>A</w:t>
            </w:r>
            <w:r>
              <w:rPr>
                <w:rFonts w:hint="default" w:ascii="Times New Roman" w:hAnsi="Times New Roman" w:cs="Times New Roman"/>
                <w:color w:val="auto"/>
                <w:sz w:val="24"/>
              </w:rPr>
              <w:t>声级</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L</w:t>
            </w:r>
            <w:r>
              <w:rPr>
                <w:rFonts w:hint="default" w:ascii="Times New Roman" w:hAnsi="Times New Roman" w:eastAsia="Times New Roman" w:cs="Times New Roman"/>
                <w:color w:val="auto"/>
                <w:sz w:val="24"/>
                <w:vertAlign w:val="subscript"/>
              </w:rPr>
              <w:t>A</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w:t>
            </w:r>
            <w:r>
              <w:rPr>
                <w:rFonts w:hint="default" w:ascii="Times New Roman" w:hAnsi="Times New Roman" w:cs="Times New Roman"/>
                <w:color w:val="auto"/>
                <w:sz w:val="24"/>
              </w:rPr>
              <w:t>。</w:t>
            </w:r>
          </w:p>
          <w:p w14:paraId="074F1A87">
            <w:pPr>
              <w:spacing w:line="360" w:lineRule="auto"/>
              <w:ind w:firstLine="1778" w:firstLineChars="738"/>
              <w:rPr>
                <w:rFonts w:hint="default" w:ascii="Times New Roman" w:hAnsi="Times New Roman" w:cs="Times New Roman"/>
                <w:b/>
                <w:color w:val="auto"/>
                <w:sz w:val="24"/>
              </w:rPr>
            </w:pPr>
            <w:r>
              <w:rPr>
                <w:rFonts w:hint="default" w:ascii="Times New Roman" w:hAnsi="Times New Roman" w:cs="Times New Roman"/>
                <w:b/>
                <w:color w:val="auto"/>
                <w:sz w:val="24"/>
              </w:rPr>
              <w:drawing>
                <wp:inline distT="0" distB="0" distL="114300" distR="114300">
                  <wp:extent cx="1935480" cy="419100"/>
                  <wp:effectExtent l="0" t="0" r="7620" b="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26"/>
                          <a:stretch>
                            <a:fillRect/>
                          </a:stretch>
                        </pic:blipFill>
                        <pic:spPr>
                          <a:xfrm>
                            <a:off x="0" y="0"/>
                            <a:ext cx="1935480" cy="419100"/>
                          </a:xfrm>
                          <a:prstGeom prst="rect">
                            <a:avLst/>
                          </a:prstGeom>
                          <a:noFill/>
                          <a:ln>
                            <a:noFill/>
                          </a:ln>
                        </pic:spPr>
                      </pic:pic>
                    </a:graphicData>
                  </a:graphic>
                </wp:inline>
              </w:drawing>
            </w:r>
            <w:r>
              <w:rPr>
                <w:rFonts w:hint="default" w:ascii="Times New Roman" w:hAnsi="Times New Roman" w:cs="Times New Roman"/>
                <w:b/>
                <w:color w:val="auto"/>
                <w:sz w:val="24"/>
              </w:rPr>
              <w:t xml:space="preserve">                       </w:t>
            </w:r>
          </w:p>
          <w:p w14:paraId="261AED60">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152AD4D1">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LA(r)—距声源r处的A声级，dB(A)；</w:t>
            </w:r>
          </w:p>
          <w:p w14:paraId="5A3615A2">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Lpi(r)—预测点(r)处，第i倍频带声压级，dB；</w:t>
            </w:r>
          </w:p>
          <w:p w14:paraId="5E1E2674">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△Li—i倍频带A计算网络修正值，dB(根据导则附录B计算)。</w:t>
            </w:r>
          </w:p>
          <w:p w14:paraId="44C1B347">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衰减项计算按导则附录A中A.3相关模式计算。</w:t>
            </w:r>
          </w:p>
          <w:p w14:paraId="72339AF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(3)噪声贡献值计算</w:t>
            </w:r>
          </w:p>
          <w:p w14:paraId="7327414C">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设第i个室外声源在预测点产生的A声级为L</w:t>
            </w:r>
            <w:r>
              <w:rPr>
                <w:rFonts w:hint="default" w:ascii="Times New Roman" w:hAnsi="Times New Roman" w:cs="Times New Roman"/>
                <w:color w:val="auto"/>
                <w:sz w:val="24"/>
                <w:vertAlign w:val="subscript"/>
              </w:rPr>
              <w:t>Ai</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；第j个等效室外声源在预测点产生的A声级为L</w:t>
            </w:r>
            <w:r>
              <w:rPr>
                <w:rFonts w:hint="default" w:ascii="Times New Roman" w:hAnsi="Times New Roman" w:cs="Times New Roman"/>
                <w:color w:val="auto"/>
                <w:sz w:val="24"/>
                <w:vertAlign w:val="subscript"/>
              </w:rPr>
              <w:t>Aj</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 xml:space="preserve"> j</w:t>
            </w:r>
            <w:r>
              <w:rPr>
                <w:rFonts w:hint="default" w:ascii="Times New Roman" w:hAnsi="Times New Roman" w:cs="Times New Roman"/>
                <w:color w:val="auto"/>
                <w:sz w:val="24"/>
              </w:rPr>
              <w:t>，则拟建工程声源对预测点产生的贡献值(Leqg)为：</w:t>
            </w:r>
          </w:p>
          <w:p w14:paraId="2E9E7005">
            <w:pPr>
              <w:spacing w:line="360" w:lineRule="auto"/>
              <w:ind w:firstLine="555"/>
              <w:jc w:val="center"/>
              <w:rPr>
                <w:rFonts w:hint="default" w:ascii="Times New Roman" w:hAnsi="Times New Roman" w:cs="Times New Roman"/>
                <w:color w:val="auto"/>
                <w:szCs w:val="28"/>
              </w:rPr>
            </w:pPr>
            <w:r>
              <w:rPr>
                <w:rFonts w:hint="default" w:ascii="Times New Roman" w:hAnsi="Times New Roman" w:cs="Times New Roman"/>
                <w:color w:val="auto"/>
              </w:rPr>
              <w:drawing>
                <wp:inline distT="0" distB="0" distL="114300" distR="114300">
                  <wp:extent cx="2367280" cy="485775"/>
                  <wp:effectExtent l="0" t="0" r="13970" b="9525"/>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27"/>
                          <a:stretch>
                            <a:fillRect/>
                          </a:stretch>
                        </pic:blipFill>
                        <pic:spPr>
                          <a:xfrm>
                            <a:off x="0" y="0"/>
                            <a:ext cx="2367280" cy="485775"/>
                          </a:xfrm>
                          <a:prstGeom prst="rect">
                            <a:avLst/>
                          </a:prstGeom>
                          <a:noFill/>
                          <a:ln>
                            <a:noFill/>
                          </a:ln>
                        </pic:spPr>
                      </pic:pic>
                    </a:graphicData>
                  </a:graphic>
                </wp:inline>
              </w:drawing>
            </w:r>
            <w:r>
              <w:rPr>
                <w:rFonts w:hint="default" w:ascii="Times New Roman" w:hAnsi="Times New Roman" w:cs="Times New Roman"/>
                <w:color w:val="auto"/>
                <w:szCs w:val="28"/>
              </w:rPr>
              <w:t xml:space="preserve">  </w:t>
            </w:r>
          </w:p>
          <w:p w14:paraId="0C6AB2F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式中：Leqg——建设项目声源在预测点产生的噪声贡献值，dB(A)； </w:t>
            </w:r>
          </w:p>
          <w:p w14:paraId="32F15F07">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 xml:space="preserve">T——用于计算等效声级的时间，s； </w:t>
            </w:r>
          </w:p>
          <w:p w14:paraId="1EE8627F">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 xml:space="preserve">N——室外声源个数； </w:t>
            </w:r>
          </w:p>
          <w:p w14:paraId="6B1D1C5E">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 xml:space="preserve">——在T时间内i声源工作时间，s； </w:t>
            </w:r>
          </w:p>
          <w:p w14:paraId="37083957">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 xml:space="preserve">M——等效室外声源个数； </w:t>
            </w:r>
          </w:p>
          <w:p w14:paraId="3E35B878">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 xml:space="preserve">j </w:t>
            </w:r>
            <w:r>
              <w:rPr>
                <w:rFonts w:hint="default" w:ascii="Times New Roman" w:hAnsi="Times New Roman" w:cs="Times New Roman"/>
                <w:color w:val="auto"/>
                <w:sz w:val="24"/>
              </w:rPr>
              <w:t>——在T时间内j声源工作时间，s。</w:t>
            </w:r>
          </w:p>
          <w:p w14:paraId="46F0546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(4)噪声预测值计算</w:t>
            </w:r>
          </w:p>
          <w:p w14:paraId="02A024E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预测点的贡献值和背景值按能量叠加方法计算得到的声级，计算公式：</w:t>
            </w:r>
          </w:p>
          <w:p w14:paraId="5BB9D986">
            <w:pPr>
              <w:spacing w:line="360" w:lineRule="auto"/>
              <w:ind w:firstLine="1680" w:firstLineChars="7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907540" cy="304165"/>
                  <wp:effectExtent l="0" t="0" r="16510" b="635"/>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8"/>
                          <a:stretch>
                            <a:fillRect/>
                          </a:stretch>
                        </pic:blipFill>
                        <pic:spPr>
                          <a:xfrm>
                            <a:off x="0" y="0"/>
                            <a:ext cx="1907540" cy="304165"/>
                          </a:xfrm>
                          <a:prstGeom prst="rect">
                            <a:avLst/>
                          </a:prstGeom>
                          <a:noFill/>
                          <a:ln>
                            <a:noFill/>
                          </a:ln>
                        </pic:spPr>
                      </pic:pic>
                    </a:graphicData>
                  </a:graphic>
                </wp:inline>
              </w:drawing>
            </w:r>
            <w:r>
              <w:rPr>
                <w:rFonts w:hint="default" w:ascii="Times New Roman" w:hAnsi="Times New Roman" w:cs="Times New Roman"/>
                <w:color w:val="auto"/>
                <w:sz w:val="24"/>
              </w:rPr>
              <w:t xml:space="preserve">            (2)</w:t>
            </w:r>
          </w:p>
          <w:p w14:paraId="0D63BC6C">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27520613">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Leq—预测点的噪声预测值，dB；</w:t>
            </w:r>
          </w:p>
          <w:p w14:paraId="702896F1">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Leqg—建设项目声源在预测点产生的噪声贡献值，dB；</w:t>
            </w:r>
          </w:p>
          <w:p w14:paraId="67A21834">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Leqb—预测点的背景噪声值，dB。</w:t>
            </w:r>
          </w:p>
          <w:p w14:paraId="7D591F5C">
            <w:pPr>
              <w:snapToGrid w:val="0"/>
              <w:spacing w:line="360" w:lineRule="auto"/>
              <w:ind w:right="1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(5)隔声量的确定</w:t>
            </w:r>
          </w:p>
          <w:p w14:paraId="13F58282">
            <w:pPr>
              <w:snapToGrid w:val="0"/>
              <w:spacing w:line="360" w:lineRule="auto"/>
              <w:ind w:right="1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项目主要噪声设备大多设置于各建构筑物内，设备噪声经墙体隔声，设备基础减振</w:t>
            </w:r>
            <w:r>
              <w:rPr>
                <w:rFonts w:hint="eastAsia" w:cs="Times New Roman"/>
                <w:color w:val="auto"/>
                <w:sz w:val="24"/>
                <w:lang w:eastAsia="zh-CN"/>
              </w:rPr>
              <w:t>后</w:t>
            </w:r>
            <w:r>
              <w:rPr>
                <w:rFonts w:hint="default" w:ascii="Times New Roman" w:hAnsi="Times New Roman" w:cs="Times New Roman"/>
                <w:color w:val="auto"/>
                <w:sz w:val="24"/>
              </w:rPr>
              <w:t>，可削减10dB(A)以上。</w:t>
            </w:r>
          </w:p>
          <w:p w14:paraId="43A28F5B">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(6)预测结果</w:t>
            </w:r>
          </w:p>
          <w:p w14:paraId="4B467B6E">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lang w:val="zh-CN"/>
              </w:rPr>
              <w:t>①</w:t>
            </w:r>
            <w:r>
              <w:rPr>
                <w:rFonts w:hint="default" w:ascii="Times New Roman" w:hAnsi="Times New Roman" w:cs="Times New Roman"/>
                <w:color w:val="auto"/>
                <w:sz w:val="24"/>
              </w:rPr>
              <w:t>厂界噪声预测结果</w:t>
            </w:r>
          </w:p>
          <w:p w14:paraId="7756C63F">
            <w:pPr>
              <w:spacing w:line="360" w:lineRule="auto"/>
              <w:ind w:firstLine="48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利用上述模式计算本项目噪声源同时工作时，预测到厂界的噪声最大值及位置，具体预测结果见表</w:t>
            </w:r>
            <w:r>
              <w:rPr>
                <w:rFonts w:hint="default" w:ascii="Times New Roman" w:hAnsi="Times New Roman" w:cs="Times New Roman"/>
                <w:color w:val="auto"/>
                <w:sz w:val="24"/>
              </w:rPr>
              <w:t>4.4-2</w:t>
            </w:r>
            <w:r>
              <w:rPr>
                <w:rFonts w:hint="default" w:ascii="Times New Roman" w:hAnsi="Times New Roman" w:cs="Times New Roman"/>
                <w:color w:val="auto"/>
                <w:sz w:val="24"/>
                <w:lang w:val="zh-CN"/>
              </w:rPr>
              <w:t>所示。</w:t>
            </w:r>
          </w:p>
          <w:p w14:paraId="3A065ADB">
            <w:pPr>
              <w:spacing w:before="120" w:beforeLines="50"/>
              <w:jc w:val="center"/>
              <w:rPr>
                <w:rFonts w:hint="default" w:ascii="Times New Roman" w:hAnsi="Times New Roman" w:eastAsia="黑体" w:cs="Times New Roman"/>
                <w:color w:val="auto"/>
                <w:spacing w:val="8"/>
                <w:sz w:val="24"/>
                <w:lang w:bidi="ar"/>
              </w:rPr>
            </w:pPr>
            <w:r>
              <w:rPr>
                <w:rFonts w:hint="default" w:ascii="Times New Roman" w:hAnsi="Times New Roman" w:eastAsia="黑体" w:cs="Times New Roman"/>
                <w:color w:val="auto"/>
                <w:spacing w:val="8"/>
                <w:sz w:val="24"/>
                <w:lang w:bidi="ar"/>
              </w:rPr>
              <w:t>表4.4-2  厂界噪声预测结果   单位：dB(A)</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06"/>
              <w:gridCol w:w="1309"/>
              <w:gridCol w:w="1345"/>
              <w:gridCol w:w="1793"/>
              <w:gridCol w:w="1137"/>
              <w:gridCol w:w="976"/>
              <w:gridCol w:w="975"/>
            </w:tblGrid>
            <w:tr w14:paraId="1A713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restart"/>
                  <w:noWrap w:val="0"/>
                  <w:vAlign w:val="center"/>
                </w:tcPr>
                <w:p w14:paraId="7F157F82">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编号</w:t>
                  </w:r>
                </w:p>
              </w:tc>
              <w:tc>
                <w:tcPr>
                  <w:tcW w:w="784" w:type="pct"/>
                  <w:vMerge w:val="restart"/>
                  <w:noWrap w:val="0"/>
                  <w:vAlign w:val="center"/>
                </w:tcPr>
                <w:p w14:paraId="27567793">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测点位置</w:t>
                  </w:r>
                </w:p>
              </w:tc>
              <w:tc>
                <w:tcPr>
                  <w:tcW w:w="806" w:type="pct"/>
                  <w:vMerge w:val="restart"/>
                  <w:noWrap w:val="0"/>
                  <w:vAlign w:val="center"/>
                </w:tcPr>
                <w:p w14:paraId="5434837B">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影响贡献值</w:t>
                  </w:r>
                </w:p>
              </w:tc>
              <w:tc>
                <w:tcPr>
                  <w:tcW w:w="1074" w:type="pct"/>
                  <w:vMerge w:val="restart"/>
                  <w:noWrap w:val="0"/>
                  <w:vAlign w:val="center"/>
                </w:tcPr>
                <w:p w14:paraId="1D398170">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厂界噪声最大</w:t>
                  </w:r>
                </w:p>
                <w:p w14:paraId="54BF6585">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值及位置</w:t>
                  </w:r>
                </w:p>
              </w:tc>
              <w:tc>
                <w:tcPr>
                  <w:tcW w:w="1266" w:type="pct"/>
                  <w:gridSpan w:val="2"/>
                  <w:noWrap w:val="0"/>
                  <w:vAlign w:val="center"/>
                </w:tcPr>
                <w:p w14:paraId="17AE64A8">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标准值</w:t>
                  </w:r>
                </w:p>
              </w:tc>
              <w:tc>
                <w:tcPr>
                  <w:tcW w:w="584" w:type="pct"/>
                  <w:vMerge w:val="restart"/>
                  <w:noWrap w:val="0"/>
                  <w:vAlign w:val="center"/>
                </w:tcPr>
                <w:p w14:paraId="245D643D">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达标情况</w:t>
                  </w:r>
                </w:p>
              </w:tc>
            </w:tr>
            <w:tr w14:paraId="2CE6D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noWrap w:val="0"/>
                  <w:vAlign w:val="center"/>
                </w:tcPr>
                <w:p w14:paraId="23A4FD6E">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784" w:type="pct"/>
                  <w:vMerge w:val="continue"/>
                  <w:noWrap w:val="0"/>
                  <w:vAlign w:val="center"/>
                </w:tcPr>
                <w:p w14:paraId="17D5C1A4">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806" w:type="pct"/>
                  <w:vMerge w:val="continue"/>
                  <w:noWrap w:val="0"/>
                  <w:vAlign w:val="center"/>
                </w:tcPr>
                <w:p w14:paraId="02378E44">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1074" w:type="pct"/>
                  <w:vMerge w:val="continue"/>
                  <w:noWrap w:val="0"/>
                  <w:vAlign w:val="center"/>
                </w:tcPr>
                <w:p w14:paraId="1E52F83C">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681" w:type="pct"/>
                  <w:noWrap w:val="0"/>
                  <w:vAlign w:val="center"/>
                </w:tcPr>
                <w:p w14:paraId="10EAD72A">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昼间</w:t>
                  </w:r>
                </w:p>
              </w:tc>
              <w:tc>
                <w:tcPr>
                  <w:tcW w:w="585" w:type="pct"/>
                  <w:noWrap w:val="0"/>
                  <w:vAlign w:val="center"/>
                </w:tcPr>
                <w:p w14:paraId="4838C327">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夜间</w:t>
                  </w:r>
                </w:p>
              </w:tc>
              <w:tc>
                <w:tcPr>
                  <w:tcW w:w="584" w:type="pct"/>
                  <w:vMerge w:val="continue"/>
                  <w:noWrap w:val="0"/>
                  <w:vAlign w:val="center"/>
                </w:tcPr>
                <w:p w14:paraId="381D9A5A">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r>
            <w:tr w14:paraId="1AAB5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noWrap w:val="0"/>
                  <w:vAlign w:val="center"/>
                </w:tcPr>
                <w:p w14:paraId="64F6F456">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784" w:type="pct"/>
                  <w:noWrap w:val="0"/>
                  <w:vAlign w:val="center"/>
                </w:tcPr>
                <w:p w14:paraId="4FE50D77">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东侧厂界</w:t>
                  </w:r>
                </w:p>
              </w:tc>
              <w:tc>
                <w:tcPr>
                  <w:tcW w:w="806" w:type="pct"/>
                  <w:noWrap w:val="0"/>
                  <w:vAlign w:val="center"/>
                </w:tcPr>
                <w:p w14:paraId="279CA5B9">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42</w:t>
                  </w:r>
                </w:p>
              </w:tc>
              <w:tc>
                <w:tcPr>
                  <w:tcW w:w="1074" w:type="pct"/>
                  <w:vMerge w:val="restart"/>
                  <w:noWrap w:val="0"/>
                  <w:vAlign w:val="center"/>
                </w:tcPr>
                <w:p w14:paraId="645DF850">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西侧厂界</w:t>
                  </w:r>
                  <w:r>
                    <w:rPr>
                      <w:rFonts w:hint="eastAsia" w:ascii="Times New Roman" w:hAnsi="Times New Roman" w:cs="Times New Roman"/>
                      <w:bCs/>
                      <w:color w:val="auto"/>
                      <w:sz w:val="21"/>
                      <w:szCs w:val="21"/>
                      <w:lang w:val="en-US" w:eastAsia="zh-CN"/>
                    </w:rPr>
                    <w:t>49</w:t>
                  </w:r>
                </w:p>
              </w:tc>
              <w:tc>
                <w:tcPr>
                  <w:tcW w:w="681" w:type="pct"/>
                  <w:vMerge w:val="restart"/>
                  <w:noWrap w:val="0"/>
                  <w:vAlign w:val="center"/>
                </w:tcPr>
                <w:p w14:paraId="193465B0">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65</w:t>
                  </w:r>
                </w:p>
              </w:tc>
              <w:tc>
                <w:tcPr>
                  <w:tcW w:w="585" w:type="pct"/>
                  <w:vMerge w:val="restart"/>
                  <w:noWrap w:val="0"/>
                  <w:vAlign w:val="center"/>
                </w:tcPr>
                <w:p w14:paraId="556FD7D8">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55</w:t>
                  </w:r>
                </w:p>
              </w:tc>
              <w:tc>
                <w:tcPr>
                  <w:tcW w:w="584" w:type="pct"/>
                  <w:noWrap w:val="0"/>
                  <w:vAlign w:val="center"/>
                </w:tcPr>
                <w:p w14:paraId="5D1B0D29">
                  <w:pPr>
                    <w:keepNext w:val="0"/>
                    <w:keepLines w:val="0"/>
                    <w:pageBreakBefore w:val="0"/>
                    <w:widowControl/>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r w14:paraId="21BF9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noWrap w:val="0"/>
                  <w:vAlign w:val="center"/>
                </w:tcPr>
                <w:p w14:paraId="1F2A2EE5">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784" w:type="pct"/>
                  <w:noWrap w:val="0"/>
                  <w:vAlign w:val="center"/>
                </w:tcPr>
                <w:p w14:paraId="54C9CAC0">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西侧厂界</w:t>
                  </w:r>
                </w:p>
              </w:tc>
              <w:tc>
                <w:tcPr>
                  <w:tcW w:w="806" w:type="pct"/>
                  <w:noWrap w:val="0"/>
                  <w:vAlign w:val="center"/>
                </w:tcPr>
                <w:p w14:paraId="7F177094">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49</w:t>
                  </w:r>
                </w:p>
              </w:tc>
              <w:tc>
                <w:tcPr>
                  <w:tcW w:w="1074" w:type="pct"/>
                  <w:vMerge w:val="continue"/>
                  <w:noWrap w:val="0"/>
                  <w:vAlign w:val="center"/>
                </w:tcPr>
                <w:p w14:paraId="0502ED59">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p>
              </w:tc>
              <w:tc>
                <w:tcPr>
                  <w:tcW w:w="681" w:type="pct"/>
                  <w:vMerge w:val="continue"/>
                  <w:noWrap w:val="0"/>
                  <w:vAlign w:val="center"/>
                </w:tcPr>
                <w:p w14:paraId="4363B604">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5" w:type="pct"/>
                  <w:vMerge w:val="continue"/>
                  <w:noWrap w:val="0"/>
                  <w:vAlign w:val="center"/>
                </w:tcPr>
                <w:p w14:paraId="38BB2EC0">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4" w:type="pct"/>
                  <w:noWrap w:val="0"/>
                  <w:vAlign w:val="center"/>
                </w:tcPr>
                <w:p w14:paraId="7FCCCD25">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r w14:paraId="44C50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noWrap w:val="0"/>
                  <w:vAlign w:val="center"/>
                </w:tcPr>
                <w:p w14:paraId="51B0D491">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784" w:type="pct"/>
                  <w:noWrap w:val="0"/>
                  <w:vAlign w:val="center"/>
                </w:tcPr>
                <w:p w14:paraId="645B11FD">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南侧厂界</w:t>
                  </w:r>
                </w:p>
              </w:tc>
              <w:tc>
                <w:tcPr>
                  <w:tcW w:w="806" w:type="pct"/>
                  <w:noWrap w:val="0"/>
                  <w:vAlign w:val="center"/>
                </w:tcPr>
                <w:p w14:paraId="7939CB5E">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42</w:t>
                  </w:r>
                </w:p>
              </w:tc>
              <w:tc>
                <w:tcPr>
                  <w:tcW w:w="1074" w:type="pct"/>
                  <w:vMerge w:val="continue"/>
                  <w:noWrap w:val="0"/>
                  <w:vAlign w:val="center"/>
                </w:tcPr>
                <w:p w14:paraId="03529E0D">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p>
              </w:tc>
              <w:tc>
                <w:tcPr>
                  <w:tcW w:w="681" w:type="pct"/>
                  <w:vMerge w:val="continue"/>
                  <w:noWrap w:val="0"/>
                  <w:vAlign w:val="center"/>
                </w:tcPr>
                <w:p w14:paraId="7368021D">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5" w:type="pct"/>
                  <w:vMerge w:val="continue"/>
                  <w:noWrap w:val="0"/>
                  <w:vAlign w:val="center"/>
                </w:tcPr>
                <w:p w14:paraId="462ACEE4">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4" w:type="pct"/>
                  <w:noWrap w:val="0"/>
                  <w:vAlign w:val="center"/>
                </w:tcPr>
                <w:p w14:paraId="3B6CD338">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r w14:paraId="66518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noWrap w:val="0"/>
                  <w:vAlign w:val="center"/>
                </w:tcPr>
                <w:p w14:paraId="72AFF183">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784" w:type="pct"/>
                  <w:noWrap w:val="0"/>
                  <w:vAlign w:val="center"/>
                </w:tcPr>
                <w:p w14:paraId="20BF83E5">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北侧厂界</w:t>
                  </w:r>
                </w:p>
              </w:tc>
              <w:tc>
                <w:tcPr>
                  <w:tcW w:w="806" w:type="pct"/>
                  <w:noWrap w:val="0"/>
                  <w:vAlign w:val="center"/>
                </w:tcPr>
                <w:p w14:paraId="45B1B1E7">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43</w:t>
                  </w:r>
                </w:p>
              </w:tc>
              <w:tc>
                <w:tcPr>
                  <w:tcW w:w="1074" w:type="pct"/>
                  <w:vMerge w:val="continue"/>
                  <w:noWrap w:val="0"/>
                  <w:vAlign w:val="center"/>
                </w:tcPr>
                <w:p w14:paraId="66483AF6">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p>
              </w:tc>
              <w:tc>
                <w:tcPr>
                  <w:tcW w:w="681" w:type="pct"/>
                  <w:vMerge w:val="continue"/>
                  <w:noWrap w:val="0"/>
                  <w:vAlign w:val="center"/>
                </w:tcPr>
                <w:p w14:paraId="2CF75738">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5" w:type="pct"/>
                  <w:vMerge w:val="continue"/>
                  <w:noWrap w:val="0"/>
                  <w:vAlign w:val="center"/>
                </w:tcPr>
                <w:p w14:paraId="11722A71">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4" w:type="pct"/>
                  <w:noWrap w:val="0"/>
                  <w:vAlign w:val="center"/>
                </w:tcPr>
                <w:p w14:paraId="615F6EAB">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bl>
          <w:p w14:paraId="76B3DACC">
            <w:pPr>
              <w:spacing w:before="120"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厂界达标分析：本项目实行</w:t>
            </w:r>
            <w:r>
              <w:rPr>
                <w:rFonts w:hint="default" w:ascii="Times New Roman" w:hAnsi="Times New Roman" w:cs="Times New Roman"/>
                <w:color w:val="auto"/>
                <w:sz w:val="24"/>
                <w:lang w:val="en-US" w:eastAsia="zh-CN"/>
              </w:rPr>
              <w:t>三</w:t>
            </w:r>
            <w:r>
              <w:rPr>
                <w:rFonts w:hint="default" w:ascii="Times New Roman" w:hAnsi="Times New Roman" w:cs="Times New Roman"/>
                <w:color w:val="auto"/>
                <w:sz w:val="24"/>
              </w:rPr>
              <w:t>班制；根据表4.3-4预测结果表明，项目主要噪声源在采取有效的降噪措施前提下，项目厂界噪声均可满足《工业企业厂界环境噪声排放标准》(GB12348-2008)中3类标准。</w:t>
            </w:r>
          </w:p>
          <w:p w14:paraId="70CFBD83">
            <w:pPr>
              <w:pStyle w:val="83"/>
              <w:ind w:firstLine="480"/>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zh-CN"/>
              </w:rPr>
              <w:t>敏感点噪声预测结果分析</w:t>
            </w:r>
          </w:p>
          <w:p w14:paraId="02BAB97A">
            <w:pPr>
              <w:spacing w:line="360" w:lineRule="auto"/>
              <w:ind w:firstLine="48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根据现场勘查，项目周边</w:t>
            </w:r>
            <w:r>
              <w:rPr>
                <w:rFonts w:hint="default" w:ascii="Times New Roman" w:hAnsi="Times New Roman" w:cs="Times New Roman"/>
                <w:color w:val="auto"/>
                <w:sz w:val="24"/>
              </w:rPr>
              <w:t>50m范围内无声环境保护目标</w:t>
            </w:r>
            <w:r>
              <w:rPr>
                <w:rFonts w:hint="default" w:ascii="Times New Roman" w:hAnsi="Times New Roman" w:cs="Times New Roman"/>
                <w:color w:val="auto"/>
                <w:sz w:val="24"/>
                <w:lang w:val="zh-CN"/>
              </w:rPr>
              <w:t>。</w:t>
            </w:r>
          </w:p>
          <w:p w14:paraId="7ECB0435">
            <w:pPr>
              <w:adjustRightInd w:val="0"/>
              <w:snapToGrid w:val="0"/>
              <w:spacing w:line="360" w:lineRule="auto"/>
              <w:rPr>
                <w:rFonts w:hint="default" w:ascii="Times New Roman" w:hAnsi="Times New Roman" w:eastAsia="黑体" w:cs="Times New Roman"/>
                <w:b/>
                <w:bCs/>
                <w:color w:val="auto"/>
                <w:kern w:val="0"/>
                <w:sz w:val="24"/>
              </w:rPr>
            </w:pPr>
            <w:r>
              <w:rPr>
                <w:rFonts w:hint="default" w:ascii="Times New Roman" w:hAnsi="Times New Roman" w:eastAsia="黑体" w:cs="Times New Roman"/>
                <w:b/>
                <w:bCs/>
                <w:color w:val="auto"/>
                <w:kern w:val="0"/>
                <w:sz w:val="24"/>
              </w:rPr>
              <w:t>4.</w:t>
            </w:r>
            <w:r>
              <w:rPr>
                <w:rFonts w:hint="eastAsia" w:eastAsia="黑体" w:cs="Times New Roman"/>
                <w:b/>
                <w:bCs/>
                <w:color w:val="auto"/>
                <w:kern w:val="0"/>
                <w:sz w:val="24"/>
                <w:lang w:val="en-US" w:eastAsia="zh-CN"/>
              </w:rPr>
              <w:t>4</w:t>
            </w:r>
            <w:r>
              <w:rPr>
                <w:rFonts w:hint="default" w:ascii="Times New Roman" w:hAnsi="Times New Roman" w:eastAsia="黑体" w:cs="Times New Roman"/>
                <w:b/>
                <w:bCs/>
                <w:color w:val="auto"/>
                <w:kern w:val="0"/>
                <w:sz w:val="24"/>
              </w:rPr>
              <w:t>.3 运营期噪声防治措施</w:t>
            </w:r>
          </w:p>
          <w:p w14:paraId="3E127D5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为了确保厂界噪声达到《工业企业厂界环境噪声排放标准》(GB 12348-2008)中3类标准，本报告建议采用以下降噪措施：</w:t>
            </w:r>
          </w:p>
          <w:p w14:paraId="16821878">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(1)项目选用低噪声生产设备，从源头上降低噪声源强。</w:t>
            </w:r>
          </w:p>
          <w:p w14:paraId="463844F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(2)加强车间内的噪声治理，对厂区高噪声设备采用隔声、消声、吸声、减振等有效措施，以有效降低车间噪声。</w:t>
            </w:r>
          </w:p>
          <w:p w14:paraId="610D3520">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(3)加强对设备的管理和维护，在有关环保人员的统一管理下，定期检查、监测，发现噪声超标要及时治理并增加相关操作岗位工人的个体防护</w:t>
            </w:r>
          </w:p>
          <w:p w14:paraId="0C21A60A">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(4)车辆运输物料时，在靠近居民点等对声环境质量要求较高的地方，应减小车速，禁止或尽量少鸣喇叭。</w:t>
            </w:r>
          </w:p>
          <w:p w14:paraId="0B9A2C79">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通过以上降噪措施，有效降低设备噪声对厂界的影响程度，确保厂界噪声符合《工业企业厂界环境噪声排放标准》(GB12348-2008)中的3类标准要求，措施可行。</w:t>
            </w:r>
          </w:p>
          <w:p w14:paraId="20AE1BFC">
            <w:pPr>
              <w:adjustRightInd w:val="0"/>
              <w:snapToGrid w:val="0"/>
              <w:spacing w:line="360" w:lineRule="auto"/>
              <w:rPr>
                <w:rFonts w:hint="default" w:ascii="Times New Roman" w:hAnsi="Times New Roman" w:cs="Times New Roman"/>
                <w:b/>
                <w:color w:val="auto"/>
                <w:kern w:val="0"/>
                <w:sz w:val="24"/>
                <w:szCs w:val="30"/>
              </w:rPr>
            </w:pPr>
            <w:r>
              <w:rPr>
                <w:rFonts w:hint="default" w:ascii="Times New Roman" w:hAnsi="Times New Roman" w:cs="Times New Roman"/>
                <w:b/>
                <w:color w:val="auto"/>
                <w:kern w:val="0"/>
                <w:sz w:val="24"/>
                <w:szCs w:val="30"/>
              </w:rPr>
              <w:t>4.</w:t>
            </w:r>
            <w:r>
              <w:rPr>
                <w:rFonts w:hint="eastAsia" w:cs="Times New Roman"/>
                <w:b/>
                <w:color w:val="auto"/>
                <w:kern w:val="0"/>
                <w:sz w:val="24"/>
                <w:szCs w:val="30"/>
                <w:lang w:val="en-US" w:eastAsia="zh-CN"/>
              </w:rPr>
              <w:t>4</w:t>
            </w:r>
            <w:r>
              <w:rPr>
                <w:rFonts w:hint="default" w:ascii="Times New Roman" w:hAnsi="Times New Roman" w:cs="Times New Roman"/>
                <w:b/>
                <w:color w:val="auto"/>
                <w:kern w:val="0"/>
                <w:sz w:val="24"/>
                <w:szCs w:val="30"/>
              </w:rPr>
              <w:t>.4 自行监测计划</w:t>
            </w:r>
          </w:p>
          <w:p w14:paraId="0BB60574">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参照《排污单位自行监测技术指南 总则》(HJ819-2017)</w:t>
            </w:r>
            <w:r>
              <w:rPr>
                <w:rFonts w:hint="default" w:ascii="Times New Roman" w:hAnsi="Times New Roman" w:cs="Times New Roman"/>
                <w:color w:val="auto"/>
                <w:sz w:val="24"/>
              </w:rPr>
              <w:t>(HJ 1124—2020)</w:t>
            </w:r>
            <w:r>
              <w:rPr>
                <w:rFonts w:hint="default" w:ascii="Times New Roman" w:hAnsi="Times New Roman" w:cs="Times New Roman"/>
                <w:bCs/>
                <w:color w:val="auto"/>
                <w:sz w:val="24"/>
              </w:rPr>
              <w:t>，项目运营期应按照下列方案开展噪声自行监测。</w:t>
            </w:r>
          </w:p>
          <w:p w14:paraId="3E6B1DF7">
            <w:pPr>
              <w:adjustRightInd w:val="0"/>
              <w:snapToGrid w:val="0"/>
              <w:spacing w:before="120" w:beforeLines="50"/>
              <w:jc w:val="center"/>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表4.</w:t>
            </w:r>
            <w:r>
              <w:rPr>
                <w:rFonts w:hint="eastAsia" w:eastAsia="黑体" w:cs="Times New Roman"/>
                <w:bCs/>
                <w:color w:val="auto"/>
                <w:sz w:val="24"/>
                <w:lang w:val="en-US" w:eastAsia="zh-CN"/>
              </w:rPr>
              <w:t>4</w:t>
            </w:r>
            <w:r>
              <w:rPr>
                <w:rFonts w:hint="default" w:ascii="Times New Roman" w:hAnsi="Times New Roman" w:eastAsia="黑体" w:cs="Times New Roman"/>
                <w:bCs/>
                <w:color w:val="auto"/>
                <w:sz w:val="24"/>
              </w:rPr>
              <w:t>-4   噪声自行监测计划表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3079"/>
              <w:gridCol w:w="3104"/>
            </w:tblGrid>
            <w:tr w14:paraId="2F06D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4" w:type="pct"/>
                  <w:noWrap w:val="0"/>
                  <w:vAlign w:val="center"/>
                </w:tcPr>
                <w:p w14:paraId="3F3C915B">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监测因子</w:t>
                  </w:r>
                </w:p>
              </w:tc>
              <w:tc>
                <w:tcPr>
                  <w:tcW w:w="1845" w:type="pct"/>
                  <w:noWrap w:val="0"/>
                  <w:vAlign w:val="center"/>
                </w:tcPr>
                <w:p w14:paraId="1C84D461">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监测点位</w:t>
                  </w:r>
                </w:p>
              </w:tc>
              <w:tc>
                <w:tcPr>
                  <w:tcW w:w="1860" w:type="pct"/>
                  <w:noWrap w:val="0"/>
                  <w:vAlign w:val="center"/>
                </w:tcPr>
                <w:p w14:paraId="3C4B1F4D">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监测频率</w:t>
                  </w:r>
                </w:p>
              </w:tc>
            </w:tr>
            <w:tr w14:paraId="5DEB4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4" w:type="pct"/>
                  <w:noWrap w:val="0"/>
                  <w:vAlign w:val="center"/>
                </w:tcPr>
                <w:p w14:paraId="153967EA">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等效连续A声级</w:t>
                  </w:r>
                </w:p>
              </w:tc>
              <w:tc>
                <w:tcPr>
                  <w:tcW w:w="1845" w:type="pct"/>
                  <w:noWrap w:val="0"/>
                  <w:vAlign w:val="center"/>
                </w:tcPr>
                <w:p w14:paraId="52ACD62F">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厂界四周外1m</w:t>
                  </w:r>
                </w:p>
              </w:tc>
              <w:tc>
                <w:tcPr>
                  <w:tcW w:w="1860" w:type="pct"/>
                  <w:noWrap w:val="0"/>
                  <w:vAlign w:val="center"/>
                </w:tcPr>
                <w:p w14:paraId="5566D680">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1天/季度、1次/天(昼间</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夜间</w:t>
                  </w:r>
                  <w:r>
                    <w:rPr>
                      <w:rFonts w:hint="default" w:ascii="Times New Roman" w:hAnsi="Times New Roman" w:cs="Times New Roman"/>
                      <w:color w:val="auto"/>
                      <w:szCs w:val="21"/>
                    </w:rPr>
                    <w:t>)</w:t>
                  </w:r>
                </w:p>
              </w:tc>
            </w:tr>
          </w:tbl>
          <w:p w14:paraId="0CA5C31C">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4.</w:t>
            </w:r>
            <w:r>
              <w:rPr>
                <w:rFonts w:hint="default" w:ascii="Times New Roman" w:hAnsi="Times New Roman" w:eastAsia="宋体" w:cs="Times New Roman"/>
                <w:b/>
                <w:color w:val="auto"/>
                <w:sz w:val="28"/>
                <w:szCs w:val="28"/>
                <w:lang w:val="en-US" w:eastAsia="zh-CN"/>
              </w:rPr>
              <w:t>5</w:t>
            </w:r>
            <w:r>
              <w:rPr>
                <w:rFonts w:hint="default" w:ascii="Times New Roman" w:hAnsi="Times New Roman" w:eastAsia="宋体" w:cs="Times New Roman"/>
                <w:b/>
                <w:color w:val="auto"/>
                <w:sz w:val="28"/>
                <w:szCs w:val="28"/>
              </w:rPr>
              <w:t>运营期固体废物影响分析和污染防治措施</w:t>
            </w:r>
          </w:p>
          <w:p w14:paraId="7CF54969">
            <w:pPr>
              <w:adjustRightInd w:val="0"/>
              <w:snapToGrid w:val="0"/>
              <w:spacing w:line="360" w:lineRule="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w:t>
            </w:r>
            <w:r>
              <w:rPr>
                <w:rFonts w:hint="default" w:ascii="Times New Roman" w:hAnsi="Times New Roman" w:eastAsia="宋体" w:cs="Times New Roman"/>
                <w:b/>
                <w:bCs/>
                <w:color w:val="auto"/>
                <w:kern w:val="0"/>
                <w:sz w:val="24"/>
                <w:lang w:val="en-US" w:eastAsia="zh-CN"/>
              </w:rPr>
              <w:t xml:space="preserve">5.1 </w:t>
            </w:r>
            <w:r>
              <w:rPr>
                <w:rFonts w:hint="default" w:ascii="Times New Roman" w:hAnsi="Times New Roman" w:eastAsia="宋体" w:cs="Times New Roman"/>
                <w:b/>
                <w:bCs/>
                <w:color w:val="auto"/>
                <w:kern w:val="0"/>
                <w:sz w:val="24"/>
              </w:rPr>
              <w:t>运营期固废物源强核算</w:t>
            </w:r>
          </w:p>
          <w:p w14:paraId="5B89C34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本评价根据《固体废物鉴别标准通则》（GB34330-2017）、《国家危险废物名录（202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年）》和《危险废物鉴别标准通则》（GB5085.7-2019）等相关文件对各类固体废物进行属性判定，并按照《固体废物分类与代码目录》（生态环境部公告2024年第4号）、《国家危险废物名录（202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年）》的要求确定固废代码。</w:t>
            </w:r>
          </w:p>
          <w:p w14:paraId="458382D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建设单位收集的未被病人污染的一次性废弃塑料输液瓶（袋）、</w:t>
            </w:r>
            <w:r>
              <w:rPr>
                <w:rFonts w:hint="default" w:ascii="Times New Roman" w:hAnsi="Times New Roman" w:eastAsia="宋体" w:cs="Times New Roman"/>
                <w:color w:val="auto"/>
                <w:sz w:val="24"/>
                <w:szCs w:val="24"/>
                <w:u w:val="none"/>
                <w:lang w:eastAsia="zh-CN"/>
              </w:rPr>
              <w:t>医用未经污染的一次性玻璃瓶</w:t>
            </w:r>
            <w:r>
              <w:rPr>
                <w:rFonts w:hint="default" w:ascii="Times New Roman" w:hAnsi="Times New Roman" w:cs="Times New Roman"/>
                <w:color w:val="auto"/>
                <w:sz w:val="24"/>
                <w:highlight w:val="none"/>
              </w:rPr>
              <w:t>以及</w:t>
            </w:r>
            <w:r>
              <w:rPr>
                <w:rFonts w:hint="eastAsia" w:cs="Times New Roman"/>
                <w:color w:val="auto"/>
                <w:sz w:val="24"/>
                <w:highlight w:val="none"/>
                <w:lang w:val="en-US" w:eastAsia="zh-CN"/>
              </w:rPr>
              <w:t>矿泉水瓶</w:t>
            </w:r>
            <w:r>
              <w:rPr>
                <w:rFonts w:hint="default" w:ascii="Times New Roman" w:hAnsi="Times New Roman" w:cs="Times New Roman"/>
                <w:color w:val="auto"/>
                <w:sz w:val="24"/>
                <w:highlight w:val="none"/>
              </w:rPr>
              <w:t>采用吨袋包装后由建设单位运至本厂区进行</w:t>
            </w:r>
            <w:r>
              <w:rPr>
                <w:rFonts w:hint="eastAsia" w:cs="Times New Roman"/>
                <w:color w:val="auto"/>
                <w:sz w:val="24"/>
                <w:highlight w:val="none"/>
                <w:lang w:val="en-US" w:eastAsia="zh-CN"/>
              </w:rPr>
              <w:t>破碎、</w:t>
            </w:r>
            <w:r>
              <w:rPr>
                <w:rFonts w:hint="default" w:ascii="Times New Roman" w:hAnsi="Times New Roman" w:cs="Times New Roman"/>
                <w:color w:val="auto"/>
                <w:sz w:val="24"/>
                <w:highlight w:val="none"/>
              </w:rPr>
              <w:t>清洗，</w:t>
            </w:r>
            <w:r>
              <w:rPr>
                <w:rFonts w:hint="default" w:ascii="Times New Roman" w:hAnsi="Times New Roman" w:cs="Times New Roman"/>
                <w:b/>
                <w:bCs/>
                <w:color w:val="auto"/>
                <w:sz w:val="24"/>
                <w:highlight w:val="none"/>
              </w:rPr>
              <w:t>收集的收购的输液瓶（袋）、医疗玻璃等不得残留废液</w:t>
            </w:r>
            <w:r>
              <w:rPr>
                <w:rFonts w:hint="default" w:ascii="Times New Roman" w:hAnsi="Times New Roman" w:cs="Times New Roman"/>
                <w:color w:val="auto"/>
                <w:sz w:val="24"/>
                <w:highlight w:val="none"/>
              </w:rPr>
              <w:t>，</w:t>
            </w:r>
            <w:r>
              <w:rPr>
                <w:rFonts w:hint="default" w:ascii="Times New Roman" w:hAnsi="Times New Roman" w:cs="Times New Roman"/>
                <w:b/>
                <w:bCs/>
                <w:color w:val="auto"/>
                <w:sz w:val="24"/>
                <w:highlight w:val="none"/>
              </w:rPr>
              <w:t>要求供应方进行初步处理</w:t>
            </w:r>
            <w:r>
              <w:rPr>
                <w:rFonts w:hint="default" w:ascii="Times New Roman" w:hAnsi="Times New Roman" w:cs="Times New Roman"/>
                <w:color w:val="auto"/>
                <w:sz w:val="24"/>
                <w:highlight w:val="none"/>
              </w:rPr>
              <w:t>。因此本项目不会产生残留液等危险废物。</w:t>
            </w:r>
          </w:p>
          <w:p w14:paraId="6166225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项目运营期的固体废物</w:t>
            </w:r>
            <w:r>
              <w:rPr>
                <w:rFonts w:hint="default" w:ascii="Times New Roman" w:hAnsi="Times New Roman" w:cs="Times New Roman"/>
                <w:color w:val="auto"/>
                <w:sz w:val="24"/>
                <w:highlight w:val="none"/>
                <w:lang w:val="en-US" w:eastAsia="zh-CN"/>
              </w:rPr>
              <w:t>产生情况如下</w:t>
            </w:r>
            <w:r>
              <w:rPr>
                <w:rFonts w:hint="default" w:ascii="Times New Roman" w:hAnsi="Times New Roman" w:cs="Times New Roman"/>
                <w:color w:val="auto"/>
                <w:sz w:val="24"/>
                <w:highlight w:val="none"/>
              </w:rPr>
              <w:t>：</w:t>
            </w:r>
          </w:p>
          <w:p w14:paraId="61B91A4D">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①</w:t>
            </w:r>
            <w:r>
              <w:rPr>
                <w:rFonts w:hint="default" w:ascii="Times New Roman" w:hAnsi="Times New Roman" w:cs="Times New Roman"/>
                <w:color w:val="auto"/>
                <w:sz w:val="24"/>
                <w:highlight w:val="none"/>
                <w:lang w:val="en-US" w:eastAsia="zh-CN"/>
              </w:rPr>
              <w:t>废包装材料</w:t>
            </w:r>
          </w:p>
          <w:p w14:paraId="1A5CD48D">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本项目分拣废料主要产生于医用未经污染的一次性塑料输液瓶（袋）及玻璃瓶、</w:t>
            </w:r>
            <w:r>
              <w:rPr>
                <w:rFonts w:hint="default" w:ascii="Times New Roman" w:hAnsi="Times New Roman" w:eastAsia="宋体" w:cs="Times New Roman"/>
                <w:color w:val="auto"/>
                <w:sz w:val="24"/>
                <w:szCs w:val="24"/>
                <w:u w:val="none"/>
                <w:lang w:val="en-US" w:eastAsia="zh-CN"/>
              </w:rPr>
              <w:t>生活源塑料</w:t>
            </w:r>
            <w:r>
              <w:rPr>
                <w:rFonts w:hint="default" w:ascii="Times New Roman" w:hAnsi="Times New Roman" w:eastAsia="宋体" w:cs="Times New Roman"/>
                <w:color w:val="auto"/>
                <w:sz w:val="24"/>
                <w:szCs w:val="24"/>
                <w:u w:val="none"/>
                <w:lang w:eastAsia="zh-CN"/>
              </w:rPr>
              <w:t>拆包过程，医用未经污染的一次</w:t>
            </w:r>
            <w:r>
              <w:rPr>
                <w:rFonts w:hint="eastAsia" w:eastAsia="宋体" w:cs="Times New Roman"/>
                <w:color w:val="auto"/>
                <w:sz w:val="24"/>
                <w:szCs w:val="24"/>
                <w:u w:val="none"/>
                <w:lang w:val="en-US" w:eastAsia="zh-CN"/>
              </w:rPr>
              <w:t>性</w:t>
            </w:r>
            <w:r>
              <w:rPr>
                <w:rFonts w:hint="default" w:ascii="Times New Roman" w:hAnsi="Times New Roman" w:eastAsia="宋体" w:cs="Times New Roman"/>
                <w:color w:val="auto"/>
                <w:sz w:val="24"/>
                <w:szCs w:val="24"/>
                <w:u w:val="none"/>
                <w:lang w:eastAsia="zh-CN"/>
              </w:rPr>
              <w:t>塑料性输液瓶（袋）为</w:t>
            </w:r>
            <w:r>
              <w:rPr>
                <w:rFonts w:hint="default" w:ascii="Times New Roman" w:hAnsi="Times New Roman" w:eastAsia="宋体" w:cs="Times New Roman"/>
                <w:color w:val="auto"/>
                <w:sz w:val="24"/>
                <w:szCs w:val="24"/>
                <w:u w:val="none"/>
                <w:lang w:val="en-US" w:eastAsia="zh-CN"/>
              </w:rPr>
              <w:t>64</w:t>
            </w:r>
            <w:r>
              <w:rPr>
                <w:rFonts w:hint="default" w:ascii="Times New Roman" w:hAnsi="Times New Roman" w:eastAsia="宋体" w:cs="Times New Roman"/>
                <w:color w:val="auto"/>
                <w:sz w:val="24"/>
                <w:szCs w:val="24"/>
                <w:u w:val="none"/>
                <w:lang w:eastAsia="zh-CN"/>
              </w:rPr>
              <w:t>00t，</w:t>
            </w:r>
            <w:r>
              <w:rPr>
                <w:rFonts w:hint="default" w:ascii="Times New Roman" w:hAnsi="Times New Roman" w:eastAsia="宋体" w:cs="Times New Roman"/>
                <w:color w:val="auto"/>
                <w:sz w:val="24"/>
                <w:szCs w:val="24"/>
                <w:u w:val="none"/>
                <w:lang w:val="en-US" w:eastAsia="zh-CN"/>
              </w:rPr>
              <w:t>生活源塑料使用量为4000t，</w:t>
            </w:r>
            <w:r>
              <w:rPr>
                <w:rFonts w:hint="default" w:ascii="Times New Roman" w:hAnsi="Times New Roman" w:eastAsia="宋体" w:cs="Times New Roman"/>
                <w:color w:val="auto"/>
                <w:sz w:val="24"/>
                <w:szCs w:val="24"/>
                <w:u w:val="none"/>
                <w:lang w:eastAsia="zh-CN"/>
              </w:rPr>
              <w:t>包装规格为</w:t>
            </w:r>
            <w:r>
              <w:rPr>
                <w:rFonts w:hint="default" w:ascii="Times New Roman" w:hAnsi="Times New Roman" w:eastAsia="宋体" w:cs="Times New Roman"/>
                <w:color w:val="auto"/>
                <w:sz w:val="24"/>
                <w:szCs w:val="24"/>
                <w:u w:val="none"/>
                <w:lang w:val="en-US" w:eastAsia="zh-CN"/>
              </w:rPr>
              <w:t>1t</w:t>
            </w:r>
            <w:r>
              <w:rPr>
                <w:rFonts w:hint="default" w:ascii="Times New Roman" w:hAnsi="Times New Roman" w:eastAsia="宋体" w:cs="Times New Roman"/>
                <w:color w:val="auto"/>
                <w:sz w:val="24"/>
                <w:szCs w:val="24"/>
                <w:u w:val="none"/>
                <w:lang w:eastAsia="zh-CN"/>
              </w:rPr>
              <w:t>/袋，每个包装袋重约</w:t>
            </w:r>
            <w:r>
              <w:rPr>
                <w:rFonts w:hint="default" w:ascii="Times New Roman" w:hAnsi="Times New Roman" w:eastAsia="宋体" w:cs="Times New Roman"/>
                <w:color w:val="auto"/>
                <w:sz w:val="24"/>
                <w:szCs w:val="24"/>
                <w:u w:val="none"/>
                <w:lang w:val="en-US" w:eastAsia="zh-CN"/>
              </w:rPr>
              <w:t>1.5</w:t>
            </w:r>
            <w:r>
              <w:rPr>
                <w:rFonts w:hint="default" w:ascii="Times New Roman" w:hAnsi="Times New Roman" w:eastAsia="宋体" w:cs="Times New Roman"/>
                <w:color w:val="auto"/>
                <w:sz w:val="24"/>
                <w:szCs w:val="24"/>
                <w:u w:val="none"/>
                <w:lang w:eastAsia="zh-CN"/>
              </w:rPr>
              <w:t>kg；医用未经污染的一次性玻璃瓶使用量为</w:t>
            </w:r>
            <w:r>
              <w:rPr>
                <w:rFonts w:hint="default" w:ascii="Times New Roman" w:hAnsi="Times New Roman" w:eastAsia="宋体" w:cs="Times New Roman"/>
                <w:color w:val="auto"/>
                <w:sz w:val="24"/>
                <w:szCs w:val="24"/>
                <w:u w:val="none"/>
                <w:lang w:val="en-US" w:eastAsia="zh-CN"/>
              </w:rPr>
              <w:t>40</w:t>
            </w:r>
            <w:r>
              <w:rPr>
                <w:rFonts w:hint="default" w:ascii="Times New Roman" w:hAnsi="Times New Roman" w:eastAsia="宋体" w:cs="Times New Roman"/>
                <w:color w:val="auto"/>
                <w:sz w:val="24"/>
                <w:szCs w:val="24"/>
                <w:u w:val="none"/>
                <w:lang w:eastAsia="zh-CN"/>
              </w:rPr>
              <w:t>00t，包装规格为</w:t>
            </w:r>
            <w:r>
              <w:rPr>
                <w:rFonts w:hint="default" w:ascii="Times New Roman" w:hAnsi="Times New Roman" w:eastAsia="宋体" w:cs="Times New Roman"/>
                <w:color w:val="auto"/>
                <w:sz w:val="24"/>
                <w:szCs w:val="24"/>
                <w:u w:val="none"/>
                <w:lang w:val="en-US" w:eastAsia="zh-CN"/>
              </w:rPr>
              <w:t>1t</w:t>
            </w:r>
            <w:r>
              <w:rPr>
                <w:rFonts w:hint="default" w:ascii="Times New Roman" w:hAnsi="Times New Roman" w:eastAsia="宋体" w:cs="Times New Roman"/>
                <w:color w:val="auto"/>
                <w:sz w:val="24"/>
                <w:szCs w:val="24"/>
                <w:u w:val="none"/>
                <w:lang w:eastAsia="zh-CN"/>
              </w:rPr>
              <w:t>/袋，每个包装袋重约</w:t>
            </w:r>
            <w:r>
              <w:rPr>
                <w:rFonts w:hint="default" w:ascii="Times New Roman" w:hAnsi="Times New Roman" w:eastAsia="宋体" w:cs="Times New Roman"/>
                <w:color w:val="auto"/>
                <w:sz w:val="24"/>
                <w:szCs w:val="24"/>
                <w:u w:val="none"/>
                <w:lang w:val="en-US" w:eastAsia="zh-CN"/>
              </w:rPr>
              <w:t>1.5</w:t>
            </w:r>
            <w:r>
              <w:rPr>
                <w:rFonts w:hint="default" w:ascii="Times New Roman" w:hAnsi="Times New Roman" w:eastAsia="宋体" w:cs="Times New Roman"/>
                <w:color w:val="auto"/>
                <w:sz w:val="24"/>
                <w:szCs w:val="24"/>
                <w:u w:val="none"/>
                <w:lang w:eastAsia="zh-CN"/>
              </w:rPr>
              <w:t>kg。经计算，项目</w:t>
            </w:r>
            <w:r>
              <w:rPr>
                <w:rFonts w:hint="default" w:ascii="Times New Roman" w:hAnsi="Times New Roman" w:eastAsia="宋体" w:cs="Times New Roman"/>
                <w:color w:val="auto"/>
                <w:sz w:val="24"/>
                <w:szCs w:val="24"/>
                <w:u w:val="none"/>
                <w:lang w:val="en-US" w:eastAsia="zh-CN"/>
              </w:rPr>
              <w:t>废包装材料</w:t>
            </w:r>
            <w:r>
              <w:rPr>
                <w:rFonts w:hint="default" w:ascii="Times New Roman" w:hAnsi="Times New Roman" w:eastAsia="宋体" w:cs="Times New Roman"/>
                <w:color w:val="auto"/>
                <w:sz w:val="24"/>
                <w:szCs w:val="24"/>
                <w:u w:val="none"/>
                <w:lang w:eastAsia="zh-CN"/>
              </w:rPr>
              <w:t>产生量约为</w:t>
            </w:r>
            <w:r>
              <w:rPr>
                <w:rFonts w:hint="default" w:ascii="Times New Roman" w:hAnsi="Times New Roman" w:eastAsia="宋体" w:cs="Times New Roman"/>
                <w:color w:val="auto"/>
                <w:sz w:val="24"/>
                <w:szCs w:val="24"/>
                <w:u w:val="none"/>
                <w:lang w:val="en-US" w:eastAsia="zh-CN"/>
              </w:rPr>
              <w:t>21.6</w:t>
            </w:r>
            <w:r>
              <w:rPr>
                <w:rFonts w:hint="default" w:ascii="Times New Roman" w:hAnsi="Times New Roman" w:eastAsia="宋体" w:cs="Times New Roman"/>
                <w:color w:val="auto"/>
                <w:sz w:val="24"/>
                <w:szCs w:val="24"/>
                <w:u w:val="none"/>
                <w:lang w:eastAsia="zh-CN"/>
              </w:rPr>
              <w:t>t/a，收集后外售</w:t>
            </w:r>
            <w:r>
              <w:rPr>
                <w:rFonts w:hint="default" w:ascii="Times New Roman" w:hAnsi="Times New Roman" w:eastAsia="宋体" w:cs="Times New Roman"/>
                <w:color w:val="auto"/>
                <w:kern w:val="2"/>
                <w:sz w:val="24"/>
                <w:szCs w:val="24"/>
                <w:lang w:val="en-US" w:eastAsia="zh-CN" w:bidi="ar-SA"/>
              </w:rPr>
              <w:t>，固废代码为900-003-S17。</w:t>
            </w:r>
          </w:p>
          <w:p w14:paraId="0B914BBF">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②清洗沉渣</w:t>
            </w:r>
          </w:p>
          <w:p w14:paraId="7CF96CEC">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根据《排放源统计调查产排污核算方法和系数手册》（生态环境部公告2021年第24号）中“4220  非金属废料和碎屑加工处理行业系数表”废PE/PP，湿法破碎+清洗工序一般工业固废产生量为8.3kg/吨-原料、废玻璃破碎+分选+水洗一般工业固废产生量为0.3kg/吨-原料，本项目塑料原料用量10400t/a、医用玻璃瓶用量为4000t/a，则本项目破碎、清洗工序产生的沉渣为87.52t/a，主要成分为塑料沉渣、玻璃沉渣等，暂存于一般固废间，定期交一般工业固体废物处置单位处置。参考《固体废物分类与代码目录》（生态环境部公告2024 年第4号），沉渣固废代码为900-003-S17。</w:t>
            </w:r>
          </w:p>
          <w:p w14:paraId="5539C68E">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③污水处理污泥</w:t>
            </w:r>
          </w:p>
          <w:p w14:paraId="7355DB1E">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项目污水处理设施生产废水总处理污水量为</w:t>
            </w:r>
            <w:r>
              <w:rPr>
                <w:rFonts w:hint="eastAsia" w:eastAsia="宋体" w:cs="Times New Roman"/>
                <w:color w:val="auto"/>
                <w:kern w:val="2"/>
                <w:sz w:val="24"/>
                <w:szCs w:val="24"/>
                <w:lang w:val="en-US" w:eastAsia="zh-CN" w:bidi="ar-SA"/>
              </w:rPr>
              <w:t>10649.2</w:t>
            </w:r>
            <w:r>
              <w:rPr>
                <w:rFonts w:hint="default" w:ascii="Times New Roman" w:hAnsi="Times New Roman" w:eastAsia="宋体" w:cs="Times New Roman"/>
                <w:color w:val="auto"/>
                <w:kern w:val="2"/>
                <w:sz w:val="24"/>
                <w:szCs w:val="24"/>
                <w:lang w:val="en-US" w:eastAsia="zh-CN" w:bidi="ar-SA"/>
              </w:rPr>
              <w:t>m</w:t>
            </w:r>
            <w:r>
              <w:rPr>
                <w:rFonts w:hint="eastAsia"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/a，年工作3</w:t>
            </w:r>
            <w:r>
              <w:rPr>
                <w:rFonts w:hint="eastAsia"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0d，污泥产生量按0.8~1.2t/万吨水计，本项目按最大值计算，污泥产生量约3.25ta。其属于一般工业固体废物，</w:t>
            </w:r>
            <w:r>
              <w:rPr>
                <w:rFonts w:hint="eastAsia" w:eastAsia="宋体" w:cs="Times New Roman"/>
                <w:color w:val="auto"/>
                <w:kern w:val="2"/>
                <w:sz w:val="24"/>
                <w:szCs w:val="24"/>
                <w:highlight w:val="none"/>
                <w:lang w:val="en-US" w:eastAsia="zh-CN" w:bidi="ar-SA"/>
              </w:rPr>
              <w:t>外售综合利用</w:t>
            </w:r>
            <w:r>
              <w:rPr>
                <w:rFonts w:hint="default" w:ascii="Times New Roman" w:hAnsi="Times New Roman" w:eastAsia="宋体" w:cs="Times New Roman"/>
                <w:color w:val="auto"/>
                <w:kern w:val="2"/>
                <w:sz w:val="24"/>
                <w:szCs w:val="24"/>
                <w:lang w:val="en-US" w:eastAsia="zh-CN" w:bidi="ar-SA"/>
              </w:rPr>
              <w:t>。参考《固体废物分类与代码目录》（生态环境部公告2024年第4号），污泥固废代码为900-099-S07。</w:t>
            </w:r>
          </w:p>
          <w:p w14:paraId="0BB9743F">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④废纸浆、废纸屑</w:t>
            </w:r>
          </w:p>
          <w:p w14:paraId="260488A7">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本项目废纸浆及废纸屑分别产生于塑料碎片沉浮式分离工序及玻璃风选工序。根据企业提供资料，废纸浆约占医用未经污染的一次</w:t>
            </w:r>
            <w:r>
              <w:rPr>
                <w:rFonts w:hint="eastAsia" w:eastAsia="宋体" w:cs="Times New Roman"/>
                <w:color w:val="auto"/>
                <w:kern w:val="2"/>
                <w:sz w:val="24"/>
                <w:szCs w:val="24"/>
                <w:lang w:val="en-US" w:eastAsia="zh-CN" w:bidi="ar-SA"/>
              </w:rPr>
              <w:t>性</w:t>
            </w:r>
            <w:r>
              <w:rPr>
                <w:rFonts w:hint="default" w:ascii="Times New Roman" w:hAnsi="Times New Roman" w:eastAsia="宋体" w:cs="Times New Roman"/>
                <w:color w:val="auto"/>
                <w:kern w:val="2"/>
                <w:sz w:val="24"/>
                <w:szCs w:val="24"/>
                <w:lang w:val="en-US" w:eastAsia="zh-CN" w:bidi="ar-SA"/>
              </w:rPr>
              <w:t>塑料性输液瓶（袋）使用量的0.2%，废纸屑约占医用未污染的一次性玻璃瓶使用量的0.1%，则废纸浆及废纸屑总产生量约为16.8t/a，集中收集后外售。废纸浆、废纸屑固废代码为900-005-S17。</w:t>
            </w:r>
          </w:p>
          <w:p w14:paraId="2924399B">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lang w:val="en-US" w:eastAsia="zh-CN"/>
              </w:rPr>
              <w:t>⑤</w:t>
            </w:r>
            <w:r>
              <w:rPr>
                <w:rFonts w:hint="default" w:ascii="Times New Roman" w:hAnsi="Times New Roman" w:eastAsia="宋体" w:cs="Times New Roman"/>
                <w:color w:val="auto"/>
                <w:sz w:val="24"/>
                <w:szCs w:val="24"/>
                <w:highlight w:val="none"/>
                <w:lang w:bidi="ar"/>
              </w:rPr>
              <w:t>生活垃圾</w:t>
            </w:r>
          </w:p>
          <w:p w14:paraId="47F1C234">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highlight w:val="yellow"/>
              </w:rPr>
            </w:pPr>
            <w:r>
              <w:rPr>
                <w:rFonts w:hint="default" w:ascii="Times New Roman" w:hAnsi="Times New Roman" w:cs="Times New Roman"/>
                <w:color w:val="auto"/>
                <w:sz w:val="24"/>
                <w:highlight w:val="none"/>
              </w:rPr>
              <w:t>生活垃圾每人每天产生量按</w:t>
            </w:r>
            <w:r>
              <w:rPr>
                <w:rFonts w:hint="default" w:ascii="Times New Roman" w:hAnsi="Times New Roman" w:cs="Times New Roman"/>
                <w:color w:val="auto"/>
                <w:sz w:val="24"/>
                <w:highlight w:val="none"/>
                <w:lang w:val="en-US" w:eastAsia="zh-CN"/>
              </w:rPr>
              <w:t>0.3</w:t>
            </w:r>
            <w:r>
              <w:rPr>
                <w:rFonts w:hint="default" w:ascii="Times New Roman" w:hAnsi="Times New Roman" w:cs="Times New Roman"/>
                <w:color w:val="auto"/>
                <w:sz w:val="24"/>
                <w:highlight w:val="none"/>
              </w:rPr>
              <w:t>kg计算，生活垃圾产生量为</w:t>
            </w:r>
            <w:r>
              <w:rPr>
                <w:rFonts w:hint="default" w:ascii="Times New Roman" w:hAnsi="Times New Roman" w:cs="Times New Roman"/>
                <w:color w:val="auto"/>
                <w:sz w:val="24"/>
                <w:highlight w:val="none"/>
                <w:lang w:val="en-US" w:eastAsia="zh-CN"/>
              </w:rPr>
              <w:t>1.19</w:t>
            </w:r>
            <w:r>
              <w:rPr>
                <w:rFonts w:hint="default" w:ascii="Times New Roman" w:hAnsi="Times New Roman" w:cs="Times New Roman"/>
                <w:color w:val="auto"/>
                <w:sz w:val="24"/>
                <w:highlight w:val="none"/>
              </w:rPr>
              <w:t>t/a，由环卫部门收集后集中处理。</w:t>
            </w:r>
          </w:p>
          <w:p w14:paraId="1422FEEF">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eastAsia="zh-CN" w:bidi="ar"/>
              </w:rPr>
              <w:t>综上所述，</w:t>
            </w:r>
            <w:r>
              <w:rPr>
                <w:rFonts w:hint="default" w:ascii="Times New Roman" w:hAnsi="Times New Roman" w:eastAsia="宋体" w:cs="Times New Roman"/>
                <w:color w:val="auto"/>
                <w:kern w:val="0"/>
                <w:sz w:val="24"/>
                <w:szCs w:val="24"/>
                <w:highlight w:val="none"/>
                <w:lang w:bidi="ar"/>
              </w:rPr>
              <w:t>项目</w:t>
            </w:r>
            <w:r>
              <w:rPr>
                <w:rFonts w:hint="default" w:ascii="Times New Roman" w:hAnsi="Times New Roman" w:eastAsia="宋体" w:cs="Times New Roman"/>
                <w:color w:val="auto"/>
                <w:kern w:val="0"/>
                <w:sz w:val="24"/>
                <w:szCs w:val="24"/>
                <w:highlight w:val="none"/>
                <w:lang w:eastAsia="zh-CN" w:bidi="ar"/>
              </w:rPr>
              <w:t>一般工业固废及生活垃圾</w:t>
            </w:r>
            <w:r>
              <w:rPr>
                <w:rFonts w:hint="default" w:ascii="Times New Roman" w:hAnsi="Times New Roman" w:eastAsia="宋体" w:cs="Times New Roman"/>
                <w:color w:val="auto"/>
                <w:kern w:val="0"/>
                <w:sz w:val="24"/>
                <w:szCs w:val="24"/>
                <w:highlight w:val="none"/>
                <w:lang w:bidi="ar"/>
              </w:rPr>
              <w:t>固体废物污染源源强核算结果及相关参数一览表</w:t>
            </w:r>
            <w:r>
              <w:rPr>
                <w:rFonts w:hint="default" w:ascii="Times New Roman" w:hAnsi="Times New Roman" w:eastAsia="宋体" w:cs="Times New Roman"/>
                <w:color w:val="auto"/>
                <w:kern w:val="0"/>
                <w:sz w:val="24"/>
                <w:szCs w:val="24"/>
                <w:highlight w:val="none"/>
                <w:lang w:eastAsia="zh-CN" w:bidi="ar"/>
              </w:rPr>
              <w:t>详见表</w:t>
            </w:r>
            <w:r>
              <w:rPr>
                <w:rFonts w:hint="default" w:ascii="Times New Roman" w:hAnsi="Times New Roman" w:eastAsia="宋体" w:cs="Times New Roman"/>
                <w:color w:val="auto"/>
                <w:kern w:val="0"/>
                <w:sz w:val="24"/>
                <w:szCs w:val="24"/>
                <w:highlight w:val="none"/>
                <w:lang w:val="en-US" w:eastAsia="zh-CN" w:bidi="ar"/>
              </w:rPr>
              <w:t>4.5-1。</w:t>
            </w:r>
          </w:p>
          <w:p w14:paraId="442D6C60">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jc w:val="center"/>
              <w:textAlignment w:val="auto"/>
              <w:outlineLvl w:val="9"/>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 xml:space="preserve">4.5-1 </w:t>
            </w:r>
            <w:r>
              <w:rPr>
                <w:rFonts w:hint="default" w:ascii="Times New Roman" w:hAnsi="Times New Roman" w:eastAsia="黑体" w:cs="Times New Roman"/>
                <w:color w:val="auto"/>
                <w:sz w:val="24"/>
                <w:szCs w:val="24"/>
                <w:highlight w:val="none"/>
              </w:rPr>
              <w:t>固体废物污染源源强核算结果及相关参数一览表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721"/>
              <w:gridCol w:w="1106"/>
              <w:gridCol w:w="1310"/>
              <w:gridCol w:w="1208"/>
              <w:gridCol w:w="909"/>
              <w:gridCol w:w="629"/>
              <w:gridCol w:w="842"/>
              <w:gridCol w:w="1613"/>
            </w:tblGrid>
            <w:tr w14:paraId="6048D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vMerge w:val="restart"/>
                  <w:shd w:val="clear" w:color="auto" w:fill="auto"/>
                  <w:noWrap w:val="0"/>
                  <w:vAlign w:val="center"/>
                </w:tcPr>
                <w:p w14:paraId="3931CD6A">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产生</w:t>
                  </w:r>
                </w:p>
                <w:p w14:paraId="0B7F68E9">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环节</w:t>
                  </w:r>
                </w:p>
              </w:tc>
              <w:tc>
                <w:tcPr>
                  <w:tcW w:w="663" w:type="pct"/>
                  <w:vMerge w:val="restart"/>
                  <w:shd w:val="clear" w:color="auto" w:fill="auto"/>
                  <w:noWrap w:val="0"/>
                  <w:vAlign w:val="center"/>
                </w:tcPr>
                <w:p w14:paraId="07848A56">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固体废物</w:t>
                  </w:r>
                </w:p>
                <w:p w14:paraId="78F0B31E">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名称</w:t>
                  </w:r>
                </w:p>
              </w:tc>
              <w:tc>
                <w:tcPr>
                  <w:tcW w:w="785" w:type="pct"/>
                  <w:vMerge w:val="restart"/>
                  <w:shd w:val="clear" w:color="auto" w:fill="auto"/>
                  <w:noWrap w:val="0"/>
                  <w:vAlign w:val="center"/>
                </w:tcPr>
                <w:p w14:paraId="5417EDBB">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代码</w:t>
                  </w:r>
                </w:p>
              </w:tc>
              <w:tc>
                <w:tcPr>
                  <w:tcW w:w="724" w:type="pct"/>
                  <w:vMerge w:val="restart"/>
                  <w:shd w:val="clear" w:color="auto" w:fill="auto"/>
                  <w:noWrap w:val="0"/>
                  <w:vAlign w:val="center"/>
                </w:tcPr>
                <w:p w14:paraId="509315E3">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固废属性</w:t>
                  </w:r>
                </w:p>
              </w:tc>
              <w:tc>
                <w:tcPr>
                  <w:tcW w:w="545" w:type="pct"/>
                  <w:shd w:val="clear" w:color="auto" w:fill="auto"/>
                  <w:noWrap w:val="0"/>
                  <w:vAlign w:val="center"/>
                </w:tcPr>
                <w:p w14:paraId="20FC9B48">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产生情况</w:t>
                  </w:r>
                </w:p>
              </w:tc>
              <w:tc>
                <w:tcPr>
                  <w:tcW w:w="882" w:type="pct"/>
                  <w:gridSpan w:val="2"/>
                  <w:shd w:val="clear" w:color="auto" w:fill="auto"/>
                  <w:noWrap w:val="0"/>
                  <w:vAlign w:val="center"/>
                </w:tcPr>
                <w:p w14:paraId="36BDEBCD">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处置措施</w:t>
                  </w:r>
                </w:p>
              </w:tc>
              <w:tc>
                <w:tcPr>
                  <w:tcW w:w="967" w:type="pct"/>
                  <w:vMerge w:val="restart"/>
                  <w:shd w:val="clear" w:color="auto" w:fill="auto"/>
                  <w:noWrap w:val="0"/>
                  <w:vAlign w:val="center"/>
                </w:tcPr>
                <w:p w14:paraId="01FD627E">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最终去向</w:t>
                  </w:r>
                </w:p>
              </w:tc>
            </w:tr>
            <w:tr w14:paraId="06C30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vMerge w:val="continue"/>
                  <w:shd w:val="clear" w:color="auto" w:fill="auto"/>
                  <w:noWrap w:val="0"/>
                  <w:vAlign w:val="center"/>
                </w:tcPr>
                <w:p w14:paraId="4A7B6C0E">
                  <w:pPr>
                    <w:pStyle w:val="96"/>
                    <w:rPr>
                      <w:rFonts w:hint="default" w:ascii="Times New Roman" w:hAnsi="Times New Roman" w:eastAsia="宋体" w:cs="Times New Roman"/>
                      <w:color w:val="auto"/>
                      <w:kern w:val="2"/>
                      <w:sz w:val="18"/>
                      <w:szCs w:val="18"/>
                      <w:highlight w:val="none"/>
                      <w:lang w:val="en-US" w:eastAsia="zh-CN" w:bidi="ar-SA"/>
                    </w:rPr>
                  </w:pPr>
                </w:p>
              </w:tc>
              <w:tc>
                <w:tcPr>
                  <w:tcW w:w="663" w:type="pct"/>
                  <w:vMerge w:val="continue"/>
                  <w:shd w:val="clear" w:color="auto" w:fill="auto"/>
                  <w:noWrap w:val="0"/>
                  <w:vAlign w:val="center"/>
                </w:tcPr>
                <w:p w14:paraId="2E1D8F53">
                  <w:pPr>
                    <w:pStyle w:val="96"/>
                    <w:rPr>
                      <w:rFonts w:hint="default" w:ascii="Times New Roman" w:hAnsi="Times New Roman" w:eastAsia="宋体" w:cs="Times New Roman"/>
                      <w:color w:val="auto"/>
                      <w:kern w:val="2"/>
                      <w:sz w:val="18"/>
                      <w:szCs w:val="18"/>
                      <w:highlight w:val="none"/>
                      <w:lang w:val="en-US" w:eastAsia="zh-CN" w:bidi="ar-SA"/>
                    </w:rPr>
                  </w:pPr>
                </w:p>
              </w:tc>
              <w:tc>
                <w:tcPr>
                  <w:tcW w:w="785" w:type="pct"/>
                  <w:vMerge w:val="continue"/>
                  <w:shd w:val="clear" w:color="auto" w:fill="auto"/>
                  <w:noWrap w:val="0"/>
                  <w:vAlign w:val="center"/>
                </w:tcPr>
                <w:p w14:paraId="1959255E">
                  <w:pPr>
                    <w:pStyle w:val="96"/>
                    <w:rPr>
                      <w:rFonts w:hint="default" w:ascii="Times New Roman" w:hAnsi="Times New Roman" w:eastAsia="宋体" w:cs="Times New Roman"/>
                      <w:color w:val="auto"/>
                      <w:kern w:val="2"/>
                      <w:sz w:val="18"/>
                      <w:szCs w:val="18"/>
                      <w:highlight w:val="none"/>
                      <w:lang w:val="en-US" w:eastAsia="zh-CN" w:bidi="ar-SA"/>
                    </w:rPr>
                  </w:pPr>
                </w:p>
              </w:tc>
              <w:tc>
                <w:tcPr>
                  <w:tcW w:w="724" w:type="pct"/>
                  <w:vMerge w:val="continue"/>
                  <w:shd w:val="clear" w:color="auto" w:fill="auto"/>
                  <w:noWrap w:val="0"/>
                  <w:vAlign w:val="center"/>
                </w:tcPr>
                <w:p w14:paraId="78553867">
                  <w:pPr>
                    <w:pStyle w:val="96"/>
                    <w:rPr>
                      <w:rFonts w:hint="default" w:ascii="Times New Roman" w:hAnsi="Times New Roman" w:eastAsia="宋体" w:cs="Times New Roman"/>
                      <w:color w:val="auto"/>
                      <w:kern w:val="2"/>
                      <w:sz w:val="18"/>
                      <w:szCs w:val="18"/>
                      <w:highlight w:val="none"/>
                      <w:lang w:val="en-US" w:eastAsia="zh-CN" w:bidi="ar-SA"/>
                    </w:rPr>
                  </w:pPr>
                </w:p>
              </w:tc>
              <w:tc>
                <w:tcPr>
                  <w:tcW w:w="545" w:type="pct"/>
                  <w:shd w:val="clear" w:color="auto" w:fill="auto"/>
                  <w:noWrap w:val="0"/>
                  <w:vAlign w:val="center"/>
                </w:tcPr>
                <w:p w14:paraId="7E87FB30">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产生量t/a</w:t>
                  </w:r>
                </w:p>
              </w:tc>
              <w:tc>
                <w:tcPr>
                  <w:tcW w:w="377" w:type="pct"/>
                  <w:shd w:val="clear" w:color="auto" w:fill="auto"/>
                  <w:noWrap w:val="0"/>
                  <w:vAlign w:val="center"/>
                </w:tcPr>
                <w:p w14:paraId="29D6A340">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工艺</w:t>
                  </w:r>
                </w:p>
              </w:tc>
              <w:tc>
                <w:tcPr>
                  <w:tcW w:w="504" w:type="pct"/>
                  <w:shd w:val="clear" w:color="auto" w:fill="auto"/>
                  <w:noWrap w:val="0"/>
                  <w:vAlign w:val="center"/>
                </w:tcPr>
                <w:p w14:paraId="48F03E48">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处置量t/a</w:t>
                  </w:r>
                </w:p>
              </w:tc>
              <w:tc>
                <w:tcPr>
                  <w:tcW w:w="967" w:type="pct"/>
                  <w:vMerge w:val="continue"/>
                  <w:shd w:val="clear" w:color="auto" w:fill="auto"/>
                  <w:noWrap w:val="0"/>
                  <w:vAlign w:val="center"/>
                </w:tcPr>
                <w:p w14:paraId="3E8AA196">
                  <w:pPr>
                    <w:pStyle w:val="96"/>
                    <w:rPr>
                      <w:rFonts w:hint="default" w:ascii="Times New Roman" w:hAnsi="Times New Roman" w:eastAsia="宋体" w:cs="Times New Roman"/>
                      <w:color w:val="auto"/>
                      <w:kern w:val="2"/>
                      <w:sz w:val="18"/>
                      <w:szCs w:val="18"/>
                      <w:highlight w:val="none"/>
                      <w:lang w:val="en-US" w:eastAsia="zh-CN" w:bidi="ar-SA"/>
                    </w:rPr>
                  </w:pPr>
                </w:p>
              </w:tc>
            </w:tr>
            <w:tr w14:paraId="66F06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shd w:val="clear" w:color="auto" w:fill="auto"/>
                  <w:noWrap w:val="0"/>
                  <w:vAlign w:val="center"/>
                </w:tcPr>
                <w:p w14:paraId="50831C70">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分选</w:t>
                  </w:r>
                </w:p>
              </w:tc>
              <w:tc>
                <w:tcPr>
                  <w:tcW w:w="663" w:type="pct"/>
                  <w:shd w:val="clear" w:color="auto" w:fill="auto"/>
                  <w:noWrap w:val="0"/>
                  <w:vAlign w:val="center"/>
                </w:tcPr>
                <w:p w14:paraId="569CF1D0">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废包装材料</w:t>
                  </w:r>
                </w:p>
              </w:tc>
              <w:tc>
                <w:tcPr>
                  <w:tcW w:w="785" w:type="pct"/>
                  <w:shd w:val="clear" w:color="auto" w:fill="auto"/>
                  <w:noWrap w:val="0"/>
                  <w:vAlign w:val="center"/>
                </w:tcPr>
                <w:p w14:paraId="131ECD70">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900-003-S17</w:t>
                  </w:r>
                </w:p>
              </w:tc>
              <w:tc>
                <w:tcPr>
                  <w:tcW w:w="724" w:type="pct"/>
                  <w:shd w:val="clear" w:color="auto" w:fill="auto"/>
                  <w:noWrap w:val="0"/>
                  <w:vAlign w:val="center"/>
                </w:tcPr>
                <w:p w14:paraId="303B14E8">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w:t>
                  </w:r>
                </w:p>
              </w:tc>
              <w:tc>
                <w:tcPr>
                  <w:tcW w:w="545" w:type="pct"/>
                  <w:shd w:val="clear" w:color="auto" w:fill="auto"/>
                  <w:noWrap w:val="0"/>
                  <w:vAlign w:val="center"/>
                </w:tcPr>
                <w:p w14:paraId="4ADDE5EC">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21.6</w:t>
                  </w:r>
                </w:p>
              </w:tc>
              <w:tc>
                <w:tcPr>
                  <w:tcW w:w="377" w:type="pct"/>
                  <w:vMerge w:val="restart"/>
                  <w:shd w:val="clear" w:color="auto" w:fill="auto"/>
                  <w:noWrap w:val="0"/>
                  <w:vAlign w:val="center"/>
                </w:tcPr>
                <w:p w14:paraId="42A91997">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综合</w:t>
                  </w:r>
                </w:p>
                <w:p w14:paraId="6E92D476">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利用</w:t>
                  </w:r>
                </w:p>
              </w:tc>
              <w:tc>
                <w:tcPr>
                  <w:tcW w:w="842" w:type="dxa"/>
                  <w:shd w:val="clear" w:color="auto" w:fill="auto"/>
                  <w:noWrap w:val="0"/>
                  <w:vAlign w:val="center"/>
                </w:tcPr>
                <w:p w14:paraId="6CAAED7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21.6</w:t>
                  </w:r>
                </w:p>
              </w:tc>
              <w:tc>
                <w:tcPr>
                  <w:tcW w:w="967" w:type="pct"/>
                  <w:shd w:val="clear" w:color="auto" w:fill="auto"/>
                  <w:noWrap w:val="0"/>
                  <w:vAlign w:val="center"/>
                </w:tcPr>
                <w:p w14:paraId="23E3F0D3">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外售综合利用</w:t>
                  </w:r>
                </w:p>
              </w:tc>
            </w:tr>
            <w:tr w14:paraId="6AC65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vMerge w:val="restart"/>
                  <w:shd w:val="clear" w:color="auto" w:fill="auto"/>
                  <w:noWrap w:val="0"/>
                  <w:vAlign w:val="center"/>
                </w:tcPr>
                <w:p w14:paraId="1302DAE0">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清洗</w:t>
                  </w:r>
                </w:p>
              </w:tc>
              <w:tc>
                <w:tcPr>
                  <w:tcW w:w="663" w:type="pct"/>
                  <w:shd w:val="clear" w:color="auto" w:fill="auto"/>
                  <w:noWrap w:val="0"/>
                  <w:vAlign w:val="center"/>
                </w:tcPr>
                <w:p w14:paraId="2A99FA56">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清洗沉渣</w:t>
                  </w:r>
                </w:p>
              </w:tc>
              <w:tc>
                <w:tcPr>
                  <w:tcW w:w="785" w:type="pct"/>
                  <w:shd w:val="clear" w:color="auto" w:fill="auto"/>
                  <w:noWrap w:val="0"/>
                  <w:vAlign w:val="center"/>
                </w:tcPr>
                <w:p w14:paraId="3CCDB2E5">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900-003-S17</w:t>
                  </w:r>
                </w:p>
              </w:tc>
              <w:tc>
                <w:tcPr>
                  <w:tcW w:w="724" w:type="pct"/>
                  <w:shd w:val="clear" w:color="auto" w:fill="auto"/>
                  <w:noWrap w:val="0"/>
                  <w:vAlign w:val="center"/>
                </w:tcPr>
                <w:p w14:paraId="6EA23521">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w:t>
                  </w:r>
                </w:p>
              </w:tc>
              <w:tc>
                <w:tcPr>
                  <w:tcW w:w="545" w:type="pct"/>
                  <w:shd w:val="clear" w:color="auto" w:fill="auto"/>
                  <w:noWrap w:val="0"/>
                  <w:vAlign w:val="center"/>
                </w:tcPr>
                <w:p w14:paraId="5CEEAB12">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87.52</w:t>
                  </w:r>
                </w:p>
              </w:tc>
              <w:tc>
                <w:tcPr>
                  <w:tcW w:w="377" w:type="pct"/>
                  <w:vMerge w:val="continue"/>
                  <w:shd w:val="clear" w:color="auto" w:fill="auto"/>
                  <w:noWrap w:val="0"/>
                  <w:vAlign w:val="center"/>
                </w:tcPr>
                <w:p w14:paraId="4B14ED95">
                  <w:pPr>
                    <w:pStyle w:val="96"/>
                    <w:rPr>
                      <w:rFonts w:hint="default" w:ascii="Times New Roman" w:hAnsi="Times New Roman" w:eastAsia="宋体" w:cs="Times New Roman"/>
                      <w:color w:val="auto"/>
                      <w:kern w:val="2"/>
                      <w:sz w:val="18"/>
                      <w:szCs w:val="18"/>
                      <w:highlight w:val="none"/>
                      <w:lang w:val="en-US" w:eastAsia="zh-CN" w:bidi="ar-SA"/>
                    </w:rPr>
                  </w:pPr>
                </w:p>
              </w:tc>
              <w:tc>
                <w:tcPr>
                  <w:tcW w:w="842" w:type="dxa"/>
                  <w:shd w:val="clear" w:color="auto" w:fill="auto"/>
                  <w:noWrap w:val="0"/>
                  <w:vAlign w:val="center"/>
                </w:tcPr>
                <w:p w14:paraId="111F321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87.52</w:t>
                  </w:r>
                </w:p>
              </w:tc>
              <w:tc>
                <w:tcPr>
                  <w:tcW w:w="967" w:type="pct"/>
                  <w:shd w:val="clear" w:color="auto" w:fill="auto"/>
                  <w:noWrap w:val="0"/>
                  <w:vAlign w:val="center"/>
                </w:tcPr>
                <w:p w14:paraId="6E8809A0">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外售综合利用</w:t>
                  </w:r>
                </w:p>
              </w:tc>
            </w:tr>
            <w:tr w14:paraId="2F83F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vMerge w:val="continue"/>
                  <w:shd w:val="clear" w:color="auto" w:fill="auto"/>
                  <w:noWrap w:val="0"/>
                  <w:vAlign w:val="center"/>
                </w:tcPr>
                <w:p w14:paraId="732BBF55">
                  <w:pPr>
                    <w:pStyle w:val="96"/>
                    <w:rPr>
                      <w:rFonts w:hint="default" w:ascii="Times New Roman" w:hAnsi="Times New Roman" w:eastAsia="宋体" w:cs="Times New Roman"/>
                      <w:color w:val="auto"/>
                      <w:kern w:val="2"/>
                      <w:sz w:val="18"/>
                      <w:szCs w:val="18"/>
                      <w:highlight w:val="none"/>
                      <w:lang w:val="en-US" w:eastAsia="zh-CN" w:bidi="ar-SA"/>
                    </w:rPr>
                  </w:pPr>
                </w:p>
              </w:tc>
              <w:tc>
                <w:tcPr>
                  <w:tcW w:w="663" w:type="pct"/>
                  <w:shd w:val="clear" w:color="auto" w:fill="auto"/>
                  <w:noWrap w:val="0"/>
                  <w:vAlign w:val="center"/>
                </w:tcPr>
                <w:p w14:paraId="7E942D74">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废纸浆、废纸屑</w:t>
                  </w:r>
                </w:p>
              </w:tc>
              <w:tc>
                <w:tcPr>
                  <w:tcW w:w="785" w:type="pct"/>
                  <w:shd w:val="clear" w:color="auto" w:fill="auto"/>
                  <w:noWrap w:val="0"/>
                  <w:vAlign w:val="center"/>
                </w:tcPr>
                <w:p w14:paraId="4C8220F9">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900-005-S17</w:t>
                  </w:r>
                </w:p>
              </w:tc>
              <w:tc>
                <w:tcPr>
                  <w:tcW w:w="724" w:type="pct"/>
                  <w:shd w:val="clear" w:color="auto" w:fill="auto"/>
                  <w:noWrap w:val="0"/>
                  <w:vAlign w:val="center"/>
                </w:tcPr>
                <w:p w14:paraId="5AF803BF">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w:t>
                  </w:r>
                </w:p>
              </w:tc>
              <w:tc>
                <w:tcPr>
                  <w:tcW w:w="545" w:type="pct"/>
                  <w:shd w:val="clear" w:color="auto" w:fill="auto"/>
                  <w:noWrap w:val="0"/>
                  <w:vAlign w:val="center"/>
                </w:tcPr>
                <w:p w14:paraId="444AC73C">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16.8</w:t>
                  </w:r>
                </w:p>
              </w:tc>
              <w:tc>
                <w:tcPr>
                  <w:tcW w:w="377" w:type="pct"/>
                  <w:vMerge w:val="continue"/>
                  <w:shd w:val="clear" w:color="auto" w:fill="auto"/>
                  <w:noWrap w:val="0"/>
                  <w:vAlign w:val="center"/>
                </w:tcPr>
                <w:p w14:paraId="1055481F">
                  <w:pPr>
                    <w:pStyle w:val="96"/>
                    <w:rPr>
                      <w:rFonts w:hint="default" w:ascii="Times New Roman" w:hAnsi="Times New Roman" w:eastAsia="宋体" w:cs="Times New Roman"/>
                      <w:color w:val="auto"/>
                      <w:kern w:val="2"/>
                      <w:sz w:val="18"/>
                      <w:szCs w:val="18"/>
                      <w:highlight w:val="none"/>
                      <w:lang w:val="en-US" w:eastAsia="zh-CN" w:bidi="ar-SA"/>
                    </w:rPr>
                  </w:pPr>
                </w:p>
              </w:tc>
              <w:tc>
                <w:tcPr>
                  <w:tcW w:w="842" w:type="dxa"/>
                  <w:shd w:val="clear" w:color="auto" w:fill="auto"/>
                  <w:noWrap w:val="0"/>
                  <w:vAlign w:val="center"/>
                </w:tcPr>
                <w:p w14:paraId="5AF2523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16.8</w:t>
                  </w:r>
                </w:p>
              </w:tc>
              <w:tc>
                <w:tcPr>
                  <w:tcW w:w="967" w:type="pct"/>
                  <w:shd w:val="clear" w:color="auto" w:fill="auto"/>
                  <w:noWrap w:val="0"/>
                  <w:vAlign w:val="center"/>
                </w:tcPr>
                <w:p w14:paraId="54857325">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外售综合利用</w:t>
                  </w:r>
                </w:p>
              </w:tc>
            </w:tr>
            <w:tr w14:paraId="06098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shd w:val="clear" w:color="auto" w:fill="auto"/>
                  <w:noWrap w:val="0"/>
                  <w:vAlign w:val="center"/>
                </w:tcPr>
                <w:p w14:paraId="27CC3A74">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污水处理设施</w:t>
                  </w:r>
                </w:p>
              </w:tc>
              <w:tc>
                <w:tcPr>
                  <w:tcW w:w="663" w:type="pct"/>
                  <w:shd w:val="clear" w:color="auto" w:fill="auto"/>
                  <w:noWrap w:val="0"/>
                  <w:vAlign w:val="center"/>
                </w:tcPr>
                <w:p w14:paraId="46B60C28">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污泥</w:t>
                  </w:r>
                </w:p>
              </w:tc>
              <w:tc>
                <w:tcPr>
                  <w:tcW w:w="785" w:type="pct"/>
                  <w:shd w:val="clear" w:color="auto" w:fill="auto"/>
                  <w:noWrap w:val="0"/>
                  <w:vAlign w:val="center"/>
                </w:tcPr>
                <w:p w14:paraId="01BC4924">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900-099-S07</w:t>
                  </w:r>
                </w:p>
              </w:tc>
              <w:tc>
                <w:tcPr>
                  <w:tcW w:w="724" w:type="pct"/>
                  <w:shd w:val="clear" w:color="auto" w:fill="auto"/>
                  <w:noWrap w:val="0"/>
                  <w:vAlign w:val="center"/>
                </w:tcPr>
                <w:p w14:paraId="19DC1B58">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w:t>
                  </w:r>
                </w:p>
              </w:tc>
              <w:tc>
                <w:tcPr>
                  <w:tcW w:w="545" w:type="pct"/>
                  <w:shd w:val="clear" w:color="auto" w:fill="auto"/>
                  <w:noWrap w:val="0"/>
                  <w:vAlign w:val="center"/>
                </w:tcPr>
                <w:p w14:paraId="450E7053">
                  <w:pPr>
                    <w:pStyle w:val="96"/>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3.25</w:t>
                  </w:r>
                </w:p>
              </w:tc>
              <w:tc>
                <w:tcPr>
                  <w:tcW w:w="377" w:type="pct"/>
                  <w:vMerge w:val="continue"/>
                  <w:shd w:val="clear" w:color="auto" w:fill="auto"/>
                  <w:noWrap w:val="0"/>
                  <w:vAlign w:val="center"/>
                </w:tcPr>
                <w:p w14:paraId="23A622CC">
                  <w:pPr>
                    <w:pStyle w:val="96"/>
                    <w:rPr>
                      <w:rFonts w:hint="default" w:ascii="Times New Roman" w:hAnsi="Times New Roman" w:eastAsia="宋体" w:cs="Times New Roman"/>
                      <w:color w:val="auto"/>
                      <w:kern w:val="2"/>
                      <w:sz w:val="18"/>
                      <w:szCs w:val="18"/>
                      <w:highlight w:val="none"/>
                      <w:lang w:val="en-US" w:eastAsia="zh-CN" w:bidi="ar-SA"/>
                    </w:rPr>
                  </w:pPr>
                </w:p>
              </w:tc>
              <w:tc>
                <w:tcPr>
                  <w:tcW w:w="842" w:type="dxa"/>
                  <w:shd w:val="clear" w:color="auto" w:fill="auto"/>
                  <w:noWrap w:val="0"/>
                  <w:vAlign w:val="center"/>
                </w:tcPr>
                <w:p w14:paraId="5DF10A6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3.25</w:t>
                  </w:r>
                </w:p>
              </w:tc>
              <w:tc>
                <w:tcPr>
                  <w:tcW w:w="967" w:type="pct"/>
                  <w:shd w:val="clear" w:color="auto" w:fill="auto"/>
                  <w:noWrap w:val="0"/>
                  <w:vAlign w:val="center"/>
                </w:tcPr>
                <w:p w14:paraId="49CECC85">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外售综合利用</w:t>
                  </w:r>
                </w:p>
              </w:tc>
            </w:tr>
            <w:tr w14:paraId="46974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shd w:val="clear" w:color="auto" w:fill="auto"/>
                  <w:noWrap w:val="0"/>
                  <w:vAlign w:val="center"/>
                </w:tcPr>
                <w:p w14:paraId="548220DE">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办公区</w:t>
                  </w:r>
                </w:p>
              </w:tc>
              <w:tc>
                <w:tcPr>
                  <w:tcW w:w="663" w:type="pct"/>
                  <w:shd w:val="clear" w:color="auto" w:fill="auto"/>
                  <w:noWrap w:val="0"/>
                  <w:vAlign w:val="center"/>
                </w:tcPr>
                <w:p w14:paraId="42C7E545">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生活垃圾</w:t>
                  </w:r>
                </w:p>
              </w:tc>
              <w:tc>
                <w:tcPr>
                  <w:tcW w:w="785" w:type="pct"/>
                  <w:shd w:val="clear" w:color="auto" w:fill="auto"/>
                  <w:noWrap w:val="0"/>
                  <w:vAlign w:val="center"/>
                </w:tcPr>
                <w:p w14:paraId="355448BE">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724" w:type="pct"/>
                  <w:shd w:val="clear" w:color="auto" w:fill="auto"/>
                  <w:noWrap w:val="0"/>
                  <w:vAlign w:val="center"/>
                </w:tcPr>
                <w:p w14:paraId="47A532F3">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生活垃圾</w:t>
                  </w:r>
                </w:p>
              </w:tc>
              <w:tc>
                <w:tcPr>
                  <w:tcW w:w="545" w:type="pct"/>
                  <w:shd w:val="clear" w:color="auto" w:fill="auto"/>
                  <w:noWrap w:val="0"/>
                  <w:vAlign w:val="center"/>
                </w:tcPr>
                <w:p w14:paraId="41D76CF3">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1.19</w:t>
                  </w:r>
                </w:p>
              </w:tc>
              <w:tc>
                <w:tcPr>
                  <w:tcW w:w="377" w:type="pct"/>
                  <w:shd w:val="clear" w:color="auto" w:fill="auto"/>
                  <w:noWrap w:val="0"/>
                  <w:vAlign w:val="center"/>
                </w:tcPr>
                <w:p w14:paraId="22781266">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清运</w:t>
                  </w:r>
                </w:p>
              </w:tc>
              <w:tc>
                <w:tcPr>
                  <w:tcW w:w="842" w:type="dxa"/>
                  <w:shd w:val="clear" w:color="auto" w:fill="auto"/>
                  <w:noWrap w:val="0"/>
                  <w:vAlign w:val="center"/>
                </w:tcPr>
                <w:p w14:paraId="740D5EFD">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1.19</w:t>
                  </w:r>
                </w:p>
              </w:tc>
              <w:tc>
                <w:tcPr>
                  <w:tcW w:w="967" w:type="pct"/>
                  <w:shd w:val="clear" w:color="auto" w:fill="auto"/>
                  <w:noWrap w:val="0"/>
                  <w:vAlign w:val="center"/>
                </w:tcPr>
                <w:p w14:paraId="3999449C">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环卫部门统一处置</w:t>
                  </w:r>
                </w:p>
              </w:tc>
            </w:tr>
          </w:tbl>
          <w:p w14:paraId="28837FB8">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bCs/>
                <w:color w:val="auto"/>
                <w:kern w:val="0"/>
                <w:sz w:val="24"/>
              </w:rPr>
              <w:t>4.</w:t>
            </w:r>
            <w:r>
              <w:rPr>
                <w:rFonts w:hint="default" w:ascii="Times New Roman" w:hAnsi="Times New Roman" w:eastAsia="宋体" w:cs="Times New Roman"/>
                <w:b/>
                <w:bCs/>
                <w:color w:val="auto"/>
                <w:kern w:val="0"/>
                <w:sz w:val="24"/>
                <w:lang w:val="en-US" w:eastAsia="zh-CN"/>
              </w:rPr>
              <w:t>5.2</w:t>
            </w:r>
            <w:r>
              <w:rPr>
                <w:rFonts w:hint="default" w:ascii="Times New Roman" w:hAnsi="Times New Roman" w:eastAsia="宋体" w:cs="Times New Roman"/>
                <w:b/>
                <w:bCs/>
                <w:color w:val="auto"/>
                <w:kern w:val="0"/>
                <w:sz w:val="24"/>
              </w:rPr>
              <w:t xml:space="preserve"> </w:t>
            </w:r>
            <w:r>
              <w:rPr>
                <w:rFonts w:hint="default" w:ascii="Times New Roman" w:hAnsi="Times New Roman" w:eastAsia="宋体" w:cs="Times New Roman"/>
                <w:b/>
                <w:color w:val="auto"/>
                <w:sz w:val="24"/>
              </w:rPr>
              <w:t>固体废物管理要求</w:t>
            </w:r>
          </w:p>
          <w:p w14:paraId="133093BC">
            <w:pPr>
              <w:pStyle w:val="111"/>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zh-CN"/>
              </w:rPr>
              <w:t>项目</w:t>
            </w:r>
            <w:r>
              <w:rPr>
                <w:rFonts w:hint="eastAsia" w:cs="Times New Roman"/>
                <w:color w:val="auto"/>
                <w:lang w:val="en-US" w:eastAsia="zh-CN"/>
              </w:rPr>
              <w:t>拟</w:t>
            </w:r>
            <w:r>
              <w:rPr>
                <w:rFonts w:hint="default" w:ascii="Times New Roman" w:hAnsi="Times New Roman" w:eastAsia="宋体" w:cs="Times New Roman"/>
                <w:color w:val="auto"/>
                <w:lang w:val="zh-CN"/>
              </w:rPr>
              <w:t>规范化设置一般工业固废暂存间</w:t>
            </w:r>
            <w:r>
              <w:rPr>
                <w:rFonts w:hint="eastAsia" w:cs="Times New Roman"/>
                <w:color w:val="auto"/>
                <w:lang w:val="zh-CN"/>
              </w:rPr>
              <w:t>（</w:t>
            </w:r>
            <w:r>
              <w:rPr>
                <w:rFonts w:hint="eastAsia" w:cs="Times New Roman"/>
                <w:color w:val="auto"/>
                <w:lang w:val="en-US" w:eastAsia="zh-CN"/>
              </w:rPr>
              <w:t>面积15m</w:t>
            </w:r>
            <w:r>
              <w:rPr>
                <w:rFonts w:hint="eastAsia" w:cs="Times New Roman"/>
                <w:color w:val="auto"/>
                <w:vertAlign w:val="superscript"/>
                <w:lang w:val="en-US" w:eastAsia="zh-CN"/>
              </w:rPr>
              <w:t>2</w:t>
            </w:r>
            <w:r>
              <w:rPr>
                <w:rFonts w:hint="eastAsia" w:cs="Times New Roman"/>
                <w:color w:val="auto"/>
                <w:lang w:val="zh-CN"/>
              </w:rPr>
              <w:t>）</w:t>
            </w:r>
            <w:r>
              <w:rPr>
                <w:rFonts w:hint="default" w:ascii="Times New Roman" w:hAnsi="Times New Roman" w:eastAsia="宋体" w:cs="Times New Roman"/>
                <w:color w:val="auto"/>
                <w:lang w:val="zh-CN"/>
              </w:rPr>
              <w:t>，按照《一般工业固体废物贮存和填埋污染控制标准》(GB18599-2020)进行防渗处理，设计采用地而硬化及环树脂等防渗结构，并设置导流沟和液体收集装置。废</w:t>
            </w:r>
            <w:r>
              <w:rPr>
                <w:rFonts w:hint="eastAsia" w:cs="Times New Roman"/>
                <w:color w:val="auto"/>
                <w:lang w:val="en-US" w:eastAsia="zh-CN"/>
              </w:rPr>
              <w:t>包装材料</w:t>
            </w:r>
            <w:r>
              <w:rPr>
                <w:rFonts w:hint="default" w:ascii="Times New Roman" w:hAnsi="Times New Roman" w:eastAsia="宋体" w:cs="Times New Roman"/>
                <w:color w:val="auto"/>
                <w:lang w:val="zh-CN"/>
              </w:rPr>
              <w:t>、</w:t>
            </w:r>
            <w:r>
              <w:rPr>
                <w:rFonts w:hint="eastAsia" w:cs="Times New Roman"/>
                <w:color w:val="auto"/>
                <w:lang w:val="en-US" w:eastAsia="zh-CN"/>
              </w:rPr>
              <w:t>沉</w:t>
            </w:r>
            <w:r>
              <w:rPr>
                <w:rFonts w:hint="default" w:ascii="Times New Roman" w:hAnsi="Times New Roman" w:eastAsia="宋体" w:cs="Times New Roman"/>
                <w:color w:val="auto"/>
                <w:lang w:val="zh-CN"/>
              </w:rPr>
              <w:t>渣、</w:t>
            </w:r>
            <w:r>
              <w:rPr>
                <w:rFonts w:hint="eastAsia" w:cs="Times New Roman"/>
                <w:color w:val="auto"/>
                <w:lang w:val="en-US" w:eastAsia="zh-CN"/>
              </w:rPr>
              <w:t>废纸浆纸屑、</w:t>
            </w:r>
            <w:r>
              <w:rPr>
                <w:rFonts w:hint="default" w:ascii="Times New Roman" w:hAnsi="Times New Roman" w:eastAsia="宋体" w:cs="Times New Roman"/>
                <w:color w:val="auto"/>
                <w:lang w:val="zh-CN"/>
              </w:rPr>
              <w:t>污泥集中收集暂存于一般工业固废暂存间。采取以上防治措施后，可以有效防止固体废物污染土壤，防止雨水冲刷确保污染物不扩散，将对厂区及运输道路周围土壤的污染降至最低。</w:t>
            </w:r>
          </w:p>
          <w:p w14:paraId="79F91893">
            <w:pPr>
              <w:pStyle w:val="111"/>
              <w:adjustRightInd w:val="0"/>
              <w:snapToGrid w:val="0"/>
              <w:spacing w:line="360" w:lineRule="auto"/>
              <w:ind w:firstLine="480"/>
              <w:rPr>
                <w:rFonts w:hint="default" w:ascii="Times New Roman" w:hAnsi="Times New Roman" w:eastAsia="宋体" w:cs="Times New Roman"/>
                <w:color w:val="auto"/>
              </w:rPr>
            </w:pPr>
            <w:r>
              <w:rPr>
                <w:rFonts w:hint="eastAsia"/>
                <w:color w:val="auto"/>
                <w:sz w:val="24"/>
                <w:szCs w:val="21"/>
                <w:lang w:val="en-US" w:eastAsia="zh-CN"/>
              </w:rPr>
              <w:t>根据分析核算，本项目年产生一般工业固体废物129.78t，每月委托清运处置一次，即厂内最大贮存量为10.815t，经核算项目至少需要11m</w:t>
            </w:r>
            <w:r>
              <w:rPr>
                <w:rFonts w:hint="eastAsia"/>
                <w:color w:val="auto"/>
                <w:sz w:val="24"/>
                <w:szCs w:val="21"/>
                <w:vertAlign w:val="superscript"/>
                <w:lang w:val="en-US" w:eastAsia="zh-CN"/>
              </w:rPr>
              <w:t>3</w:t>
            </w:r>
            <w:r>
              <w:rPr>
                <w:rFonts w:hint="eastAsia"/>
                <w:color w:val="auto"/>
                <w:sz w:val="24"/>
                <w:szCs w:val="21"/>
                <w:vertAlign w:val="baseline"/>
                <w:lang w:val="en-US" w:eastAsia="zh-CN"/>
              </w:rPr>
              <w:t>的一般工业固废暂存间。本</w:t>
            </w:r>
            <w:r>
              <w:rPr>
                <w:rFonts w:hint="eastAsia"/>
                <w:color w:val="auto"/>
                <w:sz w:val="24"/>
                <w:szCs w:val="21"/>
                <w:lang w:val="en-US" w:eastAsia="zh-CN"/>
              </w:rPr>
              <w:t>项目拟设置1处一般工业固废暂存间（高度为3m，有效容积为45m</w:t>
            </w:r>
            <w:r>
              <w:rPr>
                <w:rFonts w:hint="eastAsia"/>
                <w:color w:val="auto"/>
                <w:sz w:val="24"/>
                <w:szCs w:val="21"/>
                <w:vertAlign w:val="superscript"/>
                <w:lang w:val="en-US" w:eastAsia="zh-CN"/>
              </w:rPr>
              <w:t>3</w:t>
            </w:r>
            <w:r>
              <w:rPr>
                <w:rFonts w:hint="eastAsia"/>
                <w:color w:val="auto"/>
                <w:sz w:val="24"/>
                <w:szCs w:val="21"/>
                <w:lang w:val="en-US" w:eastAsia="zh-CN"/>
              </w:rPr>
              <w:t>），可以满足项目一般工业固体废物的暂存要求。</w:t>
            </w:r>
          </w:p>
          <w:p w14:paraId="1E838701">
            <w:pPr>
              <w:pStyle w:val="111"/>
              <w:adjustRightInd w:val="0"/>
              <w:snapToGrid w:val="0"/>
              <w:spacing w:line="360" w:lineRule="auto"/>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rPr>
              <w:t>根据国家《一般工业固体废物贮存和填埋污染控制标准》（GB18599-2020）的要求，一般工业固体废物的贮存和管理应做到：</w:t>
            </w:r>
          </w:p>
          <w:p w14:paraId="3C015B44">
            <w:pPr>
              <w:pStyle w:val="111"/>
              <w:adjustRightInd w:val="0"/>
              <w:snapToGrid w:val="0"/>
              <w:spacing w:line="360" w:lineRule="auto"/>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rPr>
              <w:t>①一般工业固体废物应按Ⅰ类和Ⅱ类废物分别储存，建立分类收集房。不允许生活垃圾混入。</w:t>
            </w:r>
          </w:p>
          <w:p w14:paraId="208A7007">
            <w:pPr>
              <w:pStyle w:val="111"/>
              <w:adjustRightInd w:val="0"/>
              <w:snapToGrid w:val="0"/>
              <w:spacing w:line="360" w:lineRule="auto"/>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rPr>
              <w:t>②尽量将可利用的一般工业固体废物回收、利用。</w:t>
            </w:r>
          </w:p>
          <w:p w14:paraId="31188F14">
            <w:pPr>
              <w:pStyle w:val="111"/>
              <w:adjustRightInd w:val="0"/>
              <w:snapToGrid w:val="0"/>
              <w:spacing w:line="360" w:lineRule="auto"/>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rPr>
              <w:t>③临时储存地点必须建有雨棚，不允许露天堆放，以防止雨水冲刷，雨水应通过场地四周导流渠流向雨水排放管；临时堆放场地为水泥铺设地面，以防渗漏。</w:t>
            </w:r>
          </w:p>
          <w:p w14:paraId="5F4A2437">
            <w:pPr>
              <w:pStyle w:val="111"/>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④为加强管理监督，贮存、处置场所应按《环境保护图形标志－固体废物贮存（处置）场所》（GB15562.2-1995）设置环境保护图形标志。</w:t>
            </w:r>
          </w:p>
          <w:p w14:paraId="008FFA8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Style w:val="46"/>
                <w:rFonts w:hint="default" w:ascii="Times New Roman" w:hAnsi="Times New Roman" w:eastAsia="宋体" w:cs="Times New Roman"/>
                <w:b/>
                <w:bCs/>
                <w:color w:val="auto"/>
                <w:sz w:val="28"/>
                <w:szCs w:val="28"/>
                <w:highlight w:val="none"/>
                <w:lang w:eastAsia="zh-CN"/>
              </w:rPr>
            </w:pPr>
            <w:r>
              <w:rPr>
                <w:rStyle w:val="46"/>
                <w:rFonts w:hint="default" w:ascii="Times New Roman" w:hAnsi="Times New Roman" w:eastAsia="宋体" w:cs="Times New Roman"/>
                <w:b/>
                <w:bCs/>
                <w:color w:val="auto"/>
                <w:sz w:val="28"/>
                <w:szCs w:val="28"/>
                <w:highlight w:val="none"/>
                <w:lang w:val="en-US" w:eastAsia="zh-CN"/>
              </w:rPr>
              <w:t>4.6</w:t>
            </w:r>
            <w:r>
              <w:rPr>
                <w:rStyle w:val="46"/>
                <w:rFonts w:hint="default" w:ascii="Times New Roman" w:hAnsi="Times New Roman" w:eastAsia="宋体" w:cs="Times New Roman"/>
                <w:b/>
                <w:bCs/>
                <w:color w:val="auto"/>
                <w:sz w:val="28"/>
                <w:szCs w:val="28"/>
                <w:highlight w:val="none"/>
                <w:lang w:eastAsia="zh-CN"/>
              </w:rPr>
              <w:t>地下水、土壤环境影响和保护措施</w:t>
            </w:r>
          </w:p>
          <w:p w14:paraId="172EE74A">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4.6.1 地下水、土壤环境影响分析</w:t>
            </w:r>
          </w:p>
          <w:p w14:paraId="4F15FC92">
            <w:pPr>
              <w:pStyle w:val="7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b w:val="0"/>
                <w:bCs w:val="0"/>
                <w:color w:val="auto"/>
                <w:lang w:val="en-US" w:eastAsia="zh-CN"/>
              </w:rPr>
              <w:t>地下水</w:t>
            </w:r>
            <w:r>
              <w:rPr>
                <w:rFonts w:hint="default" w:ascii="Times New Roman" w:hAnsi="Times New Roman" w:eastAsia="宋体" w:cs="Times New Roman"/>
                <w:b w:val="0"/>
                <w:bCs w:val="0"/>
                <w:color w:val="auto"/>
                <w:sz w:val="24"/>
                <w:szCs w:val="24"/>
                <w:highlight w:val="none"/>
                <w:lang w:val="en-US" w:eastAsia="zh-CN"/>
              </w:rPr>
              <w:t>环境</w:t>
            </w:r>
          </w:p>
          <w:p w14:paraId="67AE77E2">
            <w:pPr>
              <w:pStyle w:val="71"/>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项目</w:t>
            </w:r>
            <w:r>
              <w:rPr>
                <w:rFonts w:hint="default" w:ascii="Times New Roman" w:hAnsi="Times New Roman" w:cs="Times New Roman"/>
                <w:color w:val="auto"/>
                <w:lang w:val="en-US" w:eastAsia="zh-CN"/>
              </w:rPr>
              <w:t>废水</w:t>
            </w:r>
            <w:r>
              <w:rPr>
                <w:rFonts w:hint="default" w:ascii="Times New Roman" w:hAnsi="Times New Roman" w:eastAsia="宋体" w:cs="Times New Roman"/>
                <w:color w:val="auto"/>
                <w:lang w:eastAsia="zh-CN"/>
              </w:rPr>
              <w:t>经处理达标后排入市政污水管网，送往</w:t>
            </w:r>
            <w:r>
              <w:rPr>
                <w:rFonts w:hint="default" w:ascii="Times New Roman" w:hAnsi="Times New Roman" w:eastAsia="宋体" w:cs="Times New Roman"/>
                <w:color w:val="auto"/>
                <w:sz w:val="24"/>
                <w:szCs w:val="24"/>
                <w:highlight w:val="none"/>
                <w:lang w:val="en-US" w:eastAsia="zh-CN"/>
              </w:rPr>
              <w:t>江镜华侨农场污水处理厂</w:t>
            </w:r>
            <w:r>
              <w:rPr>
                <w:rFonts w:hint="default" w:ascii="Times New Roman" w:hAnsi="Times New Roman" w:eastAsia="宋体" w:cs="Times New Roman"/>
                <w:color w:val="auto"/>
                <w:shd w:val="clear" w:color="auto" w:fill="FFFFFF"/>
                <w:lang w:eastAsia="zh-CN"/>
              </w:rPr>
              <w:t>集中处理，</w:t>
            </w:r>
            <w:r>
              <w:rPr>
                <w:rFonts w:hint="default" w:ascii="Times New Roman" w:hAnsi="Times New Roman" w:eastAsia="宋体" w:cs="Times New Roman"/>
                <w:color w:val="auto"/>
                <w:spacing w:val="0"/>
                <w:sz w:val="24"/>
                <w:szCs w:val="24"/>
                <w:lang w:eastAsia="zh-CN"/>
              </w:rPr>
              <w:t>项目废水不含有毒有害污染物，不含重金属等污染物，废水</w:t>
            </w:r>
            <w:r>
              <w:rPr>
                <w:rFonts w:hint="default" w:ascii="Times New Roman" w:hAnsi="Times New Roman" w:eastAsia="宋体" w:cs="Times New Roman"/>
                <w:color w:val="auto"/>
                <w:spacing w:val="0"/>
                <w:sz w:val="24"/>
                <w:szCs w:val="24"/>
              </w:rPr>
              <w:t>不易渗漏和进入地下水。</w:t>
            </w:r>
            <w:r>
              <w:rPr>
                <w:rFonts w:hint="default" w:ascii="Times New Roman" w:hAnsi="Times New Roman" w:eastAsia="宋体" w:cs="Times New Roman"/>
                <w:color w:val="auto"/>
              </w:rPr>
              <w:t>根据现场调查，项目评价区域无饮用水水源地，</w:t>
            </w:r>
            <w:r>
              <w:rPr>
                <w:rFonts w:hint="default" w:ascii="Times New Roman" w:hAnsi="Times New Roman" w:eastAsia="宋体" w:cs="Times New Roman"/>
                <w:color w:val="auto"/>
                <w:lang w:eastAsia="zh-CN"/>
              </w:rPr>
              <w:t>区域</w:t>
            </w:r>
            <w:r>
              <w:rPr>
                <w:rFonts w:hint="default" w:ascii="Times New Roman" w:hAnsi="Times New Roman" w:eastAsia="宋体" w:cs="Times New Roman"/>
                <w:color w:val="auto"/>
              </w:rPr>
              <w:t>已全部开通自来水管网、生活用水采用自来水。</w:t>
            </w:r>
          </w:p>
          <w:p w14:paraId="2C7C9539">
            <w:pPr>
              <w:pStyle w:val="71"/>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项目一般工业固废</w:t>
            </w:r>
            <w:r>
              <w:rPr>
                <w:rFonts w:hint="default" w:ascii="Times New Roman" w:hAnsi="Times New Roman" w:eastAsia="宋体" w:cs="Times New Roman"/>
                <w:color w:val="auto"/>
                <w:spacing w:val="0"/>
                <w:sz w:val="24"/>
                <w:szCs w:val="24"/>
              </w:rPr>
              <w:t>暂存</w:t>
            </w:r>
            <w:r>
              <w:rPr>
                <w:rFonts w:hint="default" w:ascii="Times New Roman" w:hAnsi="Times New Roman" w:eastAsia="宋体" w:cs="Times New Roman"/>
                <w:color w:val="auto"/>
                <w:spacing w:val="0"/>
                <w:sz w:val="24"/>
                <w:szCs w:val="24"/>
                <w:lang w:eastAsia="zh-CN"/>
              </w:rPr>
              <w:t>场所严格按照一般工业固体废物贮存和填埋污染控制标准(GB18599-2020)</w:t>
            </w:r>
            <w:r>
              <w:rPr>
                <w:rFonts w:hint="default" w:ascii="Times New Roman" w:hAnsi="Times New Roman" w:eastAsia="宋体" w:cs="Times New Roman"/>
                <w:color w:val="auto"/>
                <w:spacing w:val="0"/>
                <w:sz w:val="24"/>
                <w:szCs w:val="24"/>
              </w:rPr>
              <w:t>中固废临时贮存场所的要求进行建设，具备防风、防雨、防晒、防渗漏等要求。在正常工况，不会对评价区地下水产生明显影响，其影响程度是可接受的。</w:t>
            </w:r>
          </w:p>
          <w:p w14:paraId="6C7FEADE">
            <w:pPr>
              <w:pStyle w:val="71"/>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z w:val="24"/>
                <w:szCs w:val="24"/>
                <w:highlight w:val="none"/>
                <w:lang w:eastAsia="zh-CN"/>
              </w:rPr>
              <w:t>综上所述，</w:t>
            </w:r>
            <w:r>
              <w:rPr>
                <w:rFonts w:hint="default" w:ascii="Times New Roman" w:hAnsi="Times New Roman" w:eastAsia="宋体" w:cs="Times New Roman"/>
                <w:color w:val="auto"/>
                <w:spacing w:val="0"/>
                <w:sz w:val="24"/>
                <w:szCs w:val="24"/>
                <w:lang w:eastAsia="zh-CN"/>
              </w:rPr>
              <w:t>项目</w:t>
            </w:r>
            <w:r>
              <w:rPr>
                <w:rFonts w:hint="default" w:ascii="Times New Roman" w:hAnsi="Times New Roman" w:eastAsia="宋体" w:cs="Times New Roman"/>
                <w:color w:val="auto"/>
                <w:spacing w:val="0"/>
                <w:sz w:val="24"/>
                <w:szCs w:val="24"/>
              </w:rPr>
              <w:t>在正常运行工况下，项目对地下水影响不大。但公司应加强管理，杜绝防渗层破裂等事故影响。</w:t>
            </w:r>
          </w:p>
          <w:p w14:paraId="66492FB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(2)土壤环境</w:t>
            </w:r>
          </w:p>
          <w:p w14:paraId="37C28024">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根据土壤污染物的来源不同，可将土壤污染分为废水污染型、废气污染型、固体废物污染型、农业污染型和生物污染型。该项目土壤污染将以废</w:t>
            </w:r>
            <w:r>
              <w:rPr>
                <w:rFonts w:hint="default" w:ascii="Times New Roman" w:hAnsi="Times New Roman" w:cs="Times New Roman"/>
                <w:color w:val="auto"/>
                <w:sz w:val="24"/>
                <w:szCs w:val="24"/>
                <w:highlight w:val="none"/>
                <w:lang w:val="en-US" w:eastAsia="zh-CN"/>
              </w:rPr>
              <w:t>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固废</w:t>
            </w:r>
            <w:r>
              <w:rPr>
                <w:rFonts w:hint="default" w:ascii="Times New Roman" w:hAnsi="Times New Roman" w:eastAsia="宋体" w:cs="Times New Roman"/>
                <w:color w:val="auto"/>
                <w:sz w:val="24"/>
                <w:szCs w:val="24"/>
                <w:highlight w:val="none"/>
              </w:rPr>
              <w:t>污染型为主。项目</w:t>
            </w:r>
            <w:r>
              <w:rPr>
                <w:rFonts w:hint="default" w:ascii="Times New Roman" w:hAnsi="Times New Roman" w:cs="Times New Roman"/>
                <w:color w:val="auto"/>
                <w:sz w:val="24"/>
                <w:szCs w:val="24"/>
                <w:highlight w:val="none"/>
                <w:lang w:val="en-US" w:eastAsia="zh-CN"/>
              </w:rPr>
              <w:t>生产废水</w:t>
            </w:r>
            <w:r>
              <w:rPr>
                <w:rFonts w:hint="default" w:ascii="Times New Roman" w:hAnsi="Times New Roman" w:eastAsia="宋体" w:cs="Times New Roman"/>
                <w:color w:val="auto"/>
                <w:sz w:val="24"/>
                <w:szCs w:val="24"/>
                <w:highlight w:val="none"/>
                <w:lang w:val="en-GB" w:eastAsia="zh-CN"/>
              </w:rPr>
              <w:t>排入市政污水管网</w:t>
            </w:r>
            <w:r>
              <w:rPr>
                <w:rFonts w:hint="default" w:ascii="Times New Roman" w:hAnsi="Times New Roman" w:eastAsia="宋体" w:cs="Times New Roman"/>
                <w:color w:val="auto"/>
                <w:sz w:val="24"/>
                <w:szCs w:val="24"/>
                <w:highlight w:val="none"/>
                <w:lang w:eastAsia="zh-CN"/>
              </w:rPr>
              <w:t>。正常情况下，项目运营期废水对土壤环境的影响不大。</w:t>
            </w:r>
          </w:p>
          <w:p w14:paraId="7F8F709D">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综上所述，</w:t>
            </w:r>
            <w:r>
              <w:rPr>
                <w:rFonts w:hint="default" w:ascii="Times New Roman" w:hAnsi="Times New Roman" w:eastAsia="宋体" w:cs="Times New Roman"/>
                <w:color w:val="auto"/>
                <w:spacing w:val="0"/>
                <w:sz w:val="24"/>
                <w:szCs w:val="24"/>
                <w:lang w:eastAsia="zh-CN"/>
              </w:rPr>
              <w:t>项目</w:t>
            </w:r>
            <w:r>
              <w:rPr>
                <w:rFonts w:hint="default" w:ascii="Times New Roman" w:hAnsi="Times New Roman" w:eastAsia="宋体" w:cs="Times New Roman"/>
                <w:color w:val="auto"/>
                <w:spacing w:val="0"/>
                <w:sz w:val="24"/>
                <w:szCs w:val="24"/>
              </w:rPr>
              <w:t>在正常运行工况下，项目对</w:t>
            </w:r>
            <w:r>
              <w:rPr>
                <w:rFonts w:hint="default" w:ascii="Times New Roman" w:hAnsi="Times New Roman" w:eastAsia="宋体" w:cs="Times New Roman"/>
                <w:color w:val="auto"/>
                <w:spacing w:val="0"/>
                <w:sz w:val="24"/>
                <w:szCs w:val="24"/>
                <w:lang w:eastAsia="zh-CN"/>
              </w:rPr>
              <w:t>土壤环境</w:t>
            </w:r>
            <w:r>
              <w:rPr>
                <w:rFonts w:hint="default" w:ascii="Times New Roman" w:hAnsi="Times New Roman" w:eastAsia="宋体" w:cs="Times New Roman"/>
                <w:color w:val="auto"/>
                <w:spacing w:val="0"/>
                <w:sz w:val="24"/>
                <w:szCs w:val="24"/>
              </w:rPr>
              <w:t>影响不大</w:t>
            </w:r>
            <w:r>
              <w:rPr>
                <w:rFonts w:hint="default" w:ascii="Times New Roman" w:hAnsi="Times New Roman" w:eastAsia="宋体" w:cs="Times New Roman"/>
                <w:color w:val="auto"/>
                <w:spacing w:val="0"/>
                <w:sz w:val="24"/>
                <w:szCs w:val="24"/>
                <w:lang w:eastAsia="zh-CN"/>
              </w:rPr>
              <w:t>，建设单位应</w:t>
            </w:r>
            <w:r>
              <w:rPr>
                <w:rFonts w:hint="default" w:ascii="Times New Roman" w:hAnsi="Times New Roman" w:eastAsia="宋体" w:cs="Times New Roman"/>
                <w:color w:val="auto"/>
                <w:sz w:val="24"/>
                <w:szCs w:val="24"/>
                <w:highlight w:val="none"/>
              </w:rPr>
              <w:t>加强污染源控制和土壤污染防治，防止排放事故出现，则对该区域土壤环境影响总体不大，是可以接受的。</w:t>
            </w:r>
          </w:p>
          <w:p w14:paraId="3BD487EA">
            <w:p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4.6.2地下水、土壤环境防控措施</w:t>
            </w:r>
          </w:p>
          <w:p w14:paraId="6654EEA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(1)防渗措施</w:t>
            </w:r>
          </w:p>
          <w:p w14:paraId="30B0B91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①合理进行防渗区域划分</w:t>
            </w:r>
          </w:p>
          <w:p w14:paraId="03C3107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根据本项目厂区可能泄漏至地面区域污染物的性质和生产单元的构筑方式，将厂区划分为重点污染防治区、一般污染防治区，针对不同的区域提出相应的防渗要求。结合项目的特点，项目防渗防治分区见表4.5-1。</w:t>
            </w:r>
          </w:p>
          <w:p w14:paraId="7B1E1F68">
            <w:pPr>
              <w:pStyle w:val="78"/>
              <w:spacing w:before="120"/>
              <w:rPr>
                <w:rFonts w:hint="default" w:ascii="Times New Roman" w:hAnsi="Times New Roman" w:eastAsia="宋体" w:cs="Times New Roman"/>
                <w:color w:val="auto"/>
                <w:sz w:val="24"/>
                <w:highlight w:val="none"/>
              </w:rPr>
            </w:pPr>
            <w:r>
              <w:rPr>
                <w:rFonts w:hint="default" w:ascii="Times New Roman" w:hAnsi="Times New Roman" w:eastAsia="黑体" w:cs="Times New Roman"/>
                <w:color w:val="auto"/>
                <w:sz w:val="24"/>
                <w:highlight w:val="none"/>
              </w:rPr>
              <w:t>表</w:t>
            </w:r>
            <w:r>
              <w:rPr>
                <w:rFonts w:hint="default" w:ascii="Times New Roman" w:hAnsi="Times New Roman" w:eastAsia="黑体" w:cs="Times New Roman"/>
                <w:color w:val="auto"/>
                <w:sz w:val="24"/>
                <w:highlight w:val="none"/>
                <w:lang w:val="en-US" w:eastAsia="zh-CN"/>
              </w:rPr>
              <w:t xml:space="preserve">4.5-1 </w:t>
            </w:r>
            <w:r>
              <w:rPr>
                <w:rFonts w:hint="default" w:ascii="Times New Roman" w:hAnsi="Times New Roman" w:eastAsia="黑体" w:cs="Times New Roman"/>
                <w:color w:val="auto"/>
                <w:sz w:val="24"/>
                <w:highlight w:val="none"/>
              </w:rPr>
              <w:t xml:space="preserve"> </w:t>
            </w:r>
            <w:r>
              <w:rPr>
                <w:rFonts w:hint="default" w:ascii="Times New Roman" w:hAnsi="Times New Roman" w:eastAsia="黑体" w:cs="Times New Roman"/>
                <w:color w:val="auto"/>
                <w:sz w:val="24"/>
                <w:highlight w:val="none"/>
                <w:lang w:eastAsia="zh-CN"/>
              </w:rPr>
              <w:t>土壤</w:t>
            </w:r>
            <w:r>
              <w:rPr>
                <w:rFonts w:hint="default" w:ascii="Times New Roman" w:hAnsi="Times New Roman" w:eastAsia="黑体" w:cs="Times New Roman"/>
                <w:color w:val="auto"/>
                <w:sz w:val="24"/>
                <w:highlight w:val="none"/>
              </w:rPr>
              <w:t>污染防治分区一览表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43"/>
              <w:gridCol w:w="1007"/>
              <w:gridCol w:w="3560"/>
              <w:gridCol w:w="1533"/>
            </w:tblGrid>
            <w:tr w14:paraId="70AADA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4" w:type="pct"/>
                  <w:tcBorders>
                    <w:top w:val="single" w:color="auto" w:sz="12" w:space="0"/>
                  </w:tcBorders>
                  <w:noWrap w:val="0"/>
                  <w:vAlign w:val="center"/>
                </w:tcPr>
                <w:p w14:paraId="696306E3">
                  <w:pPr>
                    <w:pStyle w:val="90"/>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防治分区</w:t>
                  </w:r>
                </w:p>
              </w:tc>
              <w:tc>
                <w:tcPr>
                  <w:tcW w:w="603" w:type="pct"/>
                  <w:tcBorders>
                    <w:top w:val="single" w:color="auto" w:sz="12" w:space="0"/>
                  </w:tcBorders>
                  <w:noWrap w:val="0"/>
                  <w:vAlign w:val="center"/>
                </w:tcPr>
                <w:p w14:paraId="6DB586ED">
                  <w:pPr>
                    <w:pStyle w:val="90"/>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132" w:type="pct"/>
                  <w:tcBorders>
                    <w:top w:val="single" w:color="auto" w:sz="12" w:space="0"/>
                  </w:tcBorders>
                  <w:noWrap w:val="0"/>
                  <w:vAlign w:val="center"/>
                </w:tcPr>
                <w:p w14:paraId="7DBC93E3">
                  <w:pPr>
                    <w:pStyle w:val="90"/>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装置或者构筑物名称</w:t>
                  </w:r>
                </w:p>
              </w:tc>
              <w:tc>
                <w:tcPr>
                  <w:tcW w:w="918" w:type="pct"/>
                  <w:tcBorders>
                    <w:top w:val="single" w:color="auto" w:sz="12" w:space="0"/>
                  </w:tcBorders>
                  <w:noWrap w:val="0"/>
                  <w:vAlign w:val="center"/>
                </w:tcPr>
                <w:p w14:paraId="65177CDE">
                  <w:pPr>
                    <w:pStyle w:val="90"/>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防渗区域</w:t>
                  </w:r>
                </w:p>
              </w:tc>
            </w:tr>
            <w:tr w14:paraId="379866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4" w:type="pct"/>
                  <w:noWrap w:val="0"/>
                  <w:vAlign w:val="center"/>
                </w:tcPr>
                <w:p w14:paraId="481AD071">
                  <w:pPr>
                    <w:pStyle w:val="90"/>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重点污染防治区</w:t>
                  </w:r>
                </w:p>
              </w:tc>
              <w:tc>
                <w:tcPr>
                  <w:tcW w:w="603" w:type="pct"/>
                  <w:noWrap w:val="0"/>
                  <w:vAlign w:val="center"/>
                </w:tcPr>
                <w:p w14:paraId="75BAA953">
                  <w:pPr>
                    <w:pStyle w:val="90"/>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132" w:type="pct"/>
                  <w:noWrap w:val="0"/>
                  <w:vAlign w:val="center"/>
                </w:tcPr>
                <w:p w14:paraId="539F32B3">
                  <w:pPr>
                    <w:pStyle w:val="90"/>
                    <w:spacing w:line="3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污水处理设施</w:t>
                  </w:r>
                </w:p>
              </w:tc>
              <w:tc>
                <w:tcPr>
                  <w:tcW w:w="918" w:type="pct"/>
                  <w:noWrap w:val="0"/>
                  <w:vAlign w:val="center"/>
                </w:tcPr>
                <w:p w14:paraId="1740C646">
                  <w:pPr>
                    <w:pStyle w:val="90"/>
                    <w:spacing w:line="340" w:lineRule="exact"/>
                    <w:jc w:val="center"/>
                    <w:rPr>
                      <w:rFonts w:hint="default" w:ascii="Times New Roman" w:hAnsi="Times New Roman" w:eastAsia="宋体" w:cs="Times New Roman"/>
                      <w:color w:val="auto"/>
                      <w:kern w:val="0"/>
                      <w:sz w:val="21"/>
                      <w:szCs w:val="21"/>
                      <w:highlight w:val="none"/>
                      <w:lang w:val="en-US" w:eastAsia="zh-CN" w:bidi="he-IL"/>
                    </w:rPr>
                  </w:pPr>
                  <w:r>
                    <w:rPr>
                      <w:rFonts w:hint="default" w:ascii="Times New Roman" w:hAnsi="Times New Roman" w:eastAsia="宋体" w:cs="Times New Roman"/>
                      <w:color w:val="auto"/>
                      <w:sz w:val="21"/>
                      <w:szCs w:val="21"/>
                      <w:highlight w:val="none"/>
                    </w:rPr>
                    <w:t>地面</w:t>
                  </w:r>
                </w:p>
              </w:tc>
            </w:tr>
            <w:tr w14:paraId="16D682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4" w:type="pct"/>
                  <w:tcBorders>
                    <w:bottom w:val="single" w:color="auto" w:sz="12" w:space="0"/>
                  </w:tcBorders>
                  <w:noWrap w:val="0"/>
                  <w:vAlign w:val="center"/>
                </w:tcPr>
                <w:p w14:paraId="7EC6E4BA">
                  <w:pPr>
                    <w:pStyle w:val="90"/>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一般污染防治区</w:t>
                  </w:r>
                </w:p>
              </w:tc>
              <w:tc>
                <w:tcPr>
                  <w:tcW w:w="603" w:type="pct"/>
                  <w:tcBorders>
                    <w:bottom w:val="single" w:color="auto" w:sz="12" w:space="0"/>
                  </w:tcBorders>
                  <w:noWrap w:val="0"/>
                  <w:vAlign w:val="center"/>
                </w:tcPr>
                <w:p w14:paraId="78B58638">
                  <w:pPr>
                    <w:pStyle w:val="90"/>
                    <w:spacing w:line="340" w:lineRule="exac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2132" w:type="pct"/>
                  <w:tcBorders>
                    <w:bottom w:val="single" w:color="auto" w:sz="12" w:space="0"/>
                  </w:tcBorders>
                  <w:noWrap w:val="0"/>
                  <w:vAlign w:val="center"/>
                </w:tcPr>
                <w:p w14:paraId="651434B6">
                  <w:pPr>
                    <w:pStyle w:val="90"/>
                    <w:spacing w:line="3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一般工业固废间、项目生产车间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原料及成品堆放区</w:t>
                  </w:r>
                </w:p>
              </w:tc>
              <w:tc>
                <w:tcPr>
                  <w:tcW w:w="918" w:type="pct"/>
                  <w:tcBorders>
                    <w:bottom w:val="single" w:color="auto" w:sz="12" w:space="0"/>
                  </w:tcBorders>
                  <w:noWrap w:val="0"/>
                  <w:vAlign w:val="center"/>
                </w:tcPr>
                <w:p w14:paraId="3BE1FF4F">
                  <w:pPr>
                    <w:pStyle w:val="90"/>
                    <w:spacing w:line="3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w:t>
                  </w:r>
                </w:p>
              </w:tc>
            </w:tr>
          </w:tbl>
          <w:p w14:paraId="5A76BB1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eastAsia="zh-CN"/>
              </w:rPr>
              <w:t>防渗要求</w:t>
            </w:r>
          </w:p>
          <w:p w14:paraId="11BFE205">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rPr>
              <w:t>重点污染区防渗要求：根据《环境影响评价技术导则地下水环境》</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HJ610-2016</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的要求，重点防治区的防渗性能应等效黏土防渗层≥6.0m，渗透系数≤1.0×10</w:t>
            </w:r>
            <w:r>
              <w:rPr>
                <w:rFonts w:hint="default" w:ascii="Times New Roman" w:hAnsi="Times New Roman" w:eastAsia="宋体" w:cs="Times New Roman"/>
                <w:color w:val="auto"/>
                <w:kern w:val="0"/>
                <w:sz w:val="24"/>
                <w:szCs w:val="24"/>
                <w:vertAlign w:val="superscript"/>
              </w:rPr>
              <w:t>-7</w:t>
            </w:r>
            <w:r>
              <w:rPr>
                <w:rFonts w:hint="default" w:ascii="Times New Roman" w:hAnsi="Times New Roman" w:eastAsia="宋体" w:cs="Times New Roman"/>
                <w:color w:val="auto"/>
                <w:kern w:val="0"/>
                <w:sz w:val="24"/>
                <w:szCs w:val="24"/>
              </w:rPr>
              <w:t>cm/s。重点防渗区应按照《危险废物污染防治技术政策》</w:t>
            </w:r>
            <w:r>
              <w:rPr>
                <w:rFonts w:hint="default" w:ascii="Times New Roman" w:hAnsi="Times New Roman" w:eastAsia="宋体" w:cs="Times New Roman"/>
                <w:color w:val="auto"/>
                <w:kern w:val="0"/>
                <w:sz w:val="24"/>
                <w:szCs w:val="24"/>
                <w:lang w:eastAsia="zh-CN"/>
              </w:rPr>
              <w:t>及</w:t>
            </w:r>
            <w:r>
              <w:rPr>
                <w:rFonts w:hint="default" w:ascii="Times New Roman" w:hAnsi="Times New Roman" w:eastAsia="宋体" w:cs="Times New Roman"/>
                <w:color w:val="auto"/>
                <w:sz w:val="24"/>
                <w:szCs w:val="24"/>
                <w:lang w:eastAsia="zh-CN"/>
              </w:rPr>
              <w:t>《危险废物贮存污染控制标准》(GB18597-2023)</w:t>
            </w:r>
            <w:r>
              <w:rPr>
                <w:rFonts w:hint="default" w:ascii="Times New Roman" w:hAnsi="Times New Roman" w:eastAsia="宋体" w:cs="Times New Roman"/>
                <w:color w:val="auto"/>
                <w:kern w:val="0"/>
                <w:sz w:val="24"/>
                <w:szCs w:val="24"/>
              </w:rPr>
              <w:t>等危险废物处理的相关标准、法律法规的要求</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一般污染区防渗要求：根据《环境影响评价技术导则地下水环境》</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HJ610-2016</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，一般防渗区的防渗性能等效黏土防渗层≥1.5m，渗透系数≤1.0×10</w:t>
            </w:r>
            <w:r>
              <w:rPr>
                <w:rFonts w:hint="default" w:ascii="Times New Roman" w:hAnsi="Times New Roman" w:eastAsia="宋体" w:cs="Times New Roman"/>
                <w:color w:val="auto"/>
                <w:kern w:val="0"/>
                <w:sz w:val="24"/>
                <w:szCs w:val="24"/>
                <w:vertAlign w:val="superscript"/>
              </w:rPr>
              <w:t>-7</w:t>
            </w:r>
            <w:r>
              <w:rPr>
                <w:rFonts w:hint="default" w:ascii="Times New Roman" w:hAnsi="Times New Roman" w:eastAsia="宋体" w:cs="Times New Roman"/>
                <w:color w:val="auto"/>
                <w:kern w:val="0"/>
                <w:sz w:val="24"/>
                <w:szCs w:val="24"/>
              </w:rPr>
              <w:t>cm/s。一般工业固体废物暂存场一般防渗区应按照</w:t>
            </w:r>
            <w:r>
              <w:rPr>
                <w:rFonts w:hint="default" w:ascii="Times New Roman" w:hAnsi="Times New Roman" w:eastAsia="宋体" w:cs="Times New Roman"/>
                <w:color w:val="auto"/>
                <w:spacing w:val="0"/>
                <w:position w:val="0"/>
                <w:sz w:val="24"/>
                <w:szCs w:val="24"/>
                <w:u w:val="none" w:color="auto"/>
              </w:rPr>
              <w:t>《一般工业固体废物贮存和填埋污染控制标准》</w:t>
            </w: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Times New Roman" w:cs="Times New Roman"/>
                <w:color w:val="auto"/>
                <w:spacing w:val="0"/>
                <w:position w:val="0"/>
                <w:sz w:val="24"/>
                <w:szCs w:val="24"/>
                <w:u w:val="none" w:color="auto"/>
              </w:rPr>
              <w:t>GB18599-2020</w:t>
            </w: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kern w:val="0"/>
                <w:sz w:val="24"/>
                <w:szCs w:val="24"/>
              </w:rPr>
              <w:t>进行设计</w:t>
            </w:r>
            <w:r>
              <w:rPr>
                <w:rFonts w:hint="eastAsia" w:cs="Times New Roman"/>
                <w:color w:val="auto"/>
                <w:kern w:val="0"/>
                <w:sz w:val="24"/>
                <w:szCs w:val="24"/>
                <w:lang w:val="en-US" w:eastAsia="zh-CN"/>
              </w:rPr>
              <w:t>且</w:t>
            </w:r>
            <w:r>
              <w:rPr>
                <w:rFonts w:hint="default" w:ascii="Times New Roman" w:hAnsi="Times New Roman" w:eastAsia="宋体" w:cs="Times New Roman"/>
                <w:color w:val="auto"/>
                <w:sz w:val="24"/>
                <w:szCs w:val="24"/>
                <w:highlight w:val="none"/>
              </w:rPr>
              <w:t>具有防雨、防渗、防风、防日晒的功能。</w:t>
            </w:r>
          </w:p>
          <w:p w14:paraId="6CB968AA">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(3)监控措施</w:t>
            </w:r>
          </w:p>
          <w:p w14:paraId="473712AD">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①建立健全环境管理和监测制度，保证各环保设施正常运转，同时强化风险防范意识，如遇环保设施不能正常运转，应立即停产检修。</w:t>
            </w:r>
          </w:p>
          <w:p w14:paraId="0D12B03E">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②若发生生产废水处理设施泄漏等，必要时委托有资质的单位对厂址周边地下水、土壤等进行跟踪监测，掌握厂址周边污染变化趋势。</w:t>
            </w:r>
          </w:p>
          <w:p w14:paraId="0035FE38">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在今后的生产活动中，做好设备的维护、检修，杜绝跑、冒、滴、漏现象。同时，加强污染物产生主要环节的收集治理，加强厂区的安全防护、环境风险防范措施，以便及时发现事故隐患，及时采取有效的应对措施。</w:t>
            </w:r>
          </w:p>
          <w:p w14:paraId="17A0A10B">
            <w:pPr>
              <w:spacing w:line="360" w:lineRule="auto"/>
              <w:ind w:left="0" w:leftChars="0" w:firstLine="0" w:firstLineChars="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4.6.3 跟踪监测要求</w:t>
            </w:r>
          </w:p>
          <w:p w14:paraId="06B3D282">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本项目选址于闽台（福州）蓝色经济产业园（租赁</w:t>
            </w:r>
            <w:r>
              <w:rPr>
                <w:rFonts w:hint="default" w:ascii="Times New Roman" w:hAnsi="Times New Roman" w:cs="Times New Roman"/>
                <w:color w:val="auto"/>
                <w:sz w:val="24"/>
                <w:szCs w:val="24"/>
                <w:highlight w:val="none"/>
                <w:lang w:val="en-US" w:eastAsia="zh-CN"/>
              </w:rPr>
              <w:t>福州锦佳商贸有限公司B37栋厂房（二期）</w:t>
            </w:r>
            <w:r>
              <w:rPr>
                <w:rFonts w:hint="default" w:ascii="Times New Roman" w:hAnsi="Times New Roman" w:eastAsia="宋体" w:cs="Times New Roman"/>
                <w:color w:val="auto"/>
                <w:sz w:val="24"/>
                <w:szCs w:val="24"/>
                <w:highlight w:val="none"/>
                <w:lang w:val="en-US" w:eastAsia="zh-CN"/>
              </w:rPr>
              <w:t>），周边以工业企业为主，项目周边地下水、土壤环境相对不敏感，采取有效的防渗措施后，项目对地下水、土壤环境影响很小，因此，本评价不对项目地下水、土壤环境提出跟踪监测要求。</w:t>
            </w:r>
          </w:p>
          <w:p w14:paraId="2B519D8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Style w:val="46"/>
                <w:rFonts w:hint="default" w:ascii="Times New Roman" w:hAnsi="Times New Roman" w:eastAsia="宋体" w:cs="Times New Roman"/>
                <w:b/>
                <w:bCs/>
                <w:color w:val="auto"/>
                <w:sz w:val="28"/>
                <w:szCs w:val="28"/>
                <w:highlight w:val="none"/>
                <w:lang w:eastAsia="zh-CN"/>
              </w:rPr>
            </w:pPr>
            <w:r>
              <w:rPr>
                <w:rStyle w:val="46"/>
                <w:rFonts w:hint="default" w:ascii="Times New Roman" w:hAnsi="Times New Roman" w:eastAsia="宋体" w:cs="Times New Roman"/>
                <w:b/>
                <w:bCs/>
                <w:color w:val="auto"/>
                <w:sz w:val="28"/>
                <w:szCs w:val="28"/>
                <w:highlight w:val="none"/>
                <w:lang w:val="en-US" w:eastAsia="zh-CN"/>
              </w:rPr>
              <w:t>4.7</w:t>
            </w:r>
            <w:r>
              <w:rPr>
                <w:rStyle w:val="46"/>
                <w:rFonts w:hint="default" w:ascii="Times New Roman" w:hAnsi="Times New Roman" w:eastAsia="宋体" w:cs="Times New Roman"/>
                <w:b/>
                <w:bCs/>
                <w:color w:val="auto"/>
                <w:sz w:val="28"/>
                <w:szCs w:val="28"/>
                <w:highlight w:val="none"/>
                <w:lang w:eastAsia="zh-CN"/>
              </w:rPr>
              <w:t>环境</w:t>
            </w:r>
            <w:r>
              <w:rPr>
                <w:rStyle w:val="46"/>
                <w:rFonts w:hint="default" w:ascii="Times New Roman" w:hAnsi="Times New Roman" w:cs="Times New Roman"/>
                <w:b/>
                <w:bCs/>
                <w:color w:val="auto"/>
                <w:sz w:val="28"/>
                <w:szCs w:val="28"/>
                <w:highlight w:val="none"/>
                <w:lang w:eastAsia="zh-CN"/>
              </w:rPr>
              <w:t>风险</w:t>
            </w:r>
            <w:r>
              <w:rPr>
                <w:rStyle w:val="46"/>
                <w:rFonts w:hint="default" w:ascii="Times New Roman" w:hAnsi="Times New Roman" w:eastAsia="宋体" w:cs="Times New Roman"/>
                <w:b/>
                <w:bCs/>
                <w:color w:val="auto"/>
                <w:sz w:val="28"/>
                <w:szCs w:val="28"/>
                <w:highlight w:val="none"/>
                <w:lang w:eastAsia="zh-CN"/>
              </w:rPr>
              <w:t>影响和保护措施</w:t>
            </w:r>
          </w:p>
          <w:p w14:paraId="1D34C500">
            <w:pPr>
              <w:adjustRightInd w:val="0"/>
              <w:snapToGrid w:val="0"/>
              <w:spacing w:line="360" w:lineRule="auto"/>
              <w:ind w:firstLine="480" w:firstLineChars="200"/>
              <w:rPr>
                <w:color w:val="auto"/>
                <w:sz w:val="24"/>
                <w:szCs w:val="21"/>
                <w:lang w:bidi="zh-CN"/>
              </w:rPr>
            </w:pPr>
            <w:r>
              <w:rPr>
                <w:color w:val="auto"/>
                <w:sz w:val="24"/>
                <w:szCs w:val="21"/>
                <w:lang w:bidi="zh-CN"/>
              </w:rPr>
              <w:t>本项目</w:t>
            </w:r>
            <w:r>
              <w:rPr>
                <w:color w:val="auto"/>
                <w:sz w:val="24"/>
              </w:rPr>
              <w:t>以废弃的</w:t>
            </w:r>
            <w:r>
              <w:rPr>
                <w:color w:val="auto"/>
                <w:sz w:val="24"/>
                <w:lang w:val="zh-CN" w:bidi="zh-CN"/>
              </w:rPr>
              <w:t>未被污染</w:t>
            </w:r>
            <w:r>
              <w:rPr>
                <w:color w:val="auto"/>
                <w:sz w:val="24"/>
              </w:rPr>
              <w:t>医用输液瓶（袋）</w:t>
            </w:r>
            <w:r>
              <w:rPr>
                <w:rFonts w:hint="eastAsia"/>
                <w:color w:val="auto"/>
                <w:sz w:val="24"/>
                <w:lang w:val="en-US" w:eastAsia="zh-CN"/>
              </w:rPr>
              <w:t>及生活源塑料（矿泉水瓶）</w:t>
            </w:r>
            <w:r>
              <w:rPr>
                <w:color w:val="auto"/>
                <w:sz w:val="24"/>
              </w:rPr>
              <w:t>为处置利用对象，</w:t>
            </w:r>
            <w:r>
              <w:rPr>
                <w:color w:val="auto"/>
                <w:sz w:val="24"/>
                <w:szCs w:val="21"/>
                <w:lang w:bidi="zh-CN"/>
              </w:rPr>
              <w:t>不涉及医疗废物、危险废物、危险化学品等的加工使用；经检索《建设项目环境风险评价技术导则》(HJ169-2018)附录B，项目不涉及有毒有害等危险物质。</w:t>
            </w:r>
          </w:p>
          <w:p w14:paraId="35C0D693">
            <w:pPr>
              <w:adjustRightInd w:val="0"/>
              <w:snapToGrid w:val="0"/>
              <w:spacing w:line="360" w:lineRule="auto"/>
              <w:ind w:firstLine="480" w:firstLineChars="200"/>
              <w:rPr>
                <w:rFonts w:hint="eastAsia" w:ascii="Times New Roman" w:hAnsi="Times New Roman" w:eastAsia="宋体" w:cs="Times New Roman"/>
                <w:color w:val="auto"/>
                <w:sz w:val="24"/>
                <w:szCs w:val="21"/>
                <w:lang w:val="en-US" w:eastAsia="zh-CN"/>
              </w:rPr>
            </w:pPr>
            <w:r>
              <w:rPr>
                <w:rFonts w:hint="eastAsia"/>
                <w:color w:val="auto"/>
                <w:sz w:val="24"/>
                <w:szCs w:val="21"/>
                <w:lang w:val="en-US" w:eastAsia="zh-CN"/>
              </w:rPr>
              <w:t>为避免因项目污水预处理设施故障造成未经处理的生产废水对江镜华侨农场污水处理厂造成冲击，本评价建议</w:t>
            </w:r>
            <w:r>
              <w:rPr>
                <w:rFonts w:hint="eastAsia"/>
                <w:color w:val="auto"/>
                <w:sz w:val="24"/>
                <w:szCs w:val="21"/>
              </w:rPr>
              <w:t>设置</w:t>
            </w:r>
            <w:r>
              <w:rPr>
                <w:rFonts w:hint="eastAsia"/>
                <w:color w:val="auto"/>
                <w:sz w:val="24"/>
                <w:szCs w:val="21"/>
                <w:lang w:val="en-US" w:eastAsia="zh-CN"/>
              </w:rPr>
              <w:t>1个20m</w:t>
            </w:r>
            <w:r>
              <w:rPr>
                <w:rFonts w:hint="eastAsia"/>
                <w:color w:val="auto"/>
                <w:sz w:val="24"/>
                <w:szCs w:val="21"/>
                <w:vertAlign w:val="superscript"/>
                <w:lang w:val="en-US" w:eastAsia="zh-CN"/>
              </w:rPr>
              <w:t>3</w:t>
            </w:r>
            <w:r>
              <w:rPr>
                <w:rFonts w:hint="eastAsia"/>
                <w:color w:val="auto"/>
                <w:sz w:val="24"/>
                <w:szCs w:val="21"/>
                <w:vertAlign w:val="baseline"/>
                <w:lang w:val="en-US" w:eastAsia="zh-CN"/>
              </w:rPr>
              <w:t>的</w:t>
            </w:r>
            <w:r>
              <w:rPr>
                <w:rFonts w:hint="eastAsia"/>
                <w:color w:val="auto"/>
                <w:sz w:val="24"/>
                <w:szCs w:val="21"/>
              </w:rPr>
              <w:t>事故应急水罐，</w:t>
            </w:r>
            <w:r>
              <w:rPr>
                <w:rFonts w:hint="eastAsia"/>
                <w:color w:val="auto"/>
                <w:sz w:val="24"/>
                <w:szCs w:val="21"/>
                <w:lang w:val="en-US" w:eastAsia="zh-CN"/>
              </w:rPr>
              <w:t>用于收集事故状态下废水，并通过切换阀与污水预处理设施联接，正常工况下项目污水经污水预处理设施处理达标后排入园区市政污水管网，当发生污水处理设施故障等非正常工况时，紧急开启切换阀，将未经处理的污水引至事故罐中暂存，待设施恢复正</w:t>
            </w:r>
            <w:r>
              <w:rPr>
                <w:rFonts w:hint="eastAsia" w:ascii="Times New Roman" w:hAnsi="Times New Roman" w:eastAsia="宋体" w:cs="Times New Roman"/>
                <w:color w:val="auto"/>
                <w:sz w:val="24"/>
                <w:szCs w:val="21"/>
                <w:lang w:val="en-US" w:eastAsia="zh-CN"/>
              </w:rPr>
              <w:t>常后抽回处理达标后排放。</w:t>
            </w:r>
          </w:p>
          <w:p w14:paraId="680CA527">
            <w:pPr>
              <w:adjustRightInd w:val="0"/>
              <w:snapToGrid w:val="0"/>
              <w:spacing w:line="360" w:lineRule="auto"/>
              <w:ind w:firstLine="480" w:firstLineChars="200"/>
              <w:rPr>
                <w:rFonts w:hint="default"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lang w:val="en-US" w:eastAsia="zh-CN"/>
              </w:rPr>
              <w:t>同时加强日常环境风险防控及管理，按照有关法律法规的规定，编制突发环境事件应急预案，针对项目环境风险进行评估。</w:t>
            </w:r>
          </w:p>
          <w:p w14:paraId="3E24EC7F">
            <w:pPr>
              <w:pStyle w:val="85"/>
              <w:keepNext w:val="0"/>
              <w:keepLines w:val="0"/>
              <w:pageBreakBefore w:val="0"/>
              <w:widowControl w:val="0"/>
              <w:kinsoku/>
              <w:wordWrap/>
              <w:overflowPunct/>
              <w:topLinePunct w:val="0"/>
              <w:autoSpaceDE/>
              <w:autoSpaceDN/>
              <w:bidi w:val="0"/>
              <w:adjustRightInd w:val="0"/>
              <w:snapToGrid w:val="0"/>
              <w:spacing w:before="191" w:beforeLines="50" w:line="240" w:lineRule="auto"/>
              <w:textAlignment w:val="auto"/>
              <w:outlineLvl w:val="9"/>
              <w:rPr>
                <w:rFonts w:hint="default" w:ascii="Times New Roman" w:hAnsi="Times New Roman" w:eastAsia="宋体" w:cs="Times New Roman"/>
                <w:color w:val="auto"/>
              </w:rPr>
            </w:pPr>
            <w:r>
              <w:rPr>
                <w:rFonts w:hint="eastAsia" w:ascii="黑体" w:hAnsi="黑体" w:eastAsia="黑体" w:cs="黑体"/>
                <w:b w:val="0"/>
                <w:bCs/>
                <w:color w:val="auto"/>
              </w:rPr>
              <w:t>表</w:t>
            </w:r>
            <w:r>
              <w:rPr>
                <w:rFonts w:hint="eastAsia" w:ascii="黑体" w:hAnsi="黑体" w:eastAsia="黑体" w:cs="黑体"/>
                <w:b w:val="0"/>
                <w:bCs/>
                <w:color w:val="auto"/>
                <w:lang w:val="en-US" w:eastAsia="zh-CN"/>
              </w:rPr>
              <w:t>4.</w:t>
            </w:r>
            <w:r>
              <w:rPr>
                <w:rFonts w:hint="eastAsia" w:ascii="黑体" w:hAnsi="黑体" w:cs="黑体"/>
                <w:b w:val="0"/>
                <w:bCs/>
                <w:color w:val="auto"/>
                <w:lang w:val="en-US" w:eastAsia="zh-CN"/>
              </w:rPr>
              <w:t>7</w:t>
            </w:r>
            <w:r>
              <w:rPr>
                <w:rFonts w:hint="eastAsia" w:ascii="黑体" w:hAnsi="黑体" w:eastAsia="黑体" w:cs="黑体"/>
                <w:b w:val="0"/>
                <w:bCs/>
                <w:color w:val="auto"/>
                <w:lang w:val="en-US" w:eastAsia="zh-CN"/>
              </w:rPr>
              <w:t xml:space="preserve">-1 </w:t>
            </w:r>
            <w:r>
              <w:rPr>
                <w:rFonts w:hint="eastAsia" w:ascii="黑体" w:hAnsi="黑体" w:eastAsia="黑体" w:cs="黑体"/>
                <w:b w:val="0"/>
                <w:bCs/>
                <w:color w:val="auto"/>
              </w:rPr>
              <w:t>建设项目环境风险简单分析内容表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64"/>
              <w:gridCol w:w="6782"/>
            </w:tblGrid>
            <w:tr w14:paraId="0BF95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937" w:type="pct"/>
                  <w:tcBorders>
                    <w:tl2br w:val="nil"/>
                    <w:tr2bl w:val="nil"/>
                  </w:tcBorders>
                  <w:noWrap w:val="0"/>
                  <w:vAlign w:val="center"/>
                </w:tcPr>
                <w:p w14:paraId="1623CA9A">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Style w:val="61"/>
                      <w:rFonts w:hint="default" w:ascii="Times New Roman" w:hAnsi="Times New Roman" w:eastAsia="宋体" w:cs="Times New Roman"/>
                      <w:b w:val="0"/>
                      <w:bCs/>
                      <w:color w:val="auto"/>
                      <w:spacing w:val="0"/>
                      <w:sz w:val="21"/>
                      <w:szCs w:val="24"/>
                    </w:rPr>
                  </w:pPr>
                  <w:r>
                    <w:rPr>
                      <w:rStyle w:val="61"/>
                      <w:rFonts w:hint="default" w:ascii="Times New Roman" w:hAnsi="Times New Roman" w:eastAsia="宋体" w:cs="Times New Roman"/>
                      <w:b w:val="0"/>
                      <w:bCs/>
                      <w:color w:val="auto"/>
                      <w:spacing w:val="0"/>
                      <w:sz w:val="21"/>
                      <w:szCs w:val="24"/>
                    </w:rPr>
                    <w:t>建设项目名称</w:t>
                  </w:r>
                </w:p>
              </w:tc>
              <w:tc>
                <w:tcPr>
                  <w:tcW w:w="4062" w:type="pct"/>
                  <w:tcBorders>
                    <w:tl2br w:val="nil"/>
                    <w:tr2bl w:val="nil"/>
                  </w:tcBorders>
                  <w:noWrap w:val="0"/>
                  <w:vAlign w:val="center"/>
                </w:tcPr>
                <w:p w14:paraId="5D921EAF">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Style w:val="61"/>
                      <w:rFonts w:hint="default" w:ascii="Times New Roman" w:hAnsi="Times New Roman" w:eastAsia="宋体" w:cs="Times New Roman"/>
                      <w:b/>
                      <w:color w:val="auto"/>
                      <w:spacing w:val="0"/>
                      <w:sz w:val="21"/>
                      <w:szCs w:val="24"/>
                    </w:rPr>
                  </w:pPr>
                  <w:r>
                    <w:rPr>
                      <w:rFonts w:hint="default" w:ascii="Times New Roman" w:hAnsi="Times New Roman" w:cs="Times New Roman"/>
                      <w:b w:val="0"/>
                      <w:bCs/>
                      <w:color w:val="auto"/>
                      <w:lang w:val="en-US" w:eastAsia="zh-CN"/>
                    </w:rPr>
                    <w:t>年回收加工输液瓶（袋）10400吨、年回收加工破碎生活塑料4000吨</w:t>
                  </w:r>
                  <w:r>
                    <w:rPr>
                      <w:rFonts w:hint="eastAsia" w:cs="Times New Roman"/>
                      <w:b w:val="0"/>
                      <w:bCs/>
                      <w:color w:val="auto"/>
                      <w:lang w:val="en-US" w:eastAsia="zh-CN"/>
                    </w:rPr>
                    <w:t>项目</w:t>
                  </w:r>
                </w:p>
              </w:tc>
            </w:tr>
            <w:tr w14:paraId="5C568C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7E9CBDBB">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建设项目地点</w:t>
                  </w:r>
                </w:p>
              </w:tc>
              <w:tc>
                <w:tcPr>
                  <w:tcW w:w="4062" w:type="pct"/>
                  <w:tcBorders>
                    <w:tl2br w:val="nil"/>
                    <w:tr2bl w:val="nil"/>
                  </w:tcBorders>
                  <w:noWrap w:val="0"/>
                  <w:vAlign w:val="center"/>
                </w:tcPr>
                <w:p w14:paraId="7F61E876">
                  <w:pPr>
                    <w:pStyle w:val="84"/>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eastAsia="zh-CN"/>
                    </w:rPr>
                    <w:t>福建省福州市福清市江镜镇闽台（福州）蓝色经济产业园（租赁</w:t>
                  </w:r>
                  <w:r>
                    <w:rPr>
                      <w:rFonts w:hint="default" w:ascii="Times New Roman" w:hAnsi="Times New Roman" w:cs="Times New Roman"/>
                      <w:color w:val="auto"/>
                      <w:szCs w:val="21"/>
                      <w:lang w:eastAsia="zh-CN"/>
                    </w:rPr>
                    <w:t>福州锦佳商贸有限公司B37栋厂房（二期）</w:t>
                  </w:r>
                  <w:r>
                    <w:rPr>
                      <w:rFonts w:hint="default" w:ascii="Times New Roman" w:hAnsi="Times New Roman" w:eastAsia="宋体" w:cs="Times New Roman"/>
                      <w:color w:val="auto"/>
                      <w:szCs w:val="21"/>
                      <w:lang w:eastAsia="zh-CN"/>
                    </w:rPr>
                    <w:t>）</w:t>
                  </w:r>
                </w:p>
              </w:tc>
            </w:tr>
            <w:tr w14:paraId="57D7B3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475F403B">
                  <w:pPr>
                    <w:pStyle w:val="65"/>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地理坐标</w:t>
                  </w:r>
                </w:p>
              </w:tc>
              <w:tc>
                <w:tcPr>
                  <w:tcW w:w="4062" w:type="pct"/>
                  <w:tcBorders>
                    <w:tl2br w:val="nil"/>
                    <w:tr2bl w:val="nil"/>
                  </w:tcBorders>
                  <w:noWrap w:val="0"/>
                  <w:vAlign w:val="center"/>
                </w:tcPr>
                <w:p w14:paraId="12ED7FEE">
                  <w:pPr>
                    <w:pStyle w:val="84"/>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lang w:eastAsia="zh-CN"/>
                    </w:rPr>
                    <w:t>经度：119°23′12.59</w:t>
                  </w:r>
                  <w:r>
                    <w:rPr>
                      <w:rFonts w:hint="default" w:ascii="Times New Roman" w:hAnsi="Times New Roman" w:cs="Times New Roman"/>
                      <w:color w:val="auto"/>
                      <w:szCs w:val="21"/>
                      <w:lang w:val="en-US" w:eastAsia="zh-CN"/>
                    </w:rPr>
                    <w:t>6</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纬度：25°31′42.906″</w:t>
                  </w:r>
                </w:p>
              </w:tc>
            </w:tr>
            <w:tr w14:paraId="680120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3BDD83D3">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潜在事故类型</w:t>
                  </w:r>
                </w:p>
              </w:tc>
              <w:tc>
                <w:tcPr>
                  <w:tcW w:w="4062" w:type="pct"/>
                  <w:tcBorders>
                    <w:tl2br w:val="nil"/>
                    <w:tr2bl w:val="nil"/>
                  </w:tcBorders>
                  <w:noWrap w:val="0"/>
                  <w:vAlign w:val="center"/>
                </w:tcPr>
                <w:p w14:paraId="539048CE">
                  <w:pPr>
                    <w:pStyle w:val="84"/>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Style w:val="61"/>
                      <w:rFonts w:hint="default" w:ascii="Times New Roman" w:hAnsi="Times New Roman" w:eastAsia="宋体" w:cs="Times New Roman"/>
                      <w:color w:val="auto"/>
                      <w:spacing w:val="0"/>
                      <w:sz w:val="21"/>
                      <w:szCs w:val="20"/>
                    </w:rPr>
                  </w:pPr>
                  <w:r>
                    <w:rPr>
                      <w:rFonts w:hint="eastAsia"/>
                      <w:color w:val="auto"/>
                      <w:lang w:val="en-US" w:eastAsia="zh-CN"/>
                    </w:rPr>
                    <w:t>1</w:t>
                  </w:r>
                  <w:r>
                    <w:rPr>
                      <w:color w:val="auto"/>
                    </w:rPr>
                    <w:t>、废水事故排放；</w:t>
                  </w:r>
                  <w:r>
                    <w:rPr>
                      <w:rFonts w:hint="eastAsia"/>
                      <w:color w:val="auto"/>
                      <w:lang w:val="en-US" w:eastAsia="zh-CN"/>
                    </w:rPr>
                    <w:t>2</w:t>
                  </w:r>
                  <w:r>
                    <w:rPr>
                      <w:color w:val="auto"/>
                    </w:rPr>
                    <w:t>、火灾</w:t>
                  </w:r>
                  <w:r>
                    <w:rPr>
                      <w:rFonts w:hint="eastAsia"/>
                      <w:color w:val="auto"/>
                      <w:lang w:val="en-US" w:eastAsia="zh-CN"/>
                    </w:rPr>
                    <w:t>及伴生/次生灾害</w:t>
                  </w:r>
                </w:p>
              </w:tc>
            </w:tr>
            <w:tr w14:paraId="2B3266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6136F4B9">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环境影响途径及危害后果</w:t>
                  </w:r>
                </w:p>
              </w:tc>
              <w:tc>
                <w:tcPr>
                  <w:tcW w:w="4062" w:type="pct"/>
                  <w:tcBorders>
                    <w:tl2br w:val="nil"/>
                    <w:tr2bl w:val="nil"/>
                  </w:tcBorders>
                  <w:noWrap w:val="0"/>
                  <w:vAlign w:val="center"/>
                </w:tcPr>
                <w:p w14:paraId="12E098B2">
                  <w:pPr>
                    <w:adjustRightInd w:val="0"/>
                    <w:snapToGrid w:val="0"/>
                    <w:spacing w:line="340" w:lineRule="exact"/>
                    <w:rPr>
                      <w:color w:val="auto"/>
                    </w:rPr>
                  </w:pPr>
                  <w:r>
                    <w:rPr>
                      <w:color w:val="auto"/>
                    </w:rPr>
                    <w:t>1、导致废水事故排放的可能原因是设备老化、故障、没有及时维护或人为因素造成；人为造成的因素包括：一是工厂为了降低生产成本，有意停开或不开环保治理设施；二是操作工人误操作引起的。</w:t>
                  </w:r>
                </w:p>
                <w:p w14:paraId="7F69224B">
                  <w:pPr>
                    <w:adjustRightInd w:val="0"/>
                    <w:snapToGrid w:val="0"/>
                    <w:spacing w:line="340" w:lineRule="exact"/>
                    <w:rPr>
                      <w:color w:val="auto"/>
                    </w:rPr>
                  </w:pPr>
                  <w:r>
                    <w:rPr>
                      <w:color w:val="auto"/>
                    </w:rPr>
                    <w:t>2、引起火灾的因素较多，如电器设备老化，设备维护管理和使用不当，明火管理不当、吸烟等，此时若遇火源可发生火灾危险。</w:t>
                  </w:r>
                </w:p>
                <w:p w14:paraId="02C3EC09">
                  <w:pPr>
                    <w:adjustRightInd w:val="0"/>
                    <w:snapToGrid w:val="0"/>
                    <w:spacing w:line="340" w:lineRule="exact"/>
                    <w:rPr>
                      <w:rFonts w:hint="eastAsia"/>
                      <w:color w:val="auto"/>
                      <w:szCs w:val="21"/>
                      <w:lang w:val="en-US" w:eastAsia="zh-CN"/>
                    </w:rPr>
                  </w:pPr>
                  <w:r>
                    <w:rPr>
                      <w:rFonts w:hint="eastAsia"/>
                      <w:color w:val="auto"/>
                      <w:szCs w:val="21"/>
                      <w:lang w:val="en-US" w:eastAsia="zh-CN"/>
                    </w:rPr>
                    <w:t>3、火灾伴生/次生危害</w:t>
                  </w:r>
                </w:p>
                <w:p w14:paraId="1E53C145">
                  <w:pPr>
                    <w:adjustRightInd w:val="0"/>
                    <w:snapToGrid w:val="0"/>
                    <w:spacing w:line="340" w:lineRule="exact"/>
                    <w:rPr>
                      <w:rFonts w:hint="eastAsia"/>
                      <w:color w:val="auto"/>
                      <w:szCs w:val="21"/>
                    </w:rPr>
                  </w:pPr>
                  <w:r>
                    <w:rPr>
                      <w:rFonts w:hint="eastAsia"/>
                      <w:color w:val="auto"/>
                      <w:szCs w:val="21"/>
                    </w:rPr>
                    <w:t>本项目成品主要为</w:t>
                  </w:r>
                  <w:r>
                    <w:rPr>
                      <w:rFonts w:hint="eastAsia"/>
                      <w:color w:val="auto"/>
                      <w:szCs w:val="21"/>
                      <w:lang w:val="en-US" w:eastAsia="zh-CN"/>
                    </w:rPr>
                    <w:t>再生</w:t>
                  </w:r>
                  <w:r>
                    <w:rPr>
                      <w:rFonts w:hint="eastAsia"/>
                      <w:color w:val="auto"/>
                      <w:szCs w:val="21"/>
                    </w:rPr>
                    <w:t>塑料颗粒</w:t>
                  </w:r>
                  <w:r>
                    <w:rPr>
                      <w:rFonts w:hint="eastAsia"/>
                      <w:color w:val="auto"/>
                      <w:szCs w:val="21"/>
                      <w:lang w:eastAsia="zh-CN"/>
                    </w:rPr>
                    <w:t>，</w:t>
                  </w:r>
                  <w:r>
                    <w:rPr>
                      <w:rFonts w:hint="eastAsia"/>
                      <w:color w:val="auto"/>
                      <w:szCs w:val="21"/>
                    </w:rPr>
                    <w:t>遇高热、明火可燃，燃烧释放的大量的有害气体</w:t>
                  </w:r>
                  <w:r>
                    <w:rPr>
                      <w:rFonts w:hint="eastAsia"/>
                      <w:color w:val="auto"/>
                      <w:szCs w:val="21"/>
                      <w:lang w:eastAsia="zh-CN"/>
                    </w:rPr>
                    <w:t>，</w:t>
                  </w:r>
                  <w:r>
                    <w:rPr>
                      <w:rFonts w:hint="eastAsia"/>
                      <w:color w:val="auto"/>
                      <w:szCs w:val="21"/>
                    </w:rPr>
                    <w:t>成分主要为</w:t>
                  </w:r>
                  <w:r>
                    <w:rPr>
                      <w:rFonts w:hint="eastAsia"/>
                      <w:color w:val="auto"/>
                      <w:szCs w:val="21"/>
                      <w:lang w:val="en-US" w:eastAsia="zh-CN"/>
                    </w:rPr>
                    <w:t>CO</w:t>
                  </w:r>
                  <w:r>
                    <w:rPr>
                      <w:rFonts w:hint="eastAsia"/>
                      <w:color w:val="auto"/>
                      <w:szCs w:val="21"/>
                      <w:vertAlign w:val="subscript"/>
                      <w:lang w:val="en-US" w:eastAsia="zh-CN"/>
                    </w:rPr>
                    <w:t>2</w:t>
                  </w:r>
                  <w:r>
                    <w:rPr>
                      <w:rFonts w:hint="eastAsia"/>
                      <w:color w:val="auto"/>
                      <w:szCs w:val="21"/>
                      <w:lang w:eastAsia="zh-CN"/>
                    </w:rPr>
                    <w:t>、</w:t>
                  </w:r>
                  <w:r>
                    <w:rPr>
                      <w:rFonts w:hint="eastAsia"/>
                      <w:color w:val="auto"/>
                      <w:szCs w:val="21"/>
                      <w:lang w:val="en-US" w:eastAsia="zh-CN"/>
                    </w:rPr>
                    <w:t>CO、烟尘</w:t>
                  </w:r>
                  <w:r>
                    <w:rPr>
                      <w:rFonts w:hint="eastAsia"/>
                      <w:color w:val="auto"/>
                      <w:szCs w:val="21"/>
                    </w:rPr>
                    <w:t>和</w:t>
                  </w:r>
                  <w:r>
                    <w:rPr>
                      <w:rFonts w:hint="eastAsia"/>
                      <w:color w:val="auto"/>
                      <w:szCs w:val="21"/>
                      <w:lang w:eastAsia="zh-CN"/>
                    </w:rPr>
                    <w:t>水蒸气</w:t>
                  </w:r>
                  <w:r>
                    <w:rPr>
                      <w:rFonts w:hint="eastAsia"/>
                      <w:color w:val="auto"/>
                      <w:szCs w:val="21"/>
                    </w:rPr>
                    <w:t>，对环境和人体健康产生较大危害是CO、烟尘等有害物质。</w:t>
                  </w:r>
                </w:p>
                <w:p w14:paraId="5F3C4A39">
                  <w:pPr>
                    <w:pStyle w:val="84"/>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lang w:eastAsia="zh-CN"/>
                    </w:rPr>
                  </w:pPr>
                  <w:r>
                    <w:rPr>
                      <w:rFonts w:hint="eastAsia"/>
                      <w:color w:val="auto"/>
                      <w:szCs w:val="21"/>
                      <w:lang w:val="en-US" w:eastAsia="zh-CN"/>
                    </w:rPr>
                    <w:t>火灾CO</w:t>
                  </w:r>
                  <w:r>
                    <w:rPr>
                      <w:rFonts w:hint="eastAsia"/>
                      <w:color w:val="auto"/>
                      <w:szCs w:val="21"/>
                    </w:rPr>
                    <w:t>产生量相对较大，危害也较大，</w:t>
                  </w:r>
                  <w:r>
                    <w:rPr>
                      <w:rFonts w:hint="eastAsia"/>
                      <w:color w:val="auto"/>
                      <w:szCs w:val="21"/>
                      <w:lang w:val="en-US" w:eastAsia="zh-CN"/>
                    </w:rPr>
                    <w:t>CO</w:t>
                  </w:r>
                  <w:r>
                    <w:rPr>
                      <w:rFonts w:hint="eastAsia"/>
                      <w:color w:val="auto"/>
                      <w:szCs w:val="21"/>
                    </w:rPr>
                    <w:t>的浓度过高或持续时间过长都会使人窒息或死亡。一般情况下，火场附近的</w:t>
                  </w:r>
                  <w:r>
                    <w:rPr>
                      <w:rFonts w:hint="eastAsia"/>
                      <w:color w:val="auto"/>
                      <w:szCs w:val="21"/>
                      <w:lang w:val="en-US" w:eastAsia="zh-CN"/>
                    </w:rPr>
                    <w:t>CO</w:t>
                  </w:r>
                  <w:r>
                    <w:rPr>
                      <w:rFonts w:hint="eastAsia"/>
                      <w:color w:val="auto"/>
                      <w:szCs w:val="21"/>
                    </w:rPr>
                    <w:t>的浓度较高（浓度可达0.02%），而距火场30m处，</w:t>
                  </w:r>
                  <w:r>
                    <w:rPr>
                      <w:rFonts w:hint="eastAsia"/>
                      <w:color w:val="auto"/>
                      <w:szCs w:val="21"/>
                      <w:lang w:val="en-US" w:eastAsia="zh-CN"/>
                    </w:rPr>
                    <w:t>CO</w:t>
                  </w:r>
                  <w:r>
                    <w:rPr>
                      <w:rFonts w:hint="eastAsia"/>
                      <w:color w:val="auto"/>
                      <w:szCs w:val="21"/>
                    </w:rPr>
                    <w:t>的浓度逐渐降低（0.001%）。因此，近距离靠近火场会有造成</w:t>
                  </w:r>
                  <w:r>
                    <w:rPr>
                      <w:rFonts w:hint="eastAsia"/>
                      <w:color w:val="auto"/>
                      <w:szCs w:val="21"/>
                      <w:lang w:val="en-US" w:eastAsia="zh-CN"/>
                    </w:rPr>
                    <w:t>CO</w:t>
                  </w:r>
                  <w:r>
                    <w:rPr>
                      <w:rFonts w:hint="eastAsia"/>
                      <w:color w:val="auto"/>
                      <w:szCs w:val="21"/>
                    </w:rPr>
                    <w:t>中毒的危险</w:t>
                  </w:r>
                  <w:r>
                    <w:rPr>
                      <w:rFonts w:hint="eastAsia"/>
                      <w:color w:val="auto"/>
                      <w:szCs w:val="21"/>
                      <w:lang w:eastAsia="zh-CN"/>
                    </w:rPr>
                    <w:t>。</w:t>
                  </w:r>
                  <w:r>
                    <w:rPr>
                      <w:rFonts w:hint="eastAsia"/>
                      <w:color w:val="auto"/>
                      <w:szCs w:val="21"/>
                      <w:lang w:val="en-US" w:eastAsia="zh-CN"/>
                    </w:rPr>
                    <w:t>火灾</w:t>
                  </w:r>
                  <w:r>
                    <w:rPr>
                      <w:rFonts w:hint="eastAsia"/>
                      <w:color w:val="auto"/>
                      <w:szCs w:val="21"/>
                    </w:rPr>
                    <w:t>烟尘对空气污染的影响主要取决于颗粒的大小，颗粒越小危害越大。烟尘微粒可吸附有害气体，引起人的呼吸疾病。在火场之外的空间内，由于新鲜空气与烟雾之间的对流，烟的浓度被稀释，对人体的伤害较小。</w:t>
                  </w:r>
                </w:p>
              </w:tc>
            </w:tr>
            <w:tr w14:paraId="52387E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2BFC0809">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风险防范措施要求</w:t>
                  </w:r>
                </w:p>
              </w:tc>
              <w:tc>
                <w:tcPr>
                  <w:tcW w:w="6782" w:type="dxa"/>
                  <w:tcBorders>
                    <w:tl2br w:val="nil"/>
                    <w:tr2bl w:val="nil"/>
                  </w:tcBorders>
                  <w:noWrap w:val="0"/>
                  <w:vAlign w:val="center"/>
                </w:tcPr>
                <w:p w14:paraId="39FC2CA7">
                  <w:pPr>
                    <w:adjustRightInd w:val="0"/>
                    <w:snapToGrid w:val="0"/>
                    <w:spacing w:line="340" w:lineRule="exact"/>
                    <w:rPr>
                      <w:color w:val="auto"/>
                    </w:rPr>
                  </w:pPr>
                  <w:r>
                    <w:rPr>
                      <w:color w:val="auto"/>
                    </w:rPr>
                    <w:t>1、事故排放防范措施：</w:t>
                  </w:r>
                </w:p>
                <w:p w14:paraId="64D3209C">
                  <w:pPr>
                    <w:adjustRightInd w:val="0"/>
                    <w:snapToGrid w:val="0"/>
                    <w:spacing w:line="340" w:lineRule="exact"/>
                    <w:rPr>
                      <w:color w:val="auto"/>
                    </w:rPr>
                  </w:pPr>
                  <w:r>
                    <w:rPr>
                      <w:color w:val="auto"/>
                    </w:rPr>
                    <w:t>①制定完善的操作规程，建立健全持证上岗和岗前培训制度；</w:t>
                  </w:r>
                </w:p>
                <w:p w14:paraId="0B8EC13F">
                  <w:pPr>
                    <w:adjustRightInd w:val="0"/>
                    <w:snapToGrid w:val="0"/>
                    <w:spacing w:line="340" w:lineRule="exact"/>
                    <w:rPr>
                      <w:color w:val="auto"/>
                    </w:rPr>
                  </w:pPr>
                  <w:r>
                    <w:rPr>
                      <w:color w:val="auto"/>
                    </w:rPr>
                    <w:t>②定期巡查、检修废水处理设施，定期维护、监测；</w:t>
                  </w:r>
                </w:p>
                <w:p w14:paraId="3228C132">
                  <w:pPr>
                    <w:adjustRightInd w:val="0"/>
                    <w:snapToGrid w:val="0"/>
                    <w:spacing w:line="340" w:lineRule="exact"/>
                    <w:rPr>
                      <w:rFonts w:hint="eastAsia"/>
                      <w:color w:val="auto"/>
                    </w:rPr>
                  </w:pPr>
                  <w:r>
                    <w:rPr>
                      <w:color w:val="auto"/>
                    </w:rPr>
                    <w:t>③若环保设施发生故障造成事故排放时，应立即停止生产，切断废水排放口，并及时通知技术人员或汇报部门(车间)负责人进行维修</w:t>
                  </w:r>
                  <w:r>
                    <w:rPr>
                      <w:rFonts w:hint="eastAsia"/>
                      <w:color w:val="auto"/>
                    </w:rPr>
                    <w:t>；</w:t>
                  </w:r>
                </w:p>
                <w:p w14:paraId="1332512E">
                  <w:pPr>
                    <w:adjustRightInd w:val="0"/>
                    <w:snapToGrid w:val="0"/>
                    <w:spacing w:line="340" w:lineRule="exact"/>
                    <w:rPr>
                      <w:color w:val="auto"/>
                    </w:rPr>
                  </w:pPr>
                  <w:r>
                    <w:rPr>
                      <w:rFonts w:hint="eastAsia"/>
                      <w:color w:val="auto"/>
                    </w:rPr>
                    <w:t>④设置1个20m</w:t>
                  </w:r>
                  <w:r>
                    <w:rPr>
                      <w:rFonts w:hint="eastAsia"/>
                      <w:color w:val="auto"/>
                      <w:vertAlign w:val="superscript"/>
                    </w:rPr>
                    <w:t>3</w:t>
                  </w:r>
                  <w:r>
                    <w:rPr>
                      <w:rFonts w:hint="eastAsia"/>
                      <w:color w:val="auto"/>
                    </w:rPr>
                    <w:t>的事故应急水罐，与项目污水预处理设施联接</w:t>
                  </w:r>
                  <w:r>
                    <w:rPr>
                      <w:color w:val="auto"/>
                    </w:rPr>
                    <w:t>。</w:t>
                  </w:r>
                </w:p>
                <w:p w14:paraId="5FD7DAB9">
                  <w:pPr>
                    <w:adjustRightInd w:val="0"/>
                    <w:snapToGrid w:val="0"/>
                    <w:spacing w:line="340" w:lineRule="exact"/>
                    <w:rPr>
                      <w:color w:val="auto"/>
                    </w:rPr>
                  </w:pPr>
                  <w:r>
                    <w:rPr>
                      <w:color w:val="auto"/>
                    </w:rPr>
                    <w:t>2、火灾防范措施</w:t>
                  </w:r>
                </w:p>
                <w:p w14:paraId="5DC1B315">
                  <w:pPr>
                    <w:adjustRightInd w:val="0"/>
                    <w:snapToGrid w:val="0"/>
                    <w:spacing w:line="340" w:lineRule="exact"/>
                    <w:rPr>
                      <w:color w:val="auto"/>
                    </w:rPr>
                  </w:pPr>
                  <w:r>
                    <w:rPr>
                      <w:color w:val="auto"/>
                    </w:rPr>
                    <w:t>①加强安全管理，强化员工安全意识，提高事故防范措施；</w:t>
                  </w:r>
                </w:p>
                <w:p w14:paraId="4E6C8745">
                  <w:pPr>
                    <w:adjustRightInd w:val="0"/>
                    <w:snapToGrid w:val="0"/>
                    <w:spacing w:line="340" w:lineRule="exact"/>
                    <w:rPr>
                      <w:color w:val="auto"/>
                    </w:rPr>
                  </w:pPr>
                  <w:r>
                    <w:rPr>
                      <w:color w:val="auto"/>
                    </w:rPr>
                    <w:t>②加强生产管理，强化防火意识，生产车间禁止烟火，坚决杜绝火灾事故发生；</w:t>
                  </w:r>
                </w:p>
                <w:p w14:paraId="1C1E7EED">
                  <w:pPr>
                    <w:adjustRightInd w:val="0"/>
                    <w:snapToGrid w:val="0"/>
                    <w:spacing w:line="340" w:lineRule="exact"/>
                    <w:rPr>
                      <w:color w:val="auto"/>
                    </w:rPr>
                  </w:pPr>
                  <w:r>
                    <w:rPr>
                      <w:color w:val="auto"/>
                    </w:rPr>
                    <w:t>③厂区严格按消防规范进行设计，配备必要的消防通道、消防栓、灭火器材，明确消防人员，制定消防制度，加强职工消防知识培训。</w:t>
                  </w:r>
                </w:p>
                <w:p w14:paraId="4C10ADCF">
                  <w:pPr>
                    <w:adjustRightInd w:val="0"/>
                    <w:snapToGrid w:val="0"/>
                    <w:spacing w:line="340" w:lineRule="exact"/>
                    <w:rPr>
                      <w:color w:val="auto"/>
                    </w:rPr>
                  </w:pPr>
                  <w:r>
                    <w:rPr>
                      <w:color w:val="auto"/>
                    </w:rPr>
                    <w:t>④做好仓库的安全管理工作，仓库要单独设置，隔离火源，仓库应张贴严禁烟火警示牌，配备消防器材，加强仓库管理人员的防火教育，杜绝火灾事故发生。</w:t>
                  </w:r>
                </w:p>
                <w:p w14:paraId="7FBBF536">
                  <w:pPr>
                    <w:numPr>
                      <w:ilvl w:val="0"/>
                      <w:numId w:val="15"/>
                    </w:numPr>
                    <w:rPr>
                      <w:color w:val="auto"/>
                    </w:rPr>
                  </w:pPr>
                  <w:r>
                    <w:rPr>
                      <w:color w:val="auto"/>
                    </w:rPr>
                    <w:t>其他防范措施</w:t>
                  </w:r>
                </w:p>
                <w:p w14:paraId="2BA4F23C">
                  <w:pPr>
                    <w:pStyle w:val="8"/>
                    <w:ind w:firstLine="0" w:firstLineChars="0"/>
                    <w:rPr>
                      <w:rFonts w:hint="default" w:ascii="Times New Roman" w:hAnsi="Times New Roman" w:eastAsia="宋体" w:cs="Times New Roman"/>
                      <w:color w:val="auto"/>
                    </w:rPr>
                  </w:pPr>
                  <w:r>
                    <w:rPr>
                      <w:color w:val="auto"/>
                    </w:rPr>
                    <w:t>设置专门的危废</w:t>
                  </w:r>
                  <w:r>
                    <w:rPr>
                      <w:rFonts w:hint="eastAsia"/>
                      <w:color w:val="auto"/>
                    </w:rPr>
                    <w:t>及医疗废物</w:t>
                  </w:r>
                  <w:r>
                    <w:rPr>
                      <w:color w:val="auto"/>
                    </w:rPr>
                    <w:t>存储场所，并按照《危险废物贮存污染控制》（GB18597-2001）及2013修改单的相关要求采取相应的防晒、防渗、防淋等措施，避免产生二次污染。</w:t>
                  </w:r>
                </w:p>
              </w:tc>
            </w:tr>
          </w:tbl>
          <w:p w14:paraId="2D6F323E">
            <w:pPr>
              <w:pStyle w:val="3"/>
              <w:keepNext/>
              <w:keepLines/>
              <w:pageBreakBefore w:val="0"/>
              <w:widowControl w:val="0"/>
              <w:numPr>
                <w:ilvl w:val="1"/>
                <w:numId w:val="0"/>
              </w:numPr>
              <w:kinsoku/>
              <w:wordWrap/>
              <w:overflowPunct/>
              <w:topLinePunct w:val="0"/>
              <w:autoSpaceDE/>
              <w:autoSpaceDN/>
              <w:bidi w:val="0"/>
              <w:adjustRightInd/>
              <w:snapToGrid/>
              <w:spacing w:before="157" w:beforeLines="50"/>
              <w:ind w:leftChars="0"/>
              <w:textAlignment w:val="auto"/>
              <w:rPr>
                <w:rFonts w:hint="eastAsia" w:cs="Times New Roman"/>
                <w:color w:val="auto"/>
                <w:lang w:val="en-US" w:eastAsia="zh-CN"/>
              </w:rPr>
            </w:pPr>
            <w:r>
              <w:rPr>
                <w:rFonts w:hint="default" w:ascii="Times New Roman" w:hAnsi="Times New Roman" w:cs="Times New Roman"/>
                <w:color w:val="auto"/>
              </w:rPr>
              <w:t>4.</w:t>
            </w:r>
            <w:r>
              <w:rPr>
                <w:rFonts w:hint="default" w:ascii="Times New Roman" w:hAnsi="Times New Roman" w:cs="Times New Roman"/>
                <w:color w:val="auto"/>
                <w:lang w:val="en-US"/>
              </w:rPr>
              <w:t>8</w:t>
            </w:r>
            <w:r>
              <w:rPr>
                <w:rFonts w:hint="default" w:ascii="Times New Roman" w:hAnsi="Times New Roman" w:cs="Times New Roman"/>
                <w:color w:val="auto"/>
              </w:rPr>
              <w:t xml:space="preserve"> </w:t>
            </w:r>
            <w:r>
              <w:rPr>
                <w:rFonts w:hint="eastAsia" w:cs="Times New Roman"/>
                <w:color w:val="auto"/>
                <w:lang w:val="en-US" w:eastAsia="zh-CN"/>
              </w:rPr>
              <w:t>清洁生产</w:t>
            </w:r>
          </w:p>
          <w:p w14:paraId="49B33876">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目前，我国尚没有本行业的清洁生产标准，也缺少相关的清洁生产指标的统计数据。本次环评只针对拟建工程项目的产品指标、原材料、能源消耗、生产工艺和设备、污染物的产生和排放等清洁生产情况作简要分析</w:t>
            </w:r>
            <w:r>
              <w:rPr>
                <w:rFonts w:hint="eastAsia" w:ascii="Times New Roman" w:hAnsi="Times New Roman" w:eastAsia="新宋体" w:cs="Times New Roman"/>
                <w:color w:val="auto"/>
                <w:sz w:val="24"/>
                <w:lang w:val="zh-CN"/>
              </w:rPr>
              <w:t>。</w:t>
            </w:r>
          </w:p>
          <w:p w14:paraId="417623E7">
            <w:pPr>
              <w:keepNext/>
              <w:keepLines/>
              <w:spacing w:before="60" w:line="360" w:lineRule="auto"/>
              <w:outlineLvl w:val="2"/>
              <w:rPr>
                <w:rFonts w:ascii="Times New Roman" w:hAnsi="Times New Roman" w:eastAsia="宋体" w:cs="Times New Roman"/>
                <w:b/>
                <w:bCs/>
                <w:color w:val="auto"/>
                <w:kern w:val="2"/>
                <w:sz w:val="28"/>
                <w:szCs w:val="32"/>
                <w:lang w:val="en-US" w:eastAsia="zh-CN" w:bidi="ar-SA"/>
              </w:rPr>
            </w:pPr>
            <w:r>
              <w:rPr>
                <w:rFonts w:hint="eastAsia" w:ascii="Times New Roman" w:hAnsi="Times New Roman" w:eastAsia="宋体" w:cs="Times New Roman"/>
                <w:b/>
                <w:bCs/>
                <w:color w:val="auto"/>
                <w:kern w:val="2"/>
                <w:sz w:val="28"/>
                <w:szCs w:val="32"/>
                <w:lang w:val="en-US" w:eastAsia="zh-CN" w:bidi="ar-SA"/>
              </w:rPr>
              <w:t>4.8</w:t>
            </w:r>
            <w:r>
              <w:rPr>
                <w:rFonts w:ascii="Times New Roman" w:hAnsi="Times New Roman" w:eastAsia="宋体" w:cs="Times New Roman"/>
                <w:b/>
                <w:bCs/>
                <w:color w:val="auto"/>
                <w:kern w:val="2"/>
                <w:sz w:val="28"/>
                <w:szCs w:val="32"/>
                <w:lang w:val="en-US" w:eastAsia="zh-CN" w:bidi="ar-SA"/>
              </w:rPr>
              <w:t>.1原辅材料、能源消耗分析</w:t>
            </w:r>
          </w:p>
          <w:p w14:paraId="4373241B">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拟建项目消耗的原材料为</w:t>
            </w:r>
            <w:r>
              <w:rPr>
                <w:rFonts w:hint="default" w:ascii="Times New Roman" w:hAnsi="Times New Roman" w:eastAsia="新宋体" w:cs="Times New Roman"/>
                <w:color w:val="auto"/>
                <w:sz w:val="24"/>
                <w:lang w:val="zh-CN"/>
              </w:rPr>
              <w:t>未被污染的医用输液瓶（袋）</w:t>
            </w:r>
            <w:r>
              <w:rPr>
                <w:rFonts w:hint="eastAsia" w:ascii="Times New Roman" w:hAnsi="Times New Roman" w:eastAsia="新宋体" w:cs="Times New Roman"/>
                <w:color w:val="auto"/>
                <w:sz w:val="24"/>
                <w:lang w:val="zh-CN" w:eastAsia="zh-CN"/>
              </w:rPr>
              <w:t>及矿泉水瓶</w:t>
            </w:r>
            <w:r>
              <w:rPr>
                <w:rFonts w:ascii="Times New Roman" w:hAnsi="Times New Roman" w:eastAsia="新宋体" w:cs="Times New Roman"/>
                <w:color w:val="auto"/>
                <w:sz w:val="24"/>
                <w:lang w:val="zh-CN"/>
              </w:rPr>
              <w:t>，不属于《废塑料加工利用污染防治管理规定》（2012年第55号）</w:t>
            </w:r>
            <w:r>
              <w:rPr>
                <w:rFonts w:ascii="宋体" w:hAnsi="宋体" w:eastAsia="宋体" w:cs="Times New Roman"/>
                <w:color w:val="auto"/>
                <w:sz w:val="24"/>
                <w:lang w:val="zh-CN"/>
              </w:rPr>
              <w:t>中“被危险化学品、农药等污染的废弃塑料包装物，废弃的一次性医疗用塑料制品（如输液器、血袋）等”原料</w:t>
            </w:r>
            <w:r>
              <w:rPr>
                <w:rFonts w:ascii="Times New Roman" w:hAnsi="Times New Roman" w:eastAsia="新宋体" w:cs="Times New Roman"/>
                <w:color w:val="auto"/>
                <w:sz w:val="24"/>
                <w:lang w:val="zh-CN"/>
              </w:rPr>
              <w:t>，原料供应充足。项目将</w:t>
            </w:r>
            <w:r>
              <w:rPr>
                <w:rFonts w:hint="eastAsia" w:ascii="Times New Roman" w:hAnsi="Times New Roman" w:eastAsia="新宋体" w:cs="Times New Roman"/>
                <w:color w:val="auto"/>
                <w:sz w:val="24"/>
                <w:lang w:val="en-US" w:eastAsia="zh-CN"/>
              </w:rPr>
              <w:t>原料</w:t>
            </w:r>
            <w:r>
              <w:rPr>
                <w:rFonts w:ascii="Times New Roman" w:hAnsi="Times New Roman" w:eastAsia="新宋体" w:cs="Times New Roman"/>
                <w:color w:val="auto"/>
                <w:sz w:val="24"/>
                <w:lang w:val="zh-CN"/>
              </w:rPr>
              <w:t>由汽车运进厂区，堆置在车间内，避免了露天存放带来的污染隐患。</w:t>
            </w:r>
            <w:r>
              <w:rPr>
                <w:rFonts w:ascii="Times New Roman" w:hAnsi="Times New Roman" w:eastAsia="宋体" w:cs="Times New Roman"/>
                <w:color w:val="auto"/>
                <w:sz w:val="24"/>
              </w:rPr>
              <w:t>在营运过程中，主要是各种设备运行使用电能，均属于清洁能源。</w:t>
            </w:r>
            <w:r>
              <w:rPr>
                <w:rFonts w:ascii="Times New Roman" w:hAnsi="Times New Roman" w:eastAsia="新宋体" w:cs="Times New Roman"/>
                <w:color w:val="auto"/>
                <w:sz w:val="24"/>
                <w:lang w:val="zh-CN"/>
              </w:rPr>
              <w:t>总体来说，拟建项目的原辅材料均属于清洁型的。</w:t>
            </w:r>
          </w:p>
          <w:p w14:paraId="52DCFCD1">
            <w:pPr>
              <w:keepNext/>
              <w:keepLines/>
              <w:spacing w:before="60" w:line="360" w:lineRule="auto"/>
              <w:outlineLvl w:val="2"/>
              <w:rPr>
                <w:rFonts w:ascii="Times New Roman" w:hAnsi="Times New Roman" w:eastAsia="宋体" w:cs="Times New Roman"/>
                <w:b/>
                <w:bCs/>
                <w:color w:val="auto"/>
                <w:kern w:val="2"/>
                <w:sz w:val="28"/>
                <w:szCs w:val="32"/>
                <w:lang w:val="en-US" w:eastAsia="zh-CN" w:bidi="ar-SA"/>
              </w:rPr>
            </w:pPr>
            <w:r>
              <w:rPr>
                <w:rFonts w:hint="eastAsia" w:ascii="Times New Roman" w:hAnsi="Times New Roman" w:eastAsia="宋体" w:cs="Times New Roman"/>
                <w:b/>
                <w:bCs/>
                <w:color w:val="auto"/>
                <w:kern w:val="2"/>
                <w:sz w:val="28"/>
                <w:szCs w:val="32"/>
                <w:lang w:val="en-US" w:eastAsia="zh-CN" w:bidi="ar-SA"/>
              </w:rPr>
              <w:t>4.8</w:t>
            </w:r>
            <w:r>
              <w:rPr>
                <w:rFonts w:ascii="Times New Roman" w:hAnsi="Times New Roman" w:eastAsia="宋体" w:cs="Times New Roman"/>
                <w:b/>
                <w:bCs/>
                <w:color w:val="auto"/>
                <w:kern w:val="2"/>
                <w:sz w:val="28"/>
                <w:szCs w:val="32"/>
                <w:lang w:val="en-US" w:eastAsia="zh-CN" w:bidi="ar-SA"/>
              </w:rPr>
              <w:t>.2产品分析</w:t>
            </w:r>
          </w:p>
          <w:p w14:paraId="48ED8D46">
            <w:pPr>
              <w:autoSpaceDE w:val="0"/>
              <w:autoSpaceDN w:val="0"/>
              <w:adjustRightInd w:val="0"/>
              <w:spacing w:line="360" w:lineRule="auto"/>
              <w:ind w:firstLine="480" w:firstLineChars="200"/>
              <w:rPr>
                <w:rFonts w:hint="eastAsia" w:ascii="Times New Roman" w:hAnsi="Times New Roman" w:eastAsia="新宋体" w:cs="Times New Roman"/>
                <w:color w:val="auto"/>
                <w:sz w:val="24"/>
                <w:u w:val="none"/>
                <w:lang w:val="zh-CN"/>
              </w:rPr>
            </w:pPr>
            <w:r>
              <w:rPr>
                <w:rFonts w:ascii="Times New Roman" w:hAnsi="Times New Roman" w:eastAsia="新宋体" w:cs="Times New Roman"/>
                <w:color w:val="auto"/>
                <w:sz w:val="24"/>
                <w:u w:val="none"/>
                <w:lang w:val="zh-CN"/>
              </w:rPr>
              <w:t>拟建项目产品为</w:t>
            </w:r>
            <w:r>
              <w:rPr>
                <w:rFonts w:hint="eastAsia" w:ascii="Times New Roman" w:hAnsi="Times New Roman" w:eastAsia="新宋体" w:cs="Times New Roman"/>
                <w:color w:val="auto"/>
                <w:sz w:val="24"/>
                <w:u w:val="none"/>
                <w:lang w:val="en-US" w:eastAsia="zh-CN"/>
              </w:rPr>
              <w:t>塑料、橡胶及玻璃破碎料</w:t>
            </w:r>
            <w:r>
              <w:rPr>
                <w:rFonts w:ascii="Times New Roman" w:hAnsi="Times New Roman" w:eastAsia="新宋体" w:cs="Times New Roman"/>
                <w:color w:val="auto"/>
                <w:sz w:val="24"/>
                <w:u w:val="none"/>
                <w:lang w:val="zh-CN"/>
              </w:rPr>
              <w:t>，</w:t>
            </w:r>
            <w:r>
              <w:rPr>
                <w:rFonts w:hint="eastAsia" w:ascii="Times New Roman" w:hAnsi="Times New Roman" w:eastAsia="新宋体" w:cs="Times New Roman"/>
                <w:color w:val="auto"/>
                <w:sz w:val="24"/>
                <w:u w:val="none"/>
                <w:lang w:val="zh-CN"/>
              </w:rPr>
              <w:t>其中废</w:t>
            </w:r>
            <w:r>
              <w:rPr>
                <w:rFonts w:ascii="Times New Roman" w:hAnsi="Times New Roman" w:eastAsia="新宋体" w:cs="Times New Roman"/>
                <w:color w:val="auto"/>
                <w:sz w:val="24"/>
                <w:u w:val="none"/>
                <w:lang w:val="zh-CN"/>
              </w:rPr>
              <w:t>塑料</w:t>
            </w:r>
            <w:r>
              <w:rPr>
                <w:rFonts w:hint="eastAsia" w:ascii="Times New Roman" w:hAnsi="Times New Roman" w:eastAsia="新宋体" w:cs="Times New Roman"/>
                <w:color w:val="auto"/>
                <w:sz w:val="24"/>
                <w:u w:val="none"/>
                <w:lang w:val="zh-CN"/>
              </w:rPr>
              <w:t>再生</w:t>
            </w:r>
            <w:r>
              <w:rPr>
                <w:rFonts w:ascii="Times New Roman" w:hAnsi="Times New Roman" w:eastAsia="新宋体" w:cs="Times New Roman"/>
                <w:color w:val="auto"/>
                <w:sz w:val="24"/>
                <w:u w:val="none"/>
                <w:lang w:val="zh-CN"/>
              </w:rPr>
              <w:t>颗粒供应给其他企业用于生产各种塑料制品</w:t>
            </w:r>
            <w:r>
              <w:rPr>
                <w:rFonts w:hint="eastAsia" w:ascii="Times New Roman" w:hAnsi="Times New Roman" w:eastAsia="新宋体" w:cs="Times New Roman"/>
                <w:color w:val="auto"/>
                <w:sz w:val="24"/>
                <w:u w:val="none"/>
                <w:lang w:val="zh-CN"/>
              </w:rPr>
              <w:t>，</w:t>
            </w:r>
            <w:r>
              <w:rPr>
                <w:rFonts w:hint="eastAsia" w:ascii="Times New Roman" w:hAnsi="Times New Roman" w:eastAsia="新宋体" w:cs="Times New Roman"/>
                <w:color w:val="auto"/>
                <w:sz w:val="24"/>
                <w:u w:val="none"/>
                <w:lang w:val="en-US" w:eastAsia="zh-CN"/>
              </w:rPr>
              <w:t>不得用于原用途及制造餐饮容器以及玩具等儿童用品</w:t>
            </w:r>
            <w:r>
              <w:rPr>
                <w:rFonts w:ascii="Times New Roman" w:hAnsi="Times New Roman" w:eastAsia="新宋体" w:cs="Times New Roman"/>
                <w:color w:val="auto"/>
                <w:sz w:val="24"/>
                <w:u w:val="none"/>
                <w:lang w:val="zh-CN"/>
              </w:rPr>
              <w:t>。塑料作为领域的特点是受经济波动影响小，发展稳定，产品有着良好的市场发展前景</w:t>
            </w:r>
            <w:r>
              <w:rPr>
                <w:rFonts w:hint="eastAsia" w:ascii="Times New Roman" w:hAnsi="Times New Roman" w:eastAsia="新宋体" w:cs="Times New Roman"/>
                <w:color w:val="auto"/>
                <w:sz w:val="24"/>
                <w:u w:val="none"/>
                <w:lang w:val="zh-CN"/>
              </w:rPr>
              <w:t>。</w:t>
            </w:r>
          </w:p>
          <w:p w14:paraId="3A52FCE8">
            <w:pPr>
              <w:keepNext/>
              <w:keepLines/>
              <w:spacing w:before="60" w:line="360" w:lineRule="auto"/>
              <w:outlineLvl w:val="2"/>
              <w:rPr>
                <w:rFonts w:ascii="Times New Roman" w:hAnsi="Times New Roman" w:eastAsia="宋体" w:cs="Times New Roman"/>
                <w:b/>
                <w:bCs/>
                <w:color w:val="auto"/>
                <w:kern w:val="2"/>
                <w:sz w:val="28"/>
                <w:szCs w:val="32"/>
                <w:lang w:val="en-US" w:eastAsia="zh-CN" w:bidi="ar-SA"/>
              </w:rPr>
            </w:pPr>
            <w:r>
              <w:rPr>
                <w:rFonts w:hint="eastAsia" w:ascii="Times New Roman" w:hAnsi="Times New Roman" w:eastAsia="宋体" w:cs="Times New Roman"/>
                <w:b/>
                <w:bCs/>
                <w:color w:val="auto"/>
                <w:kern w:val="2"/>
                <w:sz w:val="28"/>
                <w:szCs w:val="32"/>
                <w:lang w:val="en-US" w:eastAsia="zh-CN" w:bidi="ar-SA"/>
              </w:rPr>
              <w:t>4.8</w:t>
            </w:r>
            <w:r>
              <w:rPr>
                <w:rFonts w:ascii="Times New Roman" w:hAnsi="Times New Roman" w:eastAsia="宋体" w:cs="Times New Roman"/>
                <w:b/>
                <w:bCs/>
                <w:color w:val="auto"/>
                <w:kern w:val="2"/>
                <w:sz w:val="28"/>
                <w:szCs w:val="32"/>
                <w:lang w:val="en-US" w:eastAsia="zh-CN" w:bidi="ar-SA"/>
              </w:rPr>
              <w:t>.3生产工艺及设备的先进性分析</w:t>
            </w:r>
          </w:p>
          <w:p w14:paraId="41954D76">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项目在满足生产工艺前提下，优先选用技术先进、能耗低、性能高的设备，有关工序设备做到选型、配套合理；选型依据安全、可靠、节能、故障率低、易检修、通用性、寿命长的原则，在选型时通过选用新型专用设备配合先进的节能工艺，使其达到最佳的工艺效果。加强设备维修，加强岗位责任制。突出实现技术成熟、实用耐用、噪声小、自动化程度高、便于维护管理的设备。项目所用机械设备中没有《产业结构调整指导目录》（修正本）第三</w:t>
            </w:r>
            <w:r>
              <w:rPr>
                <w:rFonts w:ascii="宋体" w:hAnsi="宋体" w:eastAsia="宋体" w:cs="Times New Roman"/>
                <w:color w:val="auto"/>
                <w:sz w:val="24"/>
                <w:lang w:val="zh-CN"/>
              </w:rPr>
              <w:t>类“淘汰类”第一条“落后生产工艺装备”中所列淘汰设备。项目建成</w:t>
            </w:r>
            <w:r>
              <w:rPr>
                <w:rFonts w:ascii="Times New Roman" w:hAnsi="Times New Roman" w:eastAsia="新宋体" w:cs="Times New Roman"/>
                <w:color w:val="auto"/>
                <w:sz w:val="24"/>
                <w:lang w:val="zh-CN"/>
              </w:rPr>
              <w:t>后能够保持最佳生产状态，确保产品保持高标准、高质量。</w:t>
            </w:r>
          </w:p>
          <w:p w14:paraId="22C893C5">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先进生产工艺和设备的应用是提高劳动效率、保证产品质量的基础，拟建项目通过采用自主研发的新技术、新工艺，采用新设备，有效提高了生产效率，挖掘了生产潜能，降低了能源消耗，符合清洁生产的要求。</w:t>
            </w:r>
          </w:p>
          <w:p w14:paraId="139F37D3">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生产工艺与设备的先进性的体现：</w:t>
            </w:r>
          </w:p>
          <w:p w14:paraId="67D96048">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（1）在设备平面布置时，依据工艺流程、生产特点、火灾危险性和毒性分类，并结合地形、风向等自然条件，将易燃的设备及原料按有关规范和安全规定集中布置，并留有足够的防火间距和消防通道。</w:t>
            </w:r>
          </w:p>
          <w:p w14:paraId="02766263">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（2）提高设备的自动化水平，最大限度的避免人与有害物质的接触，改善操作人员的劳动条件。</w:t>
            </w:r>
          </w:p>
          <w:p w14:paraId="16B3B654">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（3）为了保障供电的可靠性，建设项目采用双回路互为备用的电源供电。</w:t>
            </w:r>
          </w:p>
          <w:p w14:paraId="4CA1AD9D">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（4）生产过程中凡需经常操作和检查的有危险性的设备和部位，均设置操作平台、梯子和保护栏杆。</w:t>
            </w:r>
          </w:p>
          <w:p w14:paraId="780AD989">
            <w:pPr>
              <w:autoSpaceDE w:val="0"/>
              <w:autoSpaceDN w:val="0"/>
              <w:adjustRightInd w:val="0"/>
              <w:spacing w:line="360" w:lineRule="auto"/>
              <w:ind w:firstLine="480" w:firstLineChars="200"/>
              <w:rPr>
                <w:rFonts w:ascii="Times New Roman" w:hAnsi="Times New Roman" w:eastAsia="新宋体" w:cs="Times New Roman"/>
                <w:color w:val="auto"/>
                <w:sz w:val="24"/>
                <w:u w:val="none"/>
                <w:lang w:val="zh-CN"/>
              </w:rPr>
            </w:pPr>
            <w:r>
              <w:rPr>
                <w:rFonts w:ascii="Times New Roman" w:hAnsi="Times New Roman" w:eastAsia="新宋体" w:cs="Times New Roman"/>
                <w:color w:val="auto"/>
                <w:sz w:val="24"/>
                <w:u w:val="none"/>
                <w:lang w:val="zh-CN"/>
              </w:rPr>
              <w:t>（5）拟建项目使用的清洗破碎机和造粒机均为高效率设备，从而能节约能源，降低能耗。</w:t>
            </w:r>
            <w:r>
              <w:rPr>
                <w:rFonts w:hint="eastAsia" w:ascii="Times New Roman" w:hAnsi="Times New Roman" w:eastAsia="新宋体" w:cs="Times New Roman"/>
                <w:color w:val="auto"/>
                <w:sz w:val="24"/>
                <w:u w:val="none"/>
                <w:lang w:val="zh-CN"/>
              </w:rPr>
              <w:t>清洗后采用高效脱水机进行脱水，大大降低了物料的含水率，降低了造粒过程的能耗。</w:t>
            </w:r>
          </w:p>
          <w:p w14:paraId="18A7EBE8">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通过上述措施，有效的体</w:t>
            </w:r>
            <w:r>
              <w:rPr>
                <w:rFonts w:ascii="宋体" w:hAnsi="宋体" w:eastAsia="宋体" w:cs="Times New Roman"/>
                <w:color w:val="auto"/>
                <w:sz w:val="24"/>
                <w:lang w:val="zh-CN"/>
              </w:rPr>
              <w:t>现了“预防为主”的方针</w:t>
            </w:r>
            <w:r>
              <w:rPr>
                <w:rFonts w:ascii="Times New Roman" w:hAnsi="Times New Roman" w:eastAsia="新宋体" w:cs="Times New Roman"/>
                <w:color w:val="auto"/>
                <w:sz w:val="24"/>
                <w:lang w:val="zh-CN"/>
              </w:rPr>
              <w:t>，符合国家清洁生产指标中对设备先进性的要求。</w:t>
            </w:r>
          </w:p>
          <w:p w14:paraId="69D4774D">
            <w:pPr>
              <w:keepNext/>
              <w:keepLines/>
              <w:spacing w:before="60" w:line="360" w:lineRule="auto"/>
              <w:outlineLvl w:val="2"/>
              <w:rPr>
                <w:rFonts w:ascii="Times New Roman" w:hAnsi="Times New Roman" w:eastAsia="宋体" w:cs="Times New Roman"/>
                <w:b/>
                <w:bCs/>
                <w:color w:val="auto"/>
                <w:kern w:val="2"/>
                <w:sz w:val="28"/>
                <w:szCs w:val="32"/>
                <w:lang w:val="en-US" w:eastAsia="zh-CN" w:bidi="ar-SA"/>
              </w:rPr>
            </w:pPr>
            <w:r>
              <w:rPr>
                <w:rFonts w:hint="eastAsia" w:ascii="Times New Roman" w:hAnsi="Times New Roman" w:eastAsia="宋体" w:cs="Times New Roman"/>
                <w:b/>
                <w:bCs/>
                <w:color w:val="auto"/>
                <w:kern w:val="2"/>
                <w:sz w:val="28"/>
                <w:szCs w:val="32"/>
                <w:lang w:val="en-US" w:eastAsia="zh-CN" w:bidi="ar-SA"/>
              </w:rPr>
              <w:t>4.8</w:t>
            </w:r>
            <w:r>
              <w:rPr>
                <w:rFonts w:ascii="Times New Roman" w:hAnsi="Times New Roman" w:eastAsia="宋体" w:cs="Times New Roman"/>
                <w:b/>
                <w:bCs/>
                <w:color w:val="auto"/>
                <w:kern w:val="2"/>
                <w:sz w:val="28"/>
                <w:szCs w:val="32"/>
                <w:lang w:val="en-US" w:eastAsia="zh-CN" w:bidi="ar-SA"/>
              </w:rPr>
              <w:t>.4</w:t>
            </w:r>
            <w:r>
              <w:rPr>
                <w:rFonts w:hint="eastAsia" w:ascii="Times New Roman" w:hAnsi="Times New Roman" w:eastAsia="宋体" w:cs="Times New Roman"/>
                <w:b/>
                <w:bCs/>
                <w:color w:val="auto"/>
                <w:kern w:val="2"/>
                <w:sz w:val="28"/>
                <w:szCs w:val="32"/>
                <w:lang w:val="en-US" w:eastAsia="zh-CN" w:bidi="ar-SA"/>
              </w:rPr>
              <w:t>节能降耗</w:t>
            </w:r>
            <w:r>
              <w:rPr>
                <w:rFonts w:ascii="Times New Roman" w:hAnsi="Times New Roman" w:eastAsia="宋体" w:cs="Times New Roman"/>
                <w:b/>
                <w:bCs/>
                <w:color w:val="auto"/>
                <w:kern w:val="2"/>
                <w:sz w:val="28"/>
                <w:szCs w:val="32"/>
                <w:lang w:val="en-US" w:eastAsia="zh-CN" w:bidi="ar-SA"/>
              </w:rPr>
              <w:t>分析</w:t>
            </w:r>
          </w:p>
          <w:p w14:paraId="47E990EE">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拟建项目在生产技术和设备方面十分重视能耗和物耗指标的考察，首选高效节能型产品，工艺设计充分考虑生产的连续运行和动力负荷的分布，以求降低生产过程中的能耗和物耗。</w:t>
            </w:r>
          </w:p>
          <w:p w14:paraId="2EB47936">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拟建项目采取以下节能措施：</w:t>
            </w:r>
          </w:p>
          <w:p w14:paraId="3EAA273B">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（1）电器节能</w:t>
            </w:r>
          </w:p>
          <w:p w14:paraId="4AE4EEAE">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全厂的供电设备均选用国家推荐使用的节能型电器，选择合理的无功功率补偿和最优的供电方案，力求降低电能损耗。</w:t>
            </w:r>
          </w:p>
          <w:p w14:paraId="7308D8FA">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车间、办公场所照明要选用高效节能光源。</w:t>
            </w:r>
          </w:p>
          <w:p w14:paraId="62F3DA9E">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项目采用紧凑型荧光灯、T5高效节能灯管等高效光源和高效灯具，配电子镇流器。</w:t>
            </w:r>
          </w:p>
          <w:p w14:paraId="66975F1E">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（2）总图节能</w:t>
            </w:r>
          </w:p>
          <w:p w14:paraId="5DD66683">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在平面布置上，动力设备能够尽量靠近负荷中心，以降低能耗，节约能源。</w:t>
            </w:r>
          </w:p>
          <w:p w14:paraId="7D6D34E4">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总图布置上力求紧凑，原料贮存库靠近道路，并靠近生产线，按物料流向布置，缩小原料及成品的输送距离，尽量避免原料的二次倒运。</w:t>
            </w:r>
          </w:p>
          <w:p w14:paraId="52F25EC2">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（3）能耗消耗</w:t>
            </w:r>
          </w:p>
          <w:p w14:paraId="3FB9255A">
            <w:pPr>
              <w:autoSpaceDE w:val="0"/>
              <w:autoSpaceDN w:val="0"/>
              <w:adjustRightInd w:val="0"/>
              <w:spacing w:line="360" w:lineRule="auto"/>
              <w:ind w:firstLine="480" w:firstLineChars="200"/>
              <w:rPr>
                <w:rFonts w:hint="eastAsia" w:ascii="Times New Roman" w:hAnsi="Times New Roman" w:eastAsia="新宋体" w:cs="Times New Roman"/>
                <w:color w:val="auto"/>
                <w:sz w:val="24"/>
                <w:u w:val="none"/>
                <w:lang w:val="zh-CN"/>
              </w:rPr>
            </w:pPr>
            <w:r>
              <w:rPr>
                <w:rFonts w:ascii="Times New Roman" w:hAnsi="Times New Roman" w:eastAsia="新宋体" w:cs="Times New Roman"/>
                <w:color w:val="auto"/>
                <w:sz w:val="24"/>
                <w:u w:val="none"/>
                <w:lang w:val="zh-CN"/>
              </w:rPr>
              <w:t>拟建项目生产耗水主要是</w:t>
            </w:r>
            <w:r>
              <w:rPr>
                <w:rFonts w:hint="eastAsia" w:ascii="Times New Roman" w:hAnsi="Times New Roman" w:eastAsia="新宋体" w:cs="Times New Roman"/>
                <w:color w:val="auto"/>
                <w:sz w:val="24"/>
                <w:u w:val="none"/>
                <w:lang w:val="en-US" w:eastAsia="zh-CN"/>
              </w:rPr>
              <w:t>破碎、清洗废水</w:t>
            </w:r>
            <w:r>
              <w:rPr>
                <w:rFonts w:hint="eastAsia" w:ascii="Times New Roman" w:hAnsi="Times New Roman" w:eastAsia="新宋体" w:cs="Times New Roman"/>
                <w:color w:val="auto"/>
                <w:sz w:val="24"/>
                <w:u w:val="none"/>
                <w:lang w:val="zh-CN"/>
              </w:rPr>
              <w:t>、</w:t>
            </w:r>
            <w:r>
              <w:rPr>
                <w:rFonts w:hint="eastAsia" w:ascii="Times New Roman" w:hAnsi="Times New Roman" w:eastAsia="新宋体" w:cs="Times New Roman"/>
                <w:color w:val="auto"/>
                <w:sz w:val="24"/>
                <w:u w:val="none"/>
                <w:lang w:val="en-US" w:eastAsia="zh-CN"/>
              </w:rPr>
              <w:t>地面冲洗水</w:t>
            </w:r>
            <w:r>
              <w:rPr>
                <w:rFonts w:hint="eastAsia" w:ascii="Times New Roman" w:hAnsi="Times New Roman" w:eastAsia="新宋体" w:cs="Times New Roman"/>
                <w:color w:val="auto"/>
                <w:sz w:val="24"/>
                <w:u w:val="none"/>
                <w:lang w:val="zh-CN"/>
              </w:rPr>
              <w:t>。</w:t>
            </w:r>
          </w:p>
          <w:p w14:paraId="6A49B311">
            <w:pPr>
              <w:spacing w:line="360" w:lineRule="auto"/>
              <w:ind w:firstLine="480" w:firstLineChars="200"/>
              <w:rPr>
                <w:rFonts w:ascii="Times New Roman" w:hAnsi="Times New Roman" w:eastAsia="新宋体" w:cs="Times New Roman"/>
                <w:color w:val="auto"/>
                <w:sz w:val="24"/>
                <w:u w:val="none"/>
                <w:lang w:val="zh-CN"/>
              </w:rPr>
            </w:pPr>
            <w:r>
              <w:rPr>
                <w:rFonts w:hint="eastAsia" w:ascii="Times New Roman" w:hAnsi="Times New Roman" w:eastAsia="宋体" w:cs="Times New Roman"/>
                <w:color w:val="auto"/>
                <w:sz w:val="24"/>
                <w:u w:val="none"/>
              </w:rPr>
              <w:t>项目</w:t>
            </w:r>
            <w:r>
              <w:rPr>
                <w:rFonts w:hint="eastAsia" w:ascii="Times New Roman" w:hAnsi="Times New Roman" w:eastAsia="宋体" w:cs="Times New Roman"/>
                <w:color w:val="auto"/>
                <w:sz w:val="24"/>
                <w:u w:val="none"/>
                <w:lang w:val="en-US" w:eastAsia="zh-CN"/>
              </w:rPr>
              <w:t>清洗、破碎废水</w:t>
            </w:r>
            <w:r>
              <w:rPr>
                <w:rFonts w:hint="eastAsia" w:ascii="Times New Roman" w:hAnsi="Times New Roman" w:eastAsia="宋体" w:cs="Times New Roman"/>
                <w:color w:val="auto"/>
                <w:sz w:val="24"/>
                <w:u w:val="none"/>
              </w:rPr>
              <w:t>回用率为90%，废塑料</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玻璃</w:t>
            </w:r>
            <w:r>
              <w:rPr>
                <w:rFonts w:hint="eastAsia" w:ascii="Times New Roman" w:hAnsi="Times New Roman" w:eastAsia="宋体" w:cs="Times New Roman"/>
                <w:color w:val="auto"/>
                <w:sz w:val="24"/>
                <w:u w:val="none"/>
              </w:rPr>
              <w:t>回收一次新鲜水消耗量约为</w:t>
            </w:r>
            <w:r>
              <w:rPr>
                <w:rFonts w:hint="eastAsia" w:ascii="Times New Roman" w:hAnsi="Times New Roman" w:eastAsia="宋体" w:cs="Times New Roman"/>
                <w:color w:val="auto"/>
                <w:sz w:val="24"/>
                <w:u w:val="none"/>
                <w:lang w:val="en-US" w:eastAsia="zh-CN"/>
              </w:rPr>
              <w:t>0.15</w:t>
            </w:r>
            <w:r>
              <w:rPr>
                <w:rFonts w:hint="eastAsia" w:ascii="Times New Roman" w:hAnsi="Times New Roman" w:eastAsia="宋体" w:cs="Times New Roman"/>
                <w:color w:val="auto"/>
                <w:sz w:val="24"/>
                <w:u w:val="none"/>
              </w:rPr>
              <w:t>t/t废塑料</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玻璃</w:t>
            </w:r>
            <w:r>
              <w:rPr>
                <w:rFonts w:hint="eastAsia" w:ascii="Times New Roman" w:hAnsi="Times New Roman" w:eastAsia="宋体" w:cs="Times New Roman"/>
                <w:color w:val="auto"/>
                <w:sz w:val="24"/>
                <w:u w:val="none"/>
                <w:lang w:eastAsia="zh-CN"/>
              </w:rPr>
              <w:t>，</w:t>
            </w:r>
            <w:r>
              <w:rPr>
                <w:rFonts w:ascii="Times New Roman" w:hAnsi="Times New Roman" w:eastAsia="新宋体" w:cs="Times New Roman"/>
                <w:color w:val="auto"/>
                <w:sz w:val="24"/>
                <w:u w:val="none"/>
                <w:lang w:val="zh-CN"/>
              </w:rPr>
              <w:t>低于同行业生产用水量。</w:t>
            </w:r>
          </w:p>
          <w:p w14:paraId="36FDD72C">
            <w:pPr>
              <w:keepNext/>
              <w:keepLines/>
              <w:spacing w:before="60" w:line="360" w:lineRule="auto"/>
              <w:outlineLvl w:val="2"/>
              <w:rPr>
                <w:rFonts w:ascii="Times New Roman" w:hAnsi="Times New Roman" w:eastAsia="宋体" w:cs="Times New Roman"/>
                <w:b/>
                <w:bCs/>
                <w:color w:val="auto"/>
                <w:kern w:val="2"/>
                <w:sz w:val="28"/>
                <w:szCs w:val="32"/>
                <w:lang w:val="en-US" w:eastAsia="zh-CN" w:bidi="ar-SA"/>
              </w:rPr>
            </w:pPr>
            <w:r>
              <w:rPr>
                <w:rFonts w:hint="eastAsia" w:ascii="Times New Roman" w:hAnsi="Times New Roman" w:eastAsia="宋体" w:cs="Times New Roman"/>
                <w:b/>
                <w:bCs/>
                <w:color w:val="auto"/>
                <w:kern w:val="2"/>
                <w:sz w:val="28"/>
                <w:szCs w:val="32"/>
                <w:lang w:val="en-US" w:eastAsia="zh-CN" w:bidi="ar-SA"/>
              </w:rPr>
              <w:t>4.8.</w:t>
            </w:r>
            <w:r>
              <w:rPr>
                <w:rFonts w:ascii="Times New Roman" w:hAnsi="Times New Roman" w:eastAsia="宋体" w:cs="Times New Roman"/>
                <w:b/>
                <w:bCs/>
                <w:color w:val="auto"/>
                <w:kern w:val="2"/>
                <w:sz w:val="28"/>
                <w:szCs w:val="32"/>
                <w:lang w:val="en-US" w:eastAsia="zh-CN" w:bidi="ar-SA"/>
              </w:rPr>
              <w:t>5污染物的产生与处置措施</w:t>
            </w:r>
          </w:p>
          <w:p w14:paraId="2F17DBC7">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hint="eastAsia" w:ascii="Times New Roman" w:hAnsi="Times New Roman" w:eastAsia="新宋体" w:cs="Times New Roman"/>
                <w:color w:val="auto"/>
                <w:sz w:val="24"/>
                <w:lang w:val="zh-CN"/>
              </w:rPr>
              <w:t>（</w:t>
            </w:r>
            <w:r>
              <w:rPr>
                <w:rFonts w:hint="eastAsia" w:ascii="Times New Roman" w:hAnsi="Times New Roman" w:eastAsia="新宋体" w:cs="Times New Roman"/>
                <w:color w:val="auto"/>
                <w:sz w:val="24"/>
                <w:lang w:val="en-US" w:eastAsia="zh-CN"/>
              </w:rPr>
              <w:t>1</w:t>
            </w:r>
            <w:r>
              <w:rPr>
                <w:rFonts w:hint="eastAsia" w:ascii="Times New Roman" w:hAnsi="Times New Roman" w:eastAsia="新宋体" w:cs="Times New Roman"/>
                <w:color w:val="auto"/>
                <w:sz w:val="24"/>
                <w:lang w:val="zh-CN"/>
              </w:rPr>
              <w:t>）</w:t>
            </w:r>
            <w:r>
              <w:rPr>
                <w:rFonts w:ascii="Times New Roman" w:hAnsi="Times New Roman" w:eastAsia="新宋体" w:cs="Times New Roman"/>
                <w:color w:val="auto"/>
                <w:sz w:val="24"/>
                <w:lang w:val="zh-CN"/>
              </w:rPr>
              <w:t>废水</w:t>
            </w:r>
          </w:p>
          <w:p w14:paraId="546B4D63">
            <w:pPr>
              <w:autoSpaceDE w:val="0"/>
              <w:autoSpaceDN w:val="0"/>
              <w:adjustRightInd w:val="0"/>
              <w:spacing w:line="360" w:lineRule="auto"/>
              <w:ind w:firstLine="480" w:firstLineChars="200"/>
              <w:rPr>
                <w:rFonts w:ascii="Times New Roman" w:hAnsi="Times New Roman" w:eastAsia="新宋体" w:cs="Times New Roman"/>
                <w:color w:val="auto"/>
                <w:sz w:val="24"/>
                <w:u w:val="none"/>
                <w:lang w:val="zh-CN"/>
              </w:rPr>
            </w:pPr>
            <w:r>
              <w:rPr>
                <w:rFonts w:ascii="Times New Roman" w:hAnsi="Times New Roman" w:eastAsia="新宋体" w:cs="Times New Roman"/>
                <w:color w:val="auto"/>
                <w:sz w:val="24"/>
                <w:u w:val="none"/>
                <w:lang w:val="zh-CN"/>
              </w:rPr>
              <w:t>拟建项目实行雨污分流，</w:t>
            </w:r>
            <w:r>
              <w:rPr>
                <w:rFonts w:hint="eastAsia" w:ascii="Times New Roman" w:hAnsi="Times New Roman" w:eastAsia="新宋体" w:cs="Times New Roman"/>
                <w:color w:val="auto"/>
                <w:sz w:val="24"/>
                <w:u w:val="none"/>
                <w:lang w:val="zh-CN"/>
              </w:rPr>
              <w:t>清洗</w:t>
            </w:r>
            <w:r>
              <w:rPr>
                <w:rFonts w:ascii="Times New Roman" w:hAnsi="Times New Roman" w:eastAsia="新宋体" w:cs="Times New Roman"/>
                <w:color w:val="auto"/>
                <w:sz w:val="24"/>
                <w:u w:val="none"/>
                <w:lang w:val="zh-CN"/>
              </w:rPr>
              <w:t>废水</w:t>
            </w:r>
            <w:r>
              <w:rPr>
                <w:rFonts w:hint="eastAsia" w:ascii="Times New Roman" w:hAnsi="Times New Roman" w:eastAsia="新宋体" w:cs="Times New Roman"/>
                <w:color w:val="auto"/>
                <w:sz w:val="24"/>
                <w:u w:val="none"/>
                <w:lang w:val="zh-CN"/>
              </w:rPr>
              <w:t>经</w:t>
            </w:r>
            <w:r>
              <w:rPr>
                <w:rFonts w:ascii="Times New Roman" w:hAnsi="Times New Roman" w:eastAsia="新宋体" w:cs="Times New Roman"/>
                <w:color w:val="auto"/>
                <w:sz w:val="24"/>
                <w:u w:val="none"/>
                <w:lang w:val="zh-CN"/>
              </w:rPr>
              <w:t>处理后</w:t>
            </w:r>
            <w:r>
              <w:rPr>
                <w:rFonts w:hint="eastAsia" w:ascii="Times New Roman" w:hAnsi="Times New Roman" w:eastAsia="新宋体" w:cs="Times New Roman"/>
                <w:color w:val="auto"/>
                <w:sz w:val="24"/>
                <w:u w:val="none"/>
                <w:lang w:val="zh-CN"/>
              </w:rPr>
              <w:t>大部分</w:t>
            </w:r>
            <w:r>
              <w:rPr>
                <w:rFonts w:ascii="Times New Roman" w:hAnsi="Times New Roman" w:eastAsia="新宋体" w:cs="Times New Roman"/>
                <w:color w:val="auto"/>
                <w:sz w:val="24"/>
                <w:u w:val="none"/>
                <w:lang w:val="zh-CN"/>
              </w:rPr>
              <w:t>回用</w:t>
            </w:r>
            <w:r>
              <w:rPr>
                <w:rFonts w:hint="eastAsia" w:ascii="Times New Roman" w:hAnsi="Times New Roman" w:eastAsia="新宋体" w:cs="Times New Roman"/>
                <w:color w:val="auto"/>
                <w:sz w:val="24"/>
                <w:u w:val="none"/>
                <w:lang w:val="zh-CN"/>
              </w:rPr>
              <w:t>于清洗用水</w:t>
            </w:r>
            <w:r>
              <w:rPr>
                <w:rFonts w:ascii="Times New Roman" w:hAnsi="Times New Roman" w:eastAsia="新宋体" w:cs="Times New Roman"/>
                <w:color w:val="auto"/>
                <w:sz w:val="24"/>
                <w:u w:val="none"/>
                <w:lang w:val="zh-CN"/>
              </w:rPr>
              <w:t>，</w:t>
            </w:r>
            <w:r>
              <w:rPr>
                <w:rFonts w:hint="eastAsia" w:ascii="Times New Roman" w:hAnsi="Times New Roman" w:eastAsia="新宋体" w:cs="Times New Roman"/>
                <w:color w:val="auto"/>
                <w:sz w:val="24"/>
                <w:u w:val="none"/>
                <w:lang w:val="zh-CN"/>
              </w:rPr>
              <w:t>少量与生活污水一同排放。</w:t>
            </w:r>
          </w:p>
          <w:p w14:paraId="14449F30">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hint="eastAsia" w:ascii="Times New Roman" w:hAnsi="Times New Roman" w:eastAsia="新宋体" w:cs="Times New Roman"/>
                <w:color w:val="auto"/>
                <w:sz w:val="24"/>
                <w:lang w:val="zh-CN"/>
              </w:rPr>
              <w:t>（</w:t>
            </w:r>
            <w:r>
              <w:rPr>
                <w:rFonts w:hint="eastAsia" w:ascii="Times New Roman" w:hAnsi="Times New Roman" w:eastAsia="新宋体" w:cs="Times New Roman"/>
                <w:color w:val="auto"/>
                <w:sz w:val="24"/>
                <w:lang w:val="en-US" w:eastAsia="zh-CN"/>
              </w:rPr>
              <w:t>2</w:t>
            </w:r>
            <w:r>
              <w:rPr>
                <w:rFonts w:hint="eastAsia" w:ascii="Times New Roman" w:hAnsi="Times New Roman" w:eastAsia="新宋体" w:cs="Times New Roman"/>
                <w:color w:val="auto"/>
                <w:sz w:val="24"/>
                <w:lang w:val="zh-CN"/>
              </w:rPr>
              <w:t>）</w:t>
            </w:r>
            <w:r>
              <w:rPr>
                <w:rFonts w:ascii="Times New Roman" w:hAnsi="Times New Roman" w:eastAsia="新宋体" w:cs="Times New Roman"/>
                <w:color w:val="auto"/>
                <w:sz w:val="24"/>
                <w:lang w:val="zh-CN"/>
              </w:rPr>
              <w:t>噪声</w:t>
            </w:r>
          </w:p>
          <w:p w14:paraId="6B8D2E0F">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拟建项目对声源较大的设备采取减震措施，合理布局等治理措施。</w:t>
            </w:r>
          </w:p>
          <w:p w14:paraId="5416A6E1">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hint="eastAsia" w:ascii="Times New Roman" w:hAnsi="Times New Roman" w:eastAsia="新宋体" w:cs="Times New Roman"/>
                <w:color w:val="auto"/>
                <w:sz w:val="24"/>
                <w:lang w:val="zh-CN"/>
              </w:rPr>
              <w:t>（</w:t>
            </w:r>
            <w:r>
              <w:rPr>
                <w:rFonts w:hint="eastAsia" w:ascii="Times New Roman" w:hAnsi="Times New Roman" w:eastAsia="新宋体" w:cs="Times New Roman"/>
                <w:color w:val="auto"/>
                <w:sz w:val="24"/>
                <w:lang w:val="en-US" w:eastAsia="zh-CN"/>
              </w:rPr>
              <w:t>3</w:t>
            </w:r>
            <w:r>
              <w:rPr>
                <w:rFonts w:hint="eastAsia" w:ascii="Times New Roman" w:hAnsi="Times New Roman" w:eastAsia="新宋体" w:cs="Times New Roman"/>
                <w:color w:val="auto"/>
                <w:sz w:val="24"/>
                <w:lang w:val="zh-CN"/>
              </w:rPr>
              <w:t>）</w:t>
            </w:r>
            <w:r>
              <w:rPr>
                <w:rFonts w:ascii="Times New Roman" w:hAnsi="Times New Roman" w:eastAsia="新宋体" w:cs="Times New Roman"/>
                <w:color w:val="auto"/>
                <w:sz w:val="24"/>
                <w:lang w:val="zh-CN"/>
              </w:rPr>
              <w:t>固体废物</w:t>
            </w:r>
          </w:p>
          <w:p w14:paraId="1ED732CB">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hint="eastAsia" w:ascii="Times New Roman" w:hAnsi="Times New Roman" w:eastAsia="新宋体" w:cs="Times New Roman"/>
                <w:color w:val="auto"/>
                <w:sz w:val="24"/>
                <w:lang w:val="zh-CN"/>
              </w:rPr>
              <w:t>项目根据固废的性质和种类分别收集进行综合利用或外协处置，均能得到有效处置，不会产生二次污染问题。</w:t>
            </w:r>
          </w:p>
          <w:p w14:paraId="4095DF0C">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由以上分析可见，拟建项目对废气、废水、噪声、固废等处置方式均符合《废塑料加工利用污染防治管理规定》（2012年第55号）等技术规范的要求。</w:t>
            </w:r>
          </w:p>
          <w:p w14:paraId="521C1B47">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拟建项目通过采用技术可靠、经济合理的污染防治对策措施，产生的各类主要污染物均能够达标排放，具有良好的环境效益。</w:t>
            </w:r>
          </w:p>
          <w:p w14:paraId="43EEEFBD">
            <w:pPr>
              <w:keepNext/>
              <w:keepLines/>
              <w:spacing w:before="60" w:line="360" w:lineRule="auto"/>
              <w:outlineLvl w:val="2"/>
              <w:rPr>
                <w:rFonts w:ascii="Times New Roman" w:hAnsi="Times New Roman" w:eastAsia="宋体" w:cs="Times New Roman"/>
                <w:b/>
                <w:bCs/>
                <w:color w:val="auto"/>
                <w:kern w:val="2"/>
                <w:sz w:val="28"/>
                <w:szCs w:val="32"/>
                <w:lang w:val="en-US" w:eastAsia="zh-CN" w:bidi="ar-SA"/>
              </w:rPr>
            </w:pPr>
            <w:r>
              <w:rPr>
                <w:rFonts w:hint="eastAsia" w:ascii="Times New Roman" w:hAnsi="Times New Roman" w:eastAsia="宋体" w:cs="Times New Roman"/>
                <w:b/>
                <w:bCs/>
                <w:color w:val="auto"/>
                <w:kern w:val="2"/>
                <w:sz w:val="28"/>
                <w:szCs w:val="32"/>
                <w:lang w:val="en-US" w:eastAsia="zh-CN" w:bidi="ar-SA"/>
              </w:rPr>
              <w:t>4.8.</w:t>
            </w:r>
            <w:r>
              <w:rPr>
                <w:rFonts w:ascii="Times New Roman" w:hAnsi="Times New Roman" w:eastAsia="宋体" w:cs="Times New Roman"/>
                <w:b/>
                <w:bCs/>
                <w:color w:val="auto"/>
                <w:kern w:val="2"/>
                <w:sz w:val="28"/>
                <w:szCs w:val="32"/>
                <w:lang w:val="en-US" w:eastAsia="zh-CN" w:bidi="ar-SA"/>
              </w:rPr>
              <w:t>6废物回收利用指标</w:t>
            </w:r>
          </w:p>
          <w:p w14:paraId="483ECB15">
            <w:pPr>
              <w:autoSpaceDE w:val="0"/>
              <w:autoSpaceDN w:val="0"/>
              <w:adjustRightInd w:val="0"/>
              <w:spacing w:line="360" w:lineRule="auto"/>
              <w:ind w:firstLine="480" w:firstLineChars="200"/>
              <w:rPr>
                <w:rFonts w:ascii="Times New Roman" w:hAnsi="Times New Roman" w:eastAsia="新宋体" w:cs="Times New Roman"/>
                <w:color w:val="auto"/>
                <w:sz w:val="24"/>
                <w:lang w:val="zh-CN"/>
              </w:rPr>
            </w:pPr>
            <w:r>
              <w:rPr>
                <w:rFonts w:ascii="Times New Roman" w:hAnsi="Times New Roman" w:eastAsia="新宋体" w:cs="Times New Roman"/>
                <w:color w:val="auto"/>
                <w:sz w:val="24"/>
                <w:lang w:val="zh-CN"/>
              </w:rPr>
              <w:t>拟建项目生产过程充分提高水的循环利用率，节约水资源。对于生产废水经处理后</w:t>
            </w:r>
            <w:r>
              <w:rPr>
                <w:rFonts w:hint="eastAsia" w:ascii="Times New Roman" w:hAnsi="Times New Roman" w:eastAsia="新宋体" w:cs="Times New Roman"/>
                <w:color w:val="auto"/>
                <w:sz w:val="24"/>
                <w:lang w:val="zh-CN"/>
              </w:rPr>
              <w:t>大部分</w:t>
            </w:r>
            <w:r>
              <w:rPr>
                <w:rFonts w:ascii="Times New Roman" w:hAnsi="Times New Roman" w:eastAsia="新宋体" w:cs="Times New Roman"/>
                <w:color w:val="auto"/>
                <w:sz w:val="24"/>
                <w:lang w:val="zh-CN"/>
              </w:rPr>
              <w:t>回用，少部分达标外排</w:t>
            </w:r>
            <w:r>
              <w:rPr>
                <w:rFonts w:hint="eastAsia" w:ascii="Times New Roman" w:hAnsi="Times New Roman" w:eastAsia="新宋体" w:cs="Times New Roman"/>
                <w:color w:val="auto"/>
                <w:sz w:val="24"/>
                <w:lang w:val="zh-CN"/>
              </w:rPr>
              <w:t>，全厂水的回用率达到</w:t>
            </w:r>
            <w:r>
              <w:rPr>
                <w:rFonts w:hint="eastAsia" w:ascii="Times New Roman" w:hAnsi="Times New Roman" w:eastAsia="宋体" w:cs="Times New Roman"/>
                <w:color w:val="auto"/>
                <w:sz w:val="24"/>
              </w:rPr>
              <w:t>90</w:t>
            </w:r>
            <w:r>
              <w:rPr>
                <w:rFonts w:hint="eastAsia" w:ascii="Times New Roman" w:hAnsi="Times New Roman" w:eastAsia="新宋体" w:cs="Times New Roman"/>
                <w:color w:val="auto"/>
                <w:sz w:val="24"/>
              </w:rPr>
              <w:t>%</w:t>
            </w:r>
            <w:r>
              <w:rPr>
                <w:rFonts w:ascii="Times New Roman" w:hAnsi="Times New Roman" w:eastAsia="新宋体" w:cs="Times New Roman"/>
                <w:color w:val="auto"/>
                <w:sz w:val="24"/>
                <w:lang w:val="zh-CN"/>
              </w:rPr>
              <w:t>。项目产生的生活垃圾、工业固废均得到合理处置，不外排。</w:t>
            </w:r>
          </w:p>
          <w:p w14:paraId="28E4D012">
            <w:pPr>
              <w:keepNext/>
              <w:keepLines/>
              <w:spacing w:before="60" w:line="360" w:lineRule="auto"/>
              <w:outlineLvl w:val="2"/>
              <w:rPr>
                <w:rFonts w:ascii="Times New Roman" w:hAnsi="Times New Roman" w:eastAsia="宋体" w:cs="Times New Roman"/>
                <w:b/>
                <w:bCs/>
                <w:color w:val="auto"/>
                <w:kern w:val="2"/>
                <w:sz w:val="28"/>
                <w:szCs w:val="32"/>
                <w:lang w:val="en-US" w:eastAsia="zh-CN" w:bidi="ar-SA"/>
              </w:rPr>
            </w:pPr>
            <w:r>
              <w:rPr>
                <w:rFonts w:hint="eastAsia" w:ascii="Times New Roman" w:hAnsi="Times New Roman" w:eastAsia="宋体" w:cs="Times New Roman"/>
                <w:b/>
                <w:bCs/>
                <w:color w:val="auto"/>
                <w:kern w:val="2"/>
                <w:sz w:val="28"/>
                <w:szCs w:val="32"/>
                <w:lang w:val="en-US" w:eastAsia="zh-CN" w:bidi="ar-SA"/>
              </w:rPr>
              <w:t>4.8</w:t>
            </w:r>
            <w:r>
              <w:rPr>
                <w:rFonts w:ascii="Times New Roman" w:hAnsi="Times New Roman" w:eastAsia="宋体" w:cs="Times New Roman"/>
                <w:b/>
                <w:bCs/>
                <w:color w:val="auto"/>
                <w:kern w:val="2"/>
                <w:sz w:val="28"/>
                <w:szCs w:val="32"/>
                <w:lang w:val="en-US" w:eastAsia="zh-CN" w:bidi="ar-SA"/>
              </w:rPr>
              <w:t>.</w:t>
            </w:r>
            <w:r>
              <w:rPr>
                <w:rFonts w:hint="eastAsia" w:ascii="Times New Roman" w:hAnsi="Times New Roman" w:eastAsia="宋体" w:cs="Times New Roman"/>
                <w:b/>
                <w:bCs/>
                <w:color w:val="auto"/>
                <w:kern w:val="2"/>
                <w:sz w:val="28"/>
                <w:szCs w:val="32"/>
                <w:lang w:val="en-US" w:eastAsia="zh-CN" w:bidi="ar-SA"/>
              </w:rPr>
              <w:t>7</w:t>
            </w:r>
            <w:r>
              <w:rPr>
                <w:rFonts w:ascii="Times New Roman" w:hAnsi="Times New Roman" w:eastAsia="宋体" w:cs="Times New Roman"/>
                <w:b/>
                <w:bCs/>
                <w:color w:val="auto"/>
                <w:kern w:val="2"/>
                <w:sz w:val="28"/>
                <w:szCs w:val="32"/>
                <w:lang w:val="en-US" w:eastAsia="zh-CN" w:bidi="ar-SA"/>
              </w:rPr>
              <w:t>清洁生产小结</w:t>
            </w:r>
          </w:p>
          <w:p w14:paraId="79B0E7F0">
            <w:pPr>
              <w:autoSpaceDE w:val="0"/>
              <w:autoSpaceDN w:val="0"/>
              <w:adjustRightInd w:val="0"/>
              <w:spacing w:line="360" w:lineRule="auto"/>
              <w:ind w:firstLine="480" w:firstLineChars="200"/>
              <w:rPr>
                <w:rFonts w:hint="default" w:ascii="Times New Roman" w:hAnsi="Times New Roman" w:eastAsia="新宋体" w:cs="Times New Roman"/>
                <w:color w:val="auto"/>
                <w:sz w:val="24"/>
                <w:lang w:val="en-US" w:eastAsia="zh-CN"/>
              </w:rPr>
            </w:pPr>
            <w:r>
              <w:rPr>
                <w:rFonts w:ascii="Times New Roman" w:hAnsi="Times New Roman" w:eastAsia="新宋体" w:cs="Times New Roman"/>
                <w:color w:val="auto"/>
                <w:sz w:val="24"/>
                <w:lang w:val="zh-CN"/>
              </w:rPr>
              <w:t>从以上的分析可知，本项目的原辅料及能源、产品、生产工艺及设备、资源综合利用、污染控制、环境管理等指标符合国内清洁生产，本项目符合清洁生产要求。建议企业应按清洁生产标准开展清洁生产审核工作，对各种</w:t>
            </w:r>
            <w:r>
              <w:rPr>
                <w:rFonts w:hint="eastAsia" w:ascii="Times New Roman" w:hAnsi="Times New Roman" w:eastAsia="新宋体" w:cs="Times New Roman"/>
                <w:color w:val="auto"/>
                <w:sz w:val="24"/>
                <w:lang w:val="zh-CN"/>
              </w:rPr>
              <w:t>原辅</w:t>
            </w:r>
            <w:r>
              <w:rPr>
                <w:rFonts w:ascii="Times New Roman" w:hAnsi="Times New Roman" w:eastAsia="新宋体" w:cs="Times New Roman"/>
                <w:color w:val="auto"/>
                <w:sz w:val="24"/>
                <w:lang w:val="zh-CN"/>
              </w:rPr>
              <w:t>材料进行认真分类，尽可能将有用的物质全部回收利用，提高资源的综合利用率，提高清洁生产水平。</w:t>
            </w:r>
          </w:p>
          <w:p w14:paraId="1423CA54">
            <w:pPr>
              <w:pStyle w:val="3"/>
              <w:keepNext/>
              <w:keepLines/>
              <w:pageBreakBefore w:val="0"/>
              <w:widowControl w:val="0"/>
              <w:numPr>
                <w:ilvl w:val="1"/>
                <w:numId w:val="0"/>
              </w:numPr>
              <w:kinsoku/>
              <w:wordWrap/>
              <w:overflowPunct/>
              <w:topLinePunct w:val="0"/>
              <w:autoSpaceDE/>
              <w:autoSpaceDN/>
              <w:bidi w:val="0"/>
              <w:adjustRightInd/>
              <w:snapToGrid/>
              <w:spacing w:before="157" w:beforeLines="50"/>
              <w:ind w:leftChars="0"/>
              <w:textAlignment w:val="auto"/>
              <w:rPr>
                <w:rFonts w:hint="default" w:ascii="Times New Roman" w:hAnsi="Times New Roman" w:cs="Times New Roman"/>
                <w:color w:val="auto"/>
              </w:rPr>
            </w:pPr>
            <w:r>
              <w:rPr>
                <w:rFonts w:hint="eastAsia" w:cs="Times New Roman"/>
                <w:color w:val="auto"/>
                <w:lang w:val="en-US" w:eastAsia="zh-CN"/>
              </w:rPr>
              <w:t>4.9</w:t>
            </w:r>
            <w:r>
              <w:rPr>
                <w:rFonts w:hint="default" w:ascii="Times New Roman" w:hAnsi="Times New Roman" w:cs="Times New Roman"/>
                <w:color w:val="auto"/>
              </w:rPr>
              <w:t>环保投资概算</w:t>
            </w:r>
          </w:p>
          <w:p w14:paraId="7D8BFDAA">
            <w:pPr>
              <w:autoSpaceDE w:val="0"/>
              <w:autoSpaceDN w:val="0"/>
              <w:spacing w:line="360" w:lineRule="auto"/>
              <w:ind w:firstLine="480" w:firstLineChars="200"/>
              <w:textAlignment w:val="bottom"/>
              <w:rPr>
                <w:rFonts w:hint="default" w:ascii="Times New Roman" w:hAnsi="Times New Roman" w:cs="Times New Roman"/>
                <w:color w:val="auto"/>
                <w:sz w:val="24"/>
              </w:rPr>
            </w:pPr>
            <w:r>
              <w:rPr>
                <w:rFonts w:hint="default" w:ascii="Times New Roman" w:hAnsi="Times New Roman" w:cs="Times New Roman"/>
                <w:color w:val="auto"/>
                <w:sz w:val="24"/>
              </w:rPr>
              <w:t>项目的环保设施投资主要内容及估算如表4.</w:t>
            </w:r>
            <w:r>
              <w:rPr>
                <w:rFonts w:hint="eastAsia" w:cs="Times New Roman"/>
                <w:color w:val="auto"/>
                <w:sz w:val="24"/>
                <w:lang w:val="en-US" w:eastAsia="zh-CN"/>
              </w:rPr>
              <w:t>9</w:t>
            </w:r>
            <w:r>
              <w:rPr>
                <w:rFonts w:hint="default" w:ascii="Times New Roman" w:hAnsi="Times New Roman" w:cs="Times New Roman"/>
                <w:color w:val="auto"/>
                <w:sz w:val="24"/>
              </w:rPr>
              <w:t>-1所示：</w:t>
            </w:r>
          </w:p>
          <w:p w14:paraId="14C400CC">
            <w:pPr>
              <w:pStyle w:val="123"/>
              <w:bidi w:val="0"/>
              <w:rPr>
                <w:rFonts w:hint="default" w:ascii="Times New Roman" w:hAnsi="Times New Roman" w:cs="Times New Roman"/>
                <w:color w:val="auto"/>
              </w:rPr>
            </w:pPr>
            <w:r>
              <w:rPr>
                <w:rFonts w:hint="default" w:ascii="Times New Roman" w:hAnsi="Times New Roman" w:cs="Times New Roman"/>
                <w:color w:val="auto"/>
              </w:rPr>
              <w:t>表4.</w:t>
            </w:r>
            <w:r>
              <w:rPr>
                <w:rFonts w:hint="eastAsia" w:cs="Times New Roman"/>
                <w:color w:val="auto"/>
                <w:lang w:val="en-US" w:eastAsia="zh-CN"/>
              </w:rPr>
              <w:t>9</w:t>
            </w:r>
            <w:r>
              <w:rPr>
                <w:rFonts w:hint="default" w:ascii="Times New Roman" w:hAnsi="Times New Roman" w:cs="Times New Roman"/>
                <w:color w:val="auto"/>
              </w:rPr>
              <w:t>-1  环保措施投资估算表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5838"/>
              <w:gridCol w:w="1133"/>
            </w:tblGrid>
            <w:tr w14:paraId="36D3C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7FFA0EEB">
                  <w:pPr>
                    <w:pStyle w:val="126"/>
                    <w:bidi w:val="0"/>
                    <w:rPr>
                      <w:rFonts w:hint="default" w:ascii="Times New Roman" w:hAnsi="Times New Roman" w:cs="Times New Roman"/>
                      <w:color w:val="auto"/>
                    </w:rPr>
                  </w:pPr>
                  <w:r>
                    <w:rPr>
                      <w:rFonts w:hint="default" w:ascii="Times New Roman" w:hAnsi="Times New Roman" w:cs="Times New Roman"/>
                      <w:color w:val="auto"/>
                    </w:rPr>
                    <w:t>污染源</w:t>
                  </w:r>
                </w:p>
              </w:tc>
              <w:tc>
                <w:tcPr>
                  <w:tcW w:w="3498" w:type="pct"/>
                  <w:noWrap w:val="0"/>
                  <w:vAlign w:val="center"/>
                </w:tcPr>
                <w:p w14:paraId="3F8B50B9">
                  <w:pPr>
                    <w:pStyle w:val="126"/>
                    <w:bidi w:val="0"/>
                    <w:rPr>
                      <w:rFonts w:hint="default" w:ascii="Times New Roman" w:hAnsi="Times New Roman" w:cs="Times New Roman"/>
                      <w:color w:val="auto"/>
                    </w:rPr>
                  </w:pPr>
                  <w:r>
                    <w:rPr>
                      <w:rFonts w:hint="default" w:ascii="Times New Roman" w:hAnsi="Times New Roman" w:cs="Times New Roman"/>
                      <w:color w:val="auto"/>
                    </w:rPr>
                    <w:t>治理措施或设施</w:t>
                  </w:r>
                </w:p>
              </w:tc>
              <w:tc>
                <w:tcPr>
                  <w:tcW w:w="679" w:type="pct"/>
                  <w:noWrap w:val="0"/>
                  <w:vAlign w:val="center"/>
                </w:tcPr>
                <w:p w14:paraId="3BB02EDD">
                  <w:pPr>
                    <w:pStyle w:val="126"/>
                    <w:bidi w:val="0"/>
                    <w:rPr>
                      <w:rFonts w:hint="default" w:ascii="Times New Roman" w:hAnsi="Times New Roman" w:cs="Times New Roman"/>
                      <w:color w:val="auto"/>
                    </w:rPr>
                  </w:pPr>
                  <w:r>
                    <w:rPr>
                      <w:rFonts w:hint="default" w:ascii="Times New Roman" w:hAnsi="Times New Roman" w:cs="Times New Roman"/>
                      <w:color w:val="auto"/>
                    </w:rPr>
                    <w:t>投资</w:t>
                  </w:r>
                </w:p>
              </w:tc>
            </w:tr>
            <w:tr w14:paraId="0EBC5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vMerge w:val="restart"/>
                  <w:noWrap w:val="0"/>
                  <w:vAlign w:val="center"/>
                </w:tcPr>
                <w:p w14:paraId="7F2358C4">
                  <w:pPr>
                    <w:pStyle w:val="126"/>
                    <w:bidi w:val="0"/>
                    <w:rPr>
                      <w:rFonts w:hint="default" w:ascii="Times New Roman" w:hAnsi="Times New Roman" w:cs="Times New Roman"/>
                      <w:color w:val="auto"/>
                    </w:rPr>
                  </w:pPr>
                  <w:r>
                    <w:rPr>
                      <w:rFonts w:hint="default" w:ascii="Times New Roman" w:hAnsi="Times New Roman" w:cs="Times New Roman"/>
                      <w:color w:val="auto"/>
                    </w:rPr>
                    <w:t>废水</w:t>
                  </w:r>
                </w:p>
              </w:tc>
              <w:tc>
                <w:tcPr>
                  <w:tcW w:w="3498" w:type="pct"/>
                  <w:noWrap w:val="0"/>
                  <w:vAlign w:val="center"/>
                </w:tcPr>
                <w:p w14:paraId="3059399E">
                  <w:pPr>
                    <w:pStyle w:val="126"/>
                    <w:bidi w:val="0"/>
                    <w:rPr>
                      <w:rFonts w:hint="default" w:ascii="Times New Roman" w:hAnsi="Times New Roman" w:cs="Times New Roman"/>
                      <w:color w:val="auto"/>
                    </w:rPr>
                  </w:pPr>
                  <w:r>
                    <w:rPr>
                      <w:rFonts w:hint="default" w:ascii="Times New Roman" w:hAnsi="Times New Roman" w:cs="Times New Roman"/>
                      <w:color w:val="auto"/>
                      <w:lang w:val="zh-CN"/>
                    </w:rPr>
                    <w:t>依托厂区内已建化粪池及污水收集管道</w:t>
                  </w:r>
                </w:p>
              </w:tc>
              <w:tc>
                <w:tcPr>
                  <w:tcW w:w="679" w:type="pct"/>
                  <w:noWrap w:val="0"/>
                  <w:vAlign w:val="center"/>
                </w:tcPr>
                <w:p w14:paraId="1B0CEFD4">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39720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vMerge w:val="continue"/>
                  <w:noWrap w:val="0"/>
                  <w:vAlign w:val="center"/>
                </w:tcPr>
                <w:p w14:paraId="577AEF7B">
                  <w:pPr>
                    <w:pStyle w:val="126"/>
                    <w:bidi w:val="0"/>
                    <w:rPr>
                      <w:rFonts w:hint="default" w:ascii="Times New Roman" w:hAnsi="Times New Roman" w:cs="Times New Roman"/>
                      <w:color w:val="auto"/>
                    </w:rPr>
                  </w:pPr>
                </w:p>
              </w:tc>
              <w:tc>
                <w:tcPr>
                  <w:tcW w:w="3498" w:type="pct"/>
                  <w:noWrap w:val="0"/>
                  <w:vAlign w:val="center"/>
                </w:tcPr>
                <w:p w14:paraId="0265F270">
                  <w:pPr>
                    <w:pStyle w:val="126"/>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新建污水处理设施及回用管道，处理规模为40m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tc>
              <w:tc>
                <w:tcPr>
                  <w:tcW w:w="679" w:type="pct"/>
                  <w:noWrap w:val="0"/>
                  <w:vAlign w:val="center"/>
                </w:tcPr>
                <w:p w14:paraId="1F95F394">
                  <w:pPr>
                    <w:pStyle w:val="126"/>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r>
                    <w:rPr>
                      <w:rFonts w:hint="default" w:ascii="Times New Roman" w:hAnsi="Times New Roman" w:cs="Times New Roman"/>
                      <w:color w:val="auto"/>
                    </w:rPr>
                    <w:t>万元</w:t>
                  </w:r>
                </w:p>
              </w:tc>
            </w:tr>
            <w:tr w14:paraId="479EC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5FBF9954">
                  <w:pPr>
                    <w:pStyle w:val="126"/>
                    <w:bidi w:val="0"/>
                    <w:rPr>
                      <w:rFonts w:hint="default" w:ascii="Times New Roman" w:hAnsi="Times New Roman" w:cs="Times New Roman"/>
                      <w:color w:val="auto"/>
                    </w:rPr>
                  </w:pPr>
                  <w:r>
                    <w:rPr>
                      <w:rFonts w:hint="default" w:ascii="Times New Roman" w:hAnsi="Times New Roman" w:cs="Times New Roman"/>
                      <w:color w:val="auto"/>
                    </w:rPr>
                    <w:t>废气</w:t>
                  </w:r>
                </w:p>
              </w:tc>
              <w:tc>
                <w:tcPr>
                  <w:tcW w:w="3498" w:type="pct"/>
                  <w:noWrap w:val="0"/>
                  <w:vAlign w:val="center"/>
                </w:tcPr>
                <w:p w14:paraId="2BA3E63A">
                  <w:pPr>
                    <w:pStyle w:val="126"/>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679" w:type="pct"/>
                  <w:noWrap w:val="0"/>
                  <w:vAlign w:val="center"/>
                </w:tcPr>
                <w:p w14:paraId="55921773">
                  <w:pPr>
                    <w:pStyle w:val="126"/>
                    <w:bidi w:val="0"/>
                    <w:rPr>
                      <w:rFonts w:hint="default" w:ascii="Times New Roman" w:hAnsi="Times New Roman" w:cs="Times New Roman"/>
                      <w:color w:val="auto"/>
                      <w:lang w:val="en-US"/>
                    </w:rPr>
                  </w:pPr>
                </w:p>
              </w:tc>
            </w:tr>
            <w:tr w14:paraId="7A90F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411BB8BC">
                  <w:pPr>
                    <w:pStyle w:val="126"/>
                    <w:bidi w:val="0"/>
                    <w:rPr>
                      <w:rFonts w:hint="default" w:ascii="Times New Roman" w:hAnsi="Times New Roman" w:cs="Times New Roman"/>
                      <w:color w:val="auto"/>
                    </w:rPr>
                  </w:pPr>
                  <w:r>
                    <w:rPr>
                      <w:rFonts w:hint="default" w:ascii="Times New Roman" w:hAnsi="Times New Roman" w:cs="Times New Roman"/>
                      <w:color w:val="auto"/>
                    </w:rPr>
                    <w:t>噪声</w:t>
                  </w:r>
                </w:p>
              </w:tc>
              <w:tc>
                <w:tcPr>
                  <w:tcW w:w="3498" w:type="pct"/>
                  <w:noWrap w:val="0"/>
                  <w:vAlign w:val="center"/>
                </w:tcPr>
                <w:p w14:paraId="414065CC">
                  <w:pPr>
                    <w:pStyle w:val="126"/>
                    <w:bidi w:val="0"/>
                    <w:rPr>
                      <w:rFonts w:hint="default" w:ascii="Times New Roman" w:hAnsi="Times New Roman" w:cs="Times New Roman"/>
                      <w:color w:val="auto"/>
                    </w:rPr>
                  </w:pPr>
                  <w:r>
                    <w:rPr>
                      <w:rFonts w:hint="default" w:ascii="Times New Roman" w:hAnsi="Times New Roman" w:cs="Times New Roman"/>
                      <w:color w:val="auto"/>
                    </w:rPr>
                    <w:t>隔声、减振等综合降噪措施</w:t>
                  </w:r>
                </w:p>
              </w:tc>
              <w:tc>
                <w:tcPr>
                  <w:tcW w:w="679" w:type="pct"/>
                  <w:noWrap w:val="0"/>
                  <w:vAlign w:val="center"/>
                </w:tcPr>
                <w:p w14:paraId="145D7D97">
                  <w:pPr>
                    <w:pStyle w:val="126"/>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万元</w:t>
                  </w:r>
                </w:p>
              </w:tc>
            </w:tr>
            <w:tr w14:paraId="3A357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3E8524C2">
                  <w:pPr>
                    <w:pStyle w:val="126"/>
                    <w:bidi w:val="0"/>
                    <w:rPr>
                      <w:rFonts w:hint="default" w:ascii="Times New Roman" w:hAnsi="Times New Roman" w:cs="Times New Roman"/>
                      <w:color w:val="auto"/>
                    </w:rPr>
                  </w:pPr>
                  <w:r>
                    <w:rPr>
                      <w:rFonts w:hint="default" w:ascii="Times New Roman" w:hAnsi="Times New Roman" w:cs="Times New Roman"/>
                      <w:color w:val="auto"/>
                    </w:rPr>
                    <w:t>固体废物</w:t>
                  </w:r>
                </w:p>
              </w:tc>
              <w:tc>
                <w:tcPr>
                  <w:tcW w:w="3498" w:type="pct"/>
                  <w:noWrap w:val="0"/>
                  <w:vAlign w:val="center"/>
                </w:tcPr>
                <w:p w14:paraId="405BD876">
                  <w:pPr>
                    <w:pStyle w:val="126"/>
                    <w:bidi w:val="0"/>
                    <w:rPr>
                      <w:rFonts w:hint="default" w:ascii="Times New Roman" w:hAnsi="Times New Roman" w:cs="Times New Roman"/>
                      <w:color w:val="auto"/>
                    </w:rPr>
                  </w:pPr>
                  <w:r>
                    <w:rPr>
                      <w:rFonts w:hint="default" w:ascii="Times New Roman" w:hAnsi="Times New Roman" w:cs="Times New Roman"/>
                      <w:color w:val="auto"/>
                    </w:rPr>
                    <w:t>固废收集装置</w:t>
                  </w:r>
                </w:p>
              </w:tc>
              <w:tc>
                <w:tcPr>
                  <w:tcW w:w="679" w:type="pct"/>
                  <w:noWrap w:val="0"/>
                  <w:vAlign w:val="center"/>
                </w:tcPr>
                <w:p w14:paraId="05BB58B4">
                  <w:pPr>
                    <w:pStyle w:val="126"/>
                    <w:bidi w:val="0"/>
                    <w:rPr>
                      <w:rFonts w:hint="default" w:ascii="Times New Roman" w:hAnsi="Times New Roman" w:cs="Times New Roman"/>
                      <w:color w:val="auto"/>
                    </w:rPr>
                  </w:pPr>
                  <w:r>
                    <w:rPr>
                      <w:rFonts w:hint="eastAsia" w:ascii="Times New Roman" w:hAnsi="Times New Roman" w:cs="Times New Roman"/>
                      <w:color w:val="auto"/>
                      <w:lang w:val="en-US" w:eastAsia="zh-CN"/>
                    </w:rPr>
                    <w:t>2</w:t>
                  </w:r>
                  <w:r>
                    <w:rPr>
                      <w:rFonts w:hint="default" w:ascii="Times New Roman" w:hAnsi="Times New Roman" w:cs="Times New Roman"/>
                      <w:color w:val="auto"/>
                    </w:rPr>
                    <w:t>万元</w:t>
                  </w:r>
                </w:p>
              </w:tc>
            </w:tr>
            <w:tr w14:paraId="70903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7478DE91">
                  <w:pPr>
                    <w:pStyle w:val="126"/>
                    <w:bidi w:val="0"/>
                    <w:rPr>
                      <w:rFonts w:hint="default" w:ascii="Times New Roman" w:hAnsi="Times New Roman" w:eastAsia="宋体" w:cs="Times New Roman"/>
                      <w:color w:val="auto"/>
                      <w:lang w:val="en-US" w:eastAsia="zh-CN"/>
                    </w:rPr>
                  </w:pPr>
                  <w:r>
                    <w:rPr>
                      <w:rFonts w:hint="eastAsia" w:cs="Times New Roman"/>
                      <w:color w:val="auto"/>
                      <w:lang w:val="en-US" w:eastAsia="zh-CN"/>
                    </w:rPr>
                    <w:t>环境风险</w:t>
                  </w:r>
                </w:p>
              </w:tc>
              <w:tc>
                <w:tcPr>
                  <w:tcW w:w="3498" w:type="pct"/>
                  <w:noWrap w:val="0"/>
                  <w:vAlign w:val="center"/>
                </w:tcPr>
                <w:p w14:paraId="10CFFDD6">
                  <w:pPr>
                    <w:pStyle w:val="126"/>
                    <w:bidi w:val="0"/>
                    <w:rPr>
                      <w:rFonts w:hint="default" w:ascii="Times New Roman" w:hAnsi="Times New Roman" w:cs="Times New Roman"/>
                      <w:color w:val="auto"/>
                    </w:rPr>
                  </w:pPr>
                  <w:r>
                    <w:rPr>
                      <w:rFonts w:hint="eastAsia"/>
                      <w:color w:val="auto"/>
                      <w:szCs w:val="22"/>
                    </w:rPr>
                    <w:t>1个20m</w:t>
                  </w:r>
                  <w:r>
                    <w:rPr>
                      <w:rFonts w:hint="eastAsia"/>
                      <w:color w:val="auto"/>
                      <w:szCs w:val="22"/>
                      <w:vertAlign w:val="superscript"/>
                    </w:rPr>
                    <w:t>3</w:t>
                  </w:r>
                  <w:r>
                    <w:rPr>
                      <w:rFonts w:hint="eastAsia"/>
                      <w:color w:val="auto"/>
                      <w:szCs w:val="22"/>
                    </w:rPr>
                    <w:t>事故应急水罐</w:t>
                  </w:r>
                </w:p>
              </w:tc>
              <w:tc>
                <w:tcPr>
                  <w:tcW w:w="679" w:type="pct"/>
                  <w:noWrap w:val="0"/>
                  <w:vAlign w:val="center"/>
                </w:tcPr>
                <w:p w14:paraId="287CD2C7">
                  <w:pPr>
                    <w:pStyle w:val="126"/>
                    <w:bidi w:val="0"/>
                    <w:rPr>
                      <w:rFonts w:hint="default" w:ascii="Times New Roman" w:hAnsi="Times New Roman" w:cs="Times New Roman"/>
                      <w:color w:val="auto"/>
                      <w:lang w:val="en-US" w:eastAsia="zh-CN"/>
                    </w:rPr>
                  </w:pPr>
                  <w:r>
                    <w:rPr>
                      <w:rFonts w:hint="eastAsia" w:cs="Times New Roman"/>
                      <w:color w:val="auto"/>
                      <w:lang w:val="en-US" w:eastAsia="zh-CN"/>
                    </w:rPr>
                    <w:t>5万元</w:t>
                  </w:r>
                </w:p>
              </w:tc>
            </w:tr>
            <w:tr w14:paraId="67BAB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0" w:type="pct"/>
                  <w:gridSpan w:val="2"/>
                  <w:noWrap w:val="0"/>
                  <w:vAlign w:val="center"/>
                </w:tcPr>
                <w:p w14:paraId="4B1C9035">
                  <w:pPr>
                    <w:pStyle w:val="126"/>
                    <w:bidi w:val="0"/>
                    <w:rPr>
                      <w:rFonts w:hint="default" w:ascii="Times New Roman" w:hAnsi="Times New Roman" w:cs="Times New Roman"/>
                      <w:color w:val="auto"/>
                    </w:rPr>
                  </w:pPr>
                  <w:r>
                    <w:rPr>
                      <w:rFonts w:hint="default" w:ascii="Times New Roman" w:hAnsi="Times New Roman" w:cs="Times New Roman"/>
                      <w:color w:val="auto"/>
                    </w:rPr>
                    <w:t>总计</w:t>
                  </w:r>
                </w:p>
              </w:tc>
              <w:tc>
                <w:tcPr>
                  <w:tcW w:w="679" w:type="pct"/>
                  <w:noWrap w:val="0"/>
                  <w:vAlign w:val="center"/>
                </w:tcPr>
                <w:p w14:paraId="26DB8A3C">
                  <w:pPr>
                    <w:pStyle w:val="126"/>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eastAsia" w:cs="Times New Roman"/>
                      <w:color w:val="auto"/>
                      <w:lang w:val="en-US" w:eastAsia="zh-CN"/>
                    </w:rPr>
                    <w:t>9</w:t>
                  </w:r>
                  <w:r>
                    <w:rPr>
                      <w:rFonts w:hint="default" w:ascii="Times New Roman" w:hAnsi="Times New Roman" w:cs="Times New Roman"/>
                      <w:color w:val="auto"/>
                    </w:rPr>
                    <w:t>万元</w:t>
                  </w:r>
                </w:p>
              </w:tc>
            </w:tr>
          </w:tbl>
          <w:p w14:paraId="262F5291">
            <w:pPr>
              <w:adjustRightInd w:val="0"/>
              <w:snapToGrid w:val="0"/>
              <w:rPr>
                <w:rFonts w:hint="default" w:ascii="Times New Roman" w:hAnsi="Times New Roman" w:eastAsia="宋体" w:cs="Times New Roman"/>
                <w:bCs/>
                <w:color w:val="auto"/>
                <w:spacing w:val="-10"/>
                <w:szCs w:val="21"/>
              </w:rPr>
            </w:pPr>
          </w:p>
        </w:tc>
      </w:tr>
    </w:tbl>
    <w:p w14:paraId="7B2292E4">
      <w:pPr>
        <w:pStyle w:val="22"/>
        <w:jc w:val="center"/>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B887C54">
      <w:pPr>
        <w:pStyle w:val="22"/>
        <w:jc w:val="center"/>
        <w:outlineLvl w:val="0"/>
        <w:rPr>
          <w:rFonts w:hint="default" w:ascii="Times New Roman" w:hAnsi="Times New Roman" w:eastAsia="宋体" w:cs="Times New Roman"/>
          <w:snapToGrid w:val="0"/>
          <w:color w:val="auto"/>
          <w:sz w:val="30"/>
          <w:szCs w:val="30"/>
        </w:rPr>
      </w:pPr>
      <w:bookmarkStart w:id="28" w:name="_Toc16509"/>
      <w:r>
        <w:rPr>
          <w:rFonts w:hint="default" w:ascii="Times New Roman" w:hAnsi="Times New Roman" w:eastAsia="黑体" w:cs="Times New Roman"/>
          <w:snapToGrid w:val="0"/>
          <w:color w:val="auto"/>
          <w:sz w:val="30"/>
          <w:szCs w:val="30"/>
        </w:rPr>
        <w:t>五、</w:t>
      </w:r>
      <w:bookmarkStart w:id="29" w:name="_Hlk54167917"/>
      <w:r>
        <w:rPr>
          <w:rFonts w:hint="default" w:ascii="Times New Roman" w:hAnsi="Times New Roman" w:eastAsia="黑体" w:cs="Times New Roman"/>
          <w:snapToGrid w:val="0"/>
          <w:color w:val="auto"/>
          <w:sz w:val="30"/>
          <w:szCs w:val="30"/>
        </w:rPr>
        <w:t>环境保护措施监督检查清单</w:t>
      </w:r>
      <w:bookmarkEnd w:id="28"/>
      <w:bookmarkEnd w:id="29"/>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193"/>
        <w:gridCol w:w="1313"/>
        <w:gridCol w:w="1832"/>
        <w:gridCol w:w="3402"/>
      </w:tblGrid>
      <w:tr w14:paraId="0C010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060" w:type="dxa"/>
            <w:tcBorders>
              <w:tl2br w:val="single" w:color="auto" w:sz="4" w:space="0"/>
            </w:tcBorders>
            <w:noWrap w:val="0"/>
            <w:vAlign w:val="top"/>
          </w:tcPr>
          <w:p w14:paraId="39E779E8">
            <w:pPr>
              <w:keepNext w:val="0"/>
              <w:keepLines w:val="0"/>
              <w:pageBreakBefore w:val="0"/>
              <w:widowControl w:val="0"/>
              <w:kinsoku/>
              <w:wordWrap/>
              <w:overflowPunct/>
              <w:topLinePunct w:val="0"/>
              <w:bidi w:val="0"/>
              <w:adjustRightInd w:val="0"/>
              <w:snapToGrid w:val="0"/>
              <w:spacing w:line="340" w:lineRule="exact"/>
              <w:jc w:val="right"/>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内容</w:t>
            </w:r>
          </w:p>
          <w:p w14:paraId="5B44CF7B">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color w:val="auto"/>
                <w:spacing w:val="0"/>
                <w:szCs w:val="21"/>
              </w:rPr>
            </w:pPr>
          </w:p>
          <w:p w14:paraId="4EFDF6C5">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要素</w:t>
            </w:r>
          </w:p>
        </w:tc>
        <w:tc>
          <w:tcPr>
            <w:tcW w:w="1193" w:type="dxa"/>
            <w:noWrap w:val="0"/>
            <w:vAlign w:val="center"/>
          </w:tcPr>
          <w:p w14:paraId="5E85F16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排放口(编号、名称)/污染源</w:t>
            </w:r>
          </w:p>
        </w:tc>
        <w:tc>
          <w:tcPr>
            <w:tcW w:w="1313" w:type="dxa"/>
            <w:noWrap w:val="0"/>
            <w:vAlign w:val="center"/>
          </w:tcPr>
          <w:p w14:paraId="59A62E6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污染物</w:t>
            </w:r>
          </w:p>
          <w:p w14:paraId="306D866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项目</w:t>
            </w:r>
          </w:p>
        </w:tc>
        <w:tc>
          <w:tcPr>
            <w:tcW w:w="1832" w:type="dxa"/>
            <w:noWrap w:val="0"/>
            <w:vAlign w:val="center"/>
          </w:tcPr>
          <w:p w14:paraId="7AA49A9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环境保护措施</w:t>
            </w:r>
          </w:p>
        </w:tc>
        <w:tc>
          <w:tcPr>
            <w:tcW w:w="3402" w:type="dxa"/>
            <w:noWrap w:val="0"/>
            <w:vAlign w:val="center"/>
          </w:tcPr>
          <w:p w14:paraId="6D40441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执行标准</w:t>
            </w:r>
          </w:p>
        </w:tc>
      </w:tr>
      <w:tr w14:paraId="195D7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2F148CB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大气环境</w:t>
            </w:r>
          </w:p>
        </w:tc>
        <w:tc>
          <w:tcPr>
            <w:tcW w:w="1193" w:type="dxa"/>
            <w:shd w:val="clear" w:color="auto" w:fill="auto"/>
            <w:noWrap w:val="0"/>
            <w:vAlign w:val="center"/>
          </w:tcPr>
          <w:p w14:paraId="2D34915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厂界</w:t>
            </w:r>
            <w:r>
              <w:rPr>
                <w:rFonts w:hint="eastAsia" w:ascii="Times New Roman" w:hAnsi="Times New Roman" w:eastAsia="宋体" w:cs="Times New Roman"/>
                <w:color w:val="auto"/>
                <w:spacing w:val="0"/>
                <w:szCs w:val="21"/>
                <w:highlight w:val="none"/>
                <w:lang w:val="en-US" w:eastAsia="zh-CN"/>
              </w:rPr>
              <w:t>/</w:t>
            </w:r>
          </w:p>
          <w:p w14:paraId="59D9A04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szCs w:val="21"/>
                <w:highlight w:val="none"/>
                <w:lang w:val="en-US" w:eastAsia="zh-CN"/>
              </w:rPr>
              <w:t>污水处理设施</w:t>
            </w:r>
          </w:p>
        </w:tc>
        <w:tc>
          <w:tcPr>
            <w:tcW w:w="1313" w:type="dxa"/>
            <w:shd w:val="clear" w:color="auto" w:fill="auto"/>
            <w:noWrap w:val="0"/>
            <w:vAlign w:val="center"/>
          </w:tcPr>
          <w:p w14:paraId="7FA177DD">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 w:val="0"/>
                <w:bCs/>
                <w:color w:val="auto"/>
                <w:spacing w:val="0"/>
                <w:kern w:val="0"/>
                <w:sz w:val="21"/>
                <w:szCs w:val="21"/>
                <w:highlight w:val="yellow"/>
                <w:lang w:val="en-US" w:eastAsia="zh-CN" w:bidi="he-IL"/>
              </w:rPr>
            </w:pPr>
            <w:r>
              <w:rPr>
                <w:rFonts w:hint="default" w:ascii="Times New Roman" w:hAnsi="Times New Roman" w:cs="Times New Roman"/>
                <w:color w:val="auto"/>
                <w:sz w:val="21"/>
                <w:szCs w:val="21"/>
                <w:highlight w:val="none"/>
                <w:lang w:eastAsia="zh-CN"/>
              </w:rPr>
              <w:t>臭气浓度</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氨、硫化氢</w:t>
            </w:r>
          </w:p>
        </w:tc>
        <w:tc>
          <w:tcPr>
            <w:tcW w:w="1832" w:type="dxa"/>
            <w:noWrap w:val="0"/>
            <w:vAlign w:val="center"/>
          </w:tcPr>
          <w:p w14:paraId="425C05F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highlight w:val="yellow"/>
                <w:lang w:val="en-US"/>
              </w:rPr>
            </w:pPr>
            <w:r>
              <w:rPr>
                <w:rFonts w:hint="eastAsia" w:cs="Times New Roman"/>
                <w:color w:val="auto"/>
                <w:spacing w:val="0"/>
                <w:kern w:val="0"/>
                <w:sz w:val="21"/>
                <w:szCs w:val="21"/>
                <w:highlight w:val="none"/>
                <w:lang w:val="en-US" w:eastAsia="zh-CN" w:bidi="he-IL"/>
              </w:rPr>
              <w:t>污水处理设施密闭加盖，同时</w:t>
            </w:r>
            <w:r>
              <w:rPr>
                <w:rFonts w:hint="eastAsia" w:ascii="Times New Roman" w:hAnsi="Times New Roman" w:eastAsia="宋体" w:cs="Times New Roman"/>
                <w:color w:val="auto"/>
                <w:spacing w:val="0"/>
                <w:kern w:val="0"/>
                <w:sz w:val="21"/>
                <w:szCs w:val="21"/>
                <w:highlight w:val="none"/>
                <w:lang w:val="en-US" w:eastAsia="zh-CN" w:bidi="he-IL"/>
              </w:rPr>
              <w:t>加强车间通风</w:t>
            </w:r>
          </w:p>
        </w:tc>
        <w:tc>
          <w:tcPr>
            <w:tcW w:w="3402" w:type="dxa"/>
            <w:noWrap w:val="0"/>
            <w:vAlign w:val="center"/>
          </w:tcPr>
          <w:p w14:paraId="75B4CDE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val="en-US"/>
              </w:rPr>
            </w:pPr>
            <w:r>
              <w:rPr>
                <w:rFonts w:hint="default" w:ascii="Times New Roman" w:hAnsi="Times New Roman" w:eastAsia="宋体" w:cs="Times New Roman"/>
                <w:color w:val="auto"/>
                <w:spacing w:val="0"/>
                <w:sz w:val="21"/>
                <w:szCs w:val="21"/>
                <w:lang w:val="en-US" w:eastAsia="zh-CN"/>
              </w:rPr>
              <w:t>臭气浓度</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氨、硫化氢</w:t>
            </w:r>
            <w:r>
              <w:rPr>
                <w:rFonts w:hint="default" w:ascii="Times New Roman" w:hAnsi="Times New Roman" w:eastAsia="宋体" w:cs="Times New Roman"/>
                <w:color w:val="auto"/>
                <w:spacing w:val="0"/>
                <w:sz w:val="21"/>
                <w:szCs w:val="21"/>
                <w:lang w:val="en-US" w:eastAsia="zh-CN"/>
              </w:rPr>
              <w:t>执行</w:t>
            </w:r>
            <w:r>
              <w:rPr>
                <w:rFonts w:hint="default" w:ascii="Times New Roman" w:hAnsi="Times New Roman" w:eastAsia="宋体" w:cs="Times New Roman"/>
                <w:color w:val="auto"/>
                <w:sz w:val="21"/>
                <w:szCs w:val="21"/>
              </w:rPr>
              <w:t>《恶臭污染物排放标准》(GB14554-93)</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1标准(</w:t>
            </w:r>
            <w:r>
              <w:rPr>
                <w:rFonts w:hint="default" w:ascii="Times New Roman" w:hAnsi="Times New Roman" w:eastAsia="宋体" w:cs="Times New Roman"/>
                <w:color w:val="auto"/>
                <w:spacing w:val="0"/>
                <w:sz w:val="21"/>
                <w:szCs w:val="21"/>
                <w:shd w:val="clear" w:color="auto" w:fill="FFFFFF"/>
                <w:vertAlign w:val="baseline"/>
                <w:lang w:val="en-US" w:eastAsia="zh-CN"/>
              </w:rPr>
              <w:t>臭气浓度</w:t>
            </w:r>
            <w:r>
              <w:rPr>
                <w:rFonts w:hint="default" w:ascii="Times New Roman" w:hAnsi="Times New Roman" w:eastAsia="宋体" w:cs="Times New Roman"/>
                <w:color w:val="auto"/>
                <w:spacing w:val="0"/>
                <w:sz w:val="21"/>
                <w:szCs w:val="21"/>
                <w:shd w:val="clear" w:color="auto" w:fill="FFFFFF"/>
                <w:lang w:val="en-US" w:eastAsia="zh-CN"/>
              </w:rPr>
              <w:t>≤20</w:t>
            </w:r>
            <w:r>
              <w:rPr>
                <w:rFonts w:hint="eastAsia" w:ascii="Times New Roman" w:hAnsi="Times New Roman" w:eastAsia="宋体" w:cs="Times New Roman"/>
                <w:color w:val="auto"/>
                <w:spacing w:val="0"/>
                <w:sz w:val="21"/>
                <w:szCs w:val="21"/>
                <w:shd w:val="clear" w:color="auto" w:fill="FFFFFF"/>
                <w:lang w:val="en-US" w:eastAsia="zh-CN"/>
              </w:rPr>
              <w:t>、氨</w:t>
            </w:r>
            <w:r>
              <w:rPr>
                <w:rFonts w:hint="default" w:ascii="Times New Roman" w:hAnsi="Times New Roman" w:eastAsia="宋体" w:cs="Times New Roman"/>
                <w:color w:val="auto"/>
                <w:spacing w:val="0"/>
                <w:sz w:val="21"/>
                <w:szCs w:val="21"/>
                <w:shd w:val="clear" w:color="auto" w:fill="FFFFFF"/>
                <w:lang w:val="en-US" w:eastAsia="zh-CN"/>
              </w:rPr>
              <w:t>≤</w:t>
            </w:r>
            <w:r>
              <w:rPr>
                <w:rFonts w:hint="eastAsia" w:ascii="Times New Roman" w:hAnsi="Times New Roman" w:eastAsia="宋体" w:cs="Times New Roman"/>
                <w:color w:val="auto"/>
                <w:spacing w:val="0"/>
                <w:sz w:val="21"/>
                <w:szCs w:val="21"/>
                <w:shd w:val="clear" w:color="auto" w:fill="FFFFFF"/>
                <w:lang w:val="en-US" w:eastAsia="zh-CN"/>
              </w:rPr>
              <w:t>1.5</w:t>
            </w:r>
            <w:r>
              <w:rPr>
                <w:bCs/>
                <w:color w:val="auto"/>
                <w:kern w:val="0"/>
                <w:sz w:val="21"/>
                <w:szCs w:val="21"/>
              </w:rPr>
              <w:t>mg/m</w:t>
            </w:r>
            <w:r>
              <w:rPr>
                <w:bCs/>
                <w:color w:val="auto"/>
                <w:kern w:val="0"/>
                <w:sz w:val="21"/>
                <w:szCs w:val="21"/>
                <w:vertAlign w:val="superscript"/>
              </w:rPr>
              <w:t>3</w:t>
            </w:r>
            <w:r>
              <w:rPr>
                <w:rFonts w:hint="eastAsia" w:ascii="Times New Roman" w:hAnsi="Times New Roman" w:eastAsia="宋体" w:cs="Times New Roman"/>
                <w:color w:val="auto"/>
                <w:spacing w:val="0"/>
                <w:sz w:val="21"/>
                <w:szCs w:val="21"/>
                <w:shd w:val="clear" w:color="auto" w:fill="FFFFFF"/>
                <w:lang w:val="en-US" w:eastAsia="zh-CN"/>
              </w:rPr>
              <w:t>、硫化氢</w:t>
            </w:r>
            <w:r>
              <w:rPr>
                <w:rFonts w:hint="default" w:ascii="Times New Roman" w:hAnsi="Times New Roman" w:eastAsia="宋体" w:cs="Times New Roman"/>
                <w:color w:val="auto"/>
                <w:spacing w:val="0"/>
                <w:sz w:val="21"/>
                <w:szCs w:val="21"/>
                <w:shd w:val="clear" w:color="auto" w:fill="FFFFFF"/>
                <w:lang w:val="en-US" w:eastAsia="zh-CN"/>
              </w:rPr>
              <w:t>≤</w:t>
            </w:r>
            <w:r>
              <w:rPr>
                <w:rFonts w:hint="eastAsia" w:ascii="Times New Roman" w:hAnsi="Times New Roman" w:eastAsia="宋体" w:cs="Times New Roman"/>
                <w:color w:val="auto"/>
                <w:spacing w:val="0"/>
                <w:sz w:val="21"/>
                <w:szCs w:val="21"/>
                <w:shd w:val="clear" w:color="auto" w:fill="FFFFFF"/>
                <w:lang w:val="en-US" w:eastAsia="zh-CN"/>
              </w:rPr>
              <w:t>0.06</w:t>
            </w:r>
            <w:r>
              <w:rPr>
                <w:rFonts w:hint="default" w:ascii="Times New Roman" w:hAnsi="Times New Roman" w:eastAsia="宋体" w:cs="Times New Roman"/>
                <w:color w:val="auto"/>
                <w:sz w:val="21"/>
                <w:szCs w:val="21"/>
                <w:lang w:val="en-US" w:eastAsia="zh-CN"/>
              </w:rPr>
              <w:t>)</w:t>
            </w:r>
            <w:r>
              <w:rPr>
                <w:bCs/>
                <w:color w:val="auto"/>
                <w:kern w:val="0"/>
                <w:sz w:val="21"/>
                <w:szCs w:val="21"/>
              </w:rPr>
              <w:t>mg/m</w:t>
            </w:r>
            <w:r>
              <w:rPr>
                <w:bCs/>
                <w:color w:val="auto"/>
                <w:kern w:val="0"/>
                <w:sz w:val="21"/>
                <w:szCs w:val="21"/>
                <w:vertAlign w:val="superscript"/>
              </w:rPr>
              <w:t>3</w:t>
            </w:r>
          </w:p>
        </w:tc>
      </w:tr>
      <w:tr w14:paraId="6C521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14:paraId="7CB68EC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地表水</w:t>
            </w:r>
          </w:p>
          <w:p w14:paraId="515887E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Cs w:val="21"/>
              </w:rPr>
              <w:t>环境</w:t>
            </w:r>
          </w:p>
        </w:tc>
        <w:tc>
          <w:tcPr>
            <w:tcW w:w="1193" w:type="dxa"/>
            <w:noWrap w:val="0"/>
            <w:vAlign w:val="center"/>
          </w:tcPr>
          <w:p w14:paraId="5D10670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生活污水</w:t>
            </w:r>
          </w:p>
        </w:tc>
        <w:tc>
          <w:tcPr>
            <w:tcW w:w="1313" w:type="dxa"/>
            <w:noWrap w:val="0"/>
            <w:vAlign w:val="center"/>
          </w:tcPr>
          <w:p w14:paraId="41A1D9A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 w:val="21"/>
                <w:szCs w:val="21"/>
                <w:highlight w:val="none"/>
              </w:rPr>
              <w:t>pH、COD、BOD</w:t>
            </w:r>
            <w:r>
              <w:rPr>
                <w:rFonts w:hint="default" w:ascii="Times New Roman" w:hAnsi="Times New Roman" w:eastAsia="宋体" w:cs="Times New Roman"/>
                <w:color w:val="auto"/>
                <w:spacing w:val="0"/>
                <w:sz w:val="21"/>
                <w:szCs w:val="21"/>
                <w:highlight w:val="none"/>
                <w:vertAlign w:val="subscript"/>
              </w:rPr>
              <w:t>5</w:t>
            </w:r>
            <w:r>
              <w:rPr>
                <w:rFonts w:hint="default" w:ascii="Times New Roman" w:hAnsi="Times New Roman" w:eastAsia="宋体" w:cs="Times New Roman"/>
                <w:color w:val="auto"/>
                <w:spacing w:val="0"/>
                <w:sz w:val="21"/>
                <w:szCs w:val="21"/>
                <w:highlight w:val="none"/>
              </w:rPr>
              <w:t>、悬浮物、氨氮</w:t>
            </w:r>
          </w:p>
        </w:tc>
        <w:tc>
          <w:tcPr>
            <w:tcW w:w="1832" w:type="dxa"/>
            <w:noWrap w:val="0"/>
            <w:vAlign w:val="center"/>
          </w:tcPr>
          <w:p w14:paraId="39DE332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 w:val="21"/>
                <w:szCs w:val="21"/>
                <w:highlight w:val="none"/>
              </w:rPr>
              <w:t>生活污水</w:t>
            </w:r>
            <w:r>
              <w:rPr>
                <w:rFonts w:hint="default" w:ascii="Times New Roman" w:hAnsi="Times New Roman" w:eastAsia="宋体" w:cs="Times New Roman"/>
                <w:color w:val="auto"/>
                <w:spacing w:val="0"/>
                <w:sz w:val="21"/>
                <w:szCs w:val="21"/>
                <w:highlight w:val="none"/>
                <w:lang w:eastAsia="zh-CN"/>
              </w:rPr>
              <w:t>依托园区内现有的化粪池收集预处理后排入市政污水管网</w:t>
            </w:r>
          </w:p>
        </w:tc>
        <w:tc>
          <w:tcPr>
            <w:tcW w:w="3402" w:type="dxa"/>
            <w:vMerge w:val="restart"/>
            <w:noWrap w:val="0"/>
            <w:vAlign w:val="center"/>
          </w:tcPr>
          <w:p w14:paraId="24E49A9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pH、COD、BOD</w:t>
            </w:r>
            <w:r>
              <w:rPr>
                <w:rFonts w:hint="default" w:ascii="Times New Roman" w:hAnsi="Times New Roman" w:eastAsia="宋体" w:cs="Times New Roman"/>
                <w:color w:val="auto"/>
                <w:spacing w:val="0"/>
                <w:sz w:val="21"/>
                <w:szCs w:val="21"/>
                <w:highlight w:val="none"/>
                <w:vertAlign w:val="subscript"/>
              </w:rPr>
              <w:t>5</w:t>
            </w:r>
            <w:r>
              <w:rPr>
                <w:rFonts w:hint="default" w:ascii="Times New Roman" w:hAnsi="Times New Roman" w:eastAsia="宋体" w:cs="Times New Roman"/>
                <w:color w:val="auto"/>
                <w:spacing w:val="0"/>
                <w:sz w:val="21"/>
                <w:szCs w:val="21"/>
                <w:highlight w:val="none"/>
              </w:rPr>
              <w:t>、悬浮物</w:t>
            </w:r>
            <w:r>
              <w:rPr>
                <w:rFonts w:hint="eastAsia" w:ascii="Times New Roman" w:hAnsi="Times New Roman" w:cs="Times New Roman"/>
                <w:color w:val="auto"/>
                <w:spacing w:val="0"/>
                <w:sz w:val="21"/>
                <w:szCs w:val="21"/>
                <w:highlight w:val="none"/>
                <w:lang w:eastAsia="zh-CN"/>
              </w:rPr>
              <w:t>、</w:t>
            </w:r>
            <w:r>
              <w:rPr>
                <w:rFonts w:hint="eastAsia" w:cs="Times New Roman"/>
                <w:color w:val="auto"/>
                <w:spacing w:val="0"/>
                <w:sz w:val="21"/>
                <w:szCs w:val="21"/>
                <w:highlight w:val="none"/>
                <w:lang w:val="en-US" w:eastAsia="zh-CN"/>
              </w:rPr>
              <w:t>氨氮、</w:t>
            </w:r>
            <w:r>
              <w:rPr>
                <w:rFonts w:hint="eastAsia" w:ascii="Times New Roman" w:hAnsi="Times New Roman" w:cs="Times New Roman"/>
                <w:color w:val="auto"/>
                <w:spacing w:val="0"/>
                <w:sz w:val="21"/>
                <w:szCs w:val="21"/>
                <w:highlight w:val="none"/>
                <w:lang w:val="en-US" w:eastAsia="zh-CN"/>
              </w:rPr>
              <w:t>石油类</w:t>
            </w:r>
            <w:r>
              <w:rPr>
                <w:rFonts w:hint="eastAsia" w:cs="Times New Roman"/>
                <w:color w:val="auto"/>
                <w:spacing w:val="0"/>
                <w:sz w:val="21"/>
                <w:szCs w:val="21"/>
                <w:highlight w:val="none"/>
                <w:lang w:val="en-US" w:eastAsia="zh-CN"/>
              </w:rPr>
              <w:t>、</w:t>
            </w:r>
            <w:r>
              <w:rPr>
                <w:rFonts w:hint="eastAsia" w:ascii="Times New Roman" w:hAnsi="Times New Roman" w:cs="Times New Roman"/>
                <w:color w:val="auto"/>
                <w:spacing w:val="0"/>
                <w:sz w:val="21"/>
                <w:szCs w:val="21"/>
                <w:highlight w:val="none"/>
                <w:lang w:val="en-US" w:eastAsia="zh-CN"/>
              </w:rPr>
              <w:t>总氮、总磷</w:t>
            </w:r>
            <w:r>
              <w:rPr>
                <w:rFonts w:hint="eastAsia" w:cs="Times New Roman"/>
                <w:color w:val="auto"/>
                <w:spacing w:val="0"/>
                <w:sz w:val="21"/>
                <w:szCs w:val="21"/>
                <w:highlight w:val="none"/>
                <w:lang w:val="en-US" w:eastAsia="zh-CN"/>
              </w:rPr>
              <w:t>等</w:t>
            </w:r>
            <w:r>
              <w:rPr>
                <w:rFonts w:hint="default" w:ascii="Times New Roman" w:hAnsi="Times New Roman" w:cs="Times New Roman"/>
                <w:color w:val="auto"/>
                <w:spacing w:val="0"/>
                <w:sz w:val="21"/>
                <w:szCs w:val="21"/>
                <w:highlight w:val="none"/>
                <w:lang w:eastAsia="zh-CN"/>
              </w:rPr>
              <w:t>执行</w:t>
            </w:r>
            <w:r>
              <w:rPr>
                <w:rFonts w:hint="default" w:ascii="Times New Roman" w:hAnsi="Times New Roman" w:eastAsia="宋体" w:cs="Times New Roman"/>
                <w:color w:val="auto"/>
                <w:spacing w:val="0"/>
                <w:sz w:val="21"/>
                <w:szCs w:val="21"/>
                <w:highlight w:val="none"/>
              </w:rPr>
              <w:t>《污水综合排放标准》(GB8978-1996)表4中三级排放标准</w:t>
            </w:r>
            <w:r>
              <w:rPr>
                <w:rFonts w:hint="eastAsia" w:cs="Times New Roman"/>
                <w:color w:val="auto"/>
                <w:spacing w:val="0"/>
                <w:sz w:val="21"/>
                <w:szCs w:val="21"/>
                <w:highlight w:val="none"/>
                <w:lang w:val="en-US" w:eastAsia="zh-CN"/>
              </w:rPr>
              <w:t>及</w:t>
            </w:r>
            <w:r>
              <w:rPr>
                <w:rFonts w:hint="eastAsia" w:ascii="Times New Roman" w:hAnsi="Times New Roman" w:cs="Times New Roman"/>
                <w:color w:val="auto"/>
                <w:lang w:eastAsia="zh-CN"/>
              </w:rPr>
              <w:t>江镜华侨农场污水处理厂</w:t>
            </w:r>
            <w:r>
              <w:rPr>
                <w:rFonts w:hint="eastAsia" w:cs="Times New Roman"/>
                <w:color w:val="auto"/>
                <w:spacing w:val="0"/>
                <w:sz w:val="21"/>
                <w:szCs w:val="21"/>
                <w:highlight w:val="none"/>
                <w:lang w:val="en-US" w:eastAsia="zh-CN"/>
              </w:rPr>
              <w:t>进水指标</w:t>
            </w:r>
            <w:r>
              <w:rPr>
                <w:rFonts w:hint="default" w:ascii="Times New Roman" w:hAnsi="Times New Roman" w:eastAsia="宋体" w:cs="Times New Roman"/>
                <w:color w:val="auto"/>
                <w:spacing w:val="0"/>
                <w:sz w:val="21"/>
                <w:szCs w:val="21"/>
                <w:highlight w:val="none"/>
              </w:rPr>
              <w:t>(即pH6 ~ 9</w:t>
            </w:r>
            <w:r>
              <w:rPr>
                <w:rFonts w:hint="default" w:ascii="Times New Roman" w:hAnsi="Times New Roman" w:eastAsia="宋体" w:cs="Times New Roman"/>
                <w:color w:val="auto"/>
                <w:spacing w:val="0"/>
                <w:sz w:val="21"/>
                <w:szCs w:val="21"/>
                <w:highlight w:val="none"/>
                <w:lang w:val="en-US" w:eastAsia="zh-CN"/>
              </w:rPr>
              <w:t>(无量纲)</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COD</w:t>
            </w:r>
            <w:r>
              <w:rPr>
                <w:rFonts w:hint="default" w:ascii="Times New Roman" w:hAnsi="Times New Roman" w:eastAsia="宋体" w:cs="Times New Roman"/>
                <w:color w:val="auto"/>
                <w:spacing w:val="0"/>
                <w:sz w:val="21"/>
                <w:szCs w:val="21"/>
                <w:highlight w:val="none"/>
              </w:rPr>
              <w:t>≤</w:t>
            </w:r>
            <w:r>
              <w:rPr>
                <w:rFonts w:hint="eastAsia" w:cs="Times New Roman"/>
                <w:color w:val="auto"/>
                <w:spacing w:val="0"/>
                <w:sz w:val="21"/>
                <w:szCs w:val="21"/>
                <w:highlight w:val="none"/>
                <w:lang w:val="en-US" w:eastAsia="zh-CN"/>
              </w:rPr>
              <w:t>4</w:t>
            </w:r>
            <w:r>
              <w:rPr>
                <w:rFonts w:hint="default" w:ascii="Times New Roman" w:hAnsi="Times New Roman" w:eastAsia="宋体" w:cs="Times New Roman"/>
                <w:color w:val="auto"/>
                <w:spacing w:val="0"/>
                <w:sz w:val="21"/>
                <w:szCs w:val="21"/>
                <w:highlight w:val="none"/>
                <w:lang w:val="en-US" w:eastAsia="zh-CN"/>
              </w:rPr>
              <w:t>0</w:t>
            </w:r>
            <w:r>
              <w:rPr>
                <w:rFonts w:hint="default" w:ascii="Times New Roman" w:hAnsi="Times New Roman" w:eastAsia="宋体" w:cs="Times New Roman"/>
                <w:color w:val="auto"/>
                <w:spacing w:val="0"/>
                <w:sz w:val="21"/>
                <w:szCs w:val="21"/>
                <w:highlight w:val="none"/>
              </w:rPr>
              <w:t>0mg/L</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BOD</w:t>
            </w:r>
            <w:r>
              <w:rPr>
                <w:rFonts w:hint="default" w:ascii="Times New Roman" w:hAnsi="Times New Roman" w:eastAsia="宋体" w:cs="Times New Roman"/>
                <w:color w:val="auto"/>
                <w:spacing w:val="0"/>
                <w:sz w:val="21"/>
                <w:szCs w:val="21"/>
                <w:highlight w:val="none"/>
                <w:vertAlign w:val="subscript"/>
              </w:rPr>
              <w:t>5</w:t>
            </w:r>
            <w:r>
              <w:rPr>
                <w:rFonts w:hint="default" w:ascii="Times New Roman" w:hAnsi="Times New Roman" w:eastAsia="宋体" w:cs="Times New Roman"/>
                <w:color w:val="auto"/>
                <w:spacing w:val="0"/>
                <w:sz w:val="21"/>
                <w:szCs w:val="21"/>
                <w:highlight w:val="none"/>
              </w:rPr>
              <w:t>≤</w:t>
            </w:r>
            <w:r>
              <w:rPr>
                <w:rFonts w:hint="eastAsia" w:cs="Times New Roman"/>
                <w:color w:val="auto"/>
                <w:spacing w:val="0"/>
                <w:sz w:val="21"/>
                <w:szCs w:val="21"/>
                <w:highlight w:val="none"/>
                <w:lang w:val="en-US" w:eastAsia="zh-CN"/>
              </w:rPr>
              <w:t>18</w:t>
            </w:r>
            <w:r>
              <w:rPr>
                <w:rFonts w:hint="default" w:ascii="Times New Roman" w:hAnsi="Times New Roman" w:eastAsia="宋体" w:cs="Times New Roman"/>
                <w:color w:val="auto"/>
                <w:spacing w:val="0"/>
                <w:sz w:val="21"/>
                <w:szCs w:val="21"/>
                <w:highlight w:val="none"/>
              </w:rPr>
              <w:t>0mg/L</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SS</w:t>
            </w:r>
            <w:r>
              <w:rPr>
                <w:rFonts w:hint="default" w:ascii="Times New Roman" w:hAnsi="Times New Roman" w:eastAsia="宋体" w:cs="Times New Roman"/>
                <w:color w:val="auto"/>
                <w:spacing w:val="0"/>
                <w:sz w:val="21"/>
                <w:szCs w:val="21"/>
                <w:highlight w:val="none"/>
              </w:rPr>
              <w:t>≤</w:t>
            </w:r>
            <w:r>
              <w:rPr>
                <w:rFonts w:hint="eastAsia" w:cs="Times New Roman"/>
                <w:color w:val="auto"/>
                <w:spacing w:val="0"/>
                <w:sz w:val="21"/>
                <w:szCs w:val="21"/>
                <w:highlight w:val="none"/>
                <w:lang w:val="en-US" w:eastAsia="zh-CN"/>
              </w:rPr>
              <w:t>30</w:t>
            </w:r>
            <w:r>
              <w:rPr>
                <w:rFonts w:hint="default" w:ascii="Times New Roman" w:hAnsi="Times New Roman" w:eastAsia="宋体" w:cs="Times New Roman"/>
                <w:color w:val="auto"/>
                <w:spacing w:val="0"/>
                <w:sz w:val="21"/>
                <w:szCs w:val="21"/>
                <w:highlight w:val="none"/>
              </w:rPr>
              <w:t>0mg/L</w:t>
            </w:r>
            <w:r>
              <w:rPr>
                <w:rFonts w:hint="default"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石油类</w:t>
            </w:r>
            <w:r>
              <w:rPr>
                <w:rFonts w:hint="default" w:ascii="Times New Roman" w:hAnsi="Times New Roman" w:eastAsia="宋体" w:cs="Times New Roman"/>
                <w:color w:val="auto"/>
                <w:spacing w:val="0"/>
                <w:sz w:val="21"/>
                <w:szCs w:val="21"/>
                <w:highlight w:val="none"/>
              </w:rPr>
              <w:t>≤</w:t>
            </w:r>
            <w:r>
              <w:rPr>
                <w:rFonts w:hint="eastAsia" w:ascii="Times New Roman" w:hAnsi="Times New Roman" w:eastAsia="宋体" w:cs="Times New Roman"/>
                <w:color w:val="auto"/>
                <w:spacing w:val="0"/>
                <w:sz w:val="21"/>
                <w:szCs w:val="21"/>
                <w:highlight w:val="none"/>
                <w:lang w:val="en-US" w:eastAsia="zh-CN"/>
              </w:rPr>
              <w:t>2</w:t>
            </w:r>
            <w:r>
              <w:rPr>
                <w:rFonts w:hint="default" w:ascii="Times New Roman" w:hAnsi="Times New Roman" w:eastAsia="宋体" w:cs="Times New Roman"/>
                <w:color w:val="auto"/>
                <w:spacing w:val="0"/>
                <w:sz w:val="21"/>
                <w:szCs w:val="21"/>
                <w:highlight w:val="none"/>
              </w:rPr>
              <w:t>0mg/L</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NH</w:t>
            </w:r>
            <w:r>
              <w:rPr>
                <w:rFonts w:hint="default" w:ascii="Times New Roman" w:hAnsi="Times New Roman" w:eastAsia="宋体" w:cs="Times New Roman"/>
                <w:color w:val="auto"/>
                <w:spacing w:val="0"/>
                <w:sz w:val="21"/>
                <w:szCs w:val="21"/>
                <w:highlight w:val="none"/>
                <w:vertAlign w:val="subscript"/>
              </w:rPr>
              <w:t>3</w:t>
            </w:r>
            <w:r>
              <w:rPr>
                <w:rFonts w:hint="default" w:ascii="Times New Roman" w:hAnsi="Times New Roman" w:eastAsia="宋体" w:cs="Times New Roman"/>
                <w:color w:val="auto"/>
                <w:spacing w:val="0"/>
                <w:sz w:val="21"/>
                <w:szCs w:val="21"/>
                <w:highlight w:val="none"/>
              </w:rPr>
              <w:t>-N≤</w:t>
            </w:r>
            <w:r>
              <w:rPr>
                <w:rFonts w:hint="eastAsia" w:cs="Times New Roman"/>
                <w:color w:val="auto"/>
                <w:spacing w:val="0"/>
                <w:sz w:val="21"/>
                <w:szCs w:val="21"/>
                <w:highlight w:val="none"/>
                <w:lang w:val="en-US" w:eastAsia="zh-CN"/>
              </w:rPr>
              <w:t>3</w:t>
            </w:r>
            <w:r>
              <w:rPr>
                <w:rFonts w:hint="default" w:ascii="Times New Roman" w:hAnsi="Times New Roman" w:eastAsia="宋体" w:cs="Times New Roman"/>
                <w:color w:val="auto"/>
                <w:spacing w:val="0"/>
                <w:sz w:val="21"/>
                <w:szCs w:val="21"/>
                <w:highlight w:val="none"/>
                <w:lang w:val="en-US" w:eastAsia="zh-CN"/>
              </w:rPr>
              <w:t>5</w:t>
            </w:r>
            <w:r>
              <w:rPr>
                <w:rFonts w:hint="default" w:ascii="Times New Roman" w:hAnsi="Times New Roman" w:eastAsia="宋体" w:cs="Times New Roman"/>
                <w:color w:val="auto"/>
                <w:spacing w:val="0"/>
                <w:sz w:val="21"/>
                <w:szCs w:val="21"/>
                <w:highlight w:val="none"/>
              </w:rPr>
              <w:t>mg/L</w:t>
            </w:r>
            <w:r>
              <w:rPr>
                <w:rFonts w:hint="default"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T</w:t>
            </w:r>
            <w:r>
              <w:rPr>
                <w:rFonts w:hint="default" w:ascii="Times New Roman" w:hAnsi="Times New Roman" w:eastAsia="宋体" w:cs="Times New Roman"/>
                <w:color w:val="auto"/>
                <w:spacing w:val="0"/>
                <w:sz w:val="21"/>
                <w:szCs w:val="21"/>
                <w:highlight w:val="none"/>
              </w:rPr>
              <w:t>N≤</w:t>
            </w:r>
            <w:r>
              <w:rPr>
                <w:rFonts w:hint="eastAsia" w:cs="Times New Roman"/>
                <w:color w:val="auto"/>
                <w:spacing w:val="0"/>
                <w:sz w:val="21"/>
                <w:szCs w:val="21"/>
                <w:highlight w:val="none"/>
                <w:lang w:val="en-US" w:eastAsia="zh-CN"/>
              </w:rPr>
              <w:t>45</w:t>
            </w:r>
            <w:r>
              <w:rPr>
                <w:rFonts w:hint="default" w:ascii="Times New Roman" w:hAnsi="Times New Roman" w:eastAsia="宋体" w:cs="Times New Roman"/>
                <w:color w:val="auto"/>
                <w:spacing w:val="0"/>
                <w:sz w:val="21"/>
                <w:szCs w:val="21"/>
                <w:highlight w:val="none"/>
              </w:rPr>
              <w:t>mg/L</w:t>
            </w:r>
            <w:r>
              <w:rPr>
                <w:rFonts w:hint="default"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TP</w:t>
            </w:r>
            <w:r>
              <w:rPr>
                <w:rFonts w:hint="default" w:ascii="Times New Roman" w:hAnsi="Times New Roman" w:eastAsia="宋体" w:cs="Times New Roman"/>
                <w:color w:val="auto"/>
                <w:spacing w:val="0"/>
                <w:sz w:val="21"/>
                <w:szCs w:val="21"/>
                <w:highlight w:val="none"/>
              </w:rPr>
              <w:t>≤</w:t>
            </w:r>
            <w:r>
              <w:rPr>
                <w:rFonts w:hint="eastAsia" w:cs="Times New Roman"/>
                <w:color w:val="auto"/>
                <w:spacing w:val="0"/>
                <w:sz w:val="21"/>
                <w:szCs w:val="21"/>
                <w:highlight w:val="none"/>
                <w:lang w:val="en-US" w:eastAsia="zh-CN"/>
              </w:rPr>
              <w:t>5</w:t>
            </w:r>
            <w:r>
              <w:rPr>
                <w:rFonts w:hint="default" w:ascii="Times New Roman" w:hAnsi="Times New Roman" w:eastAsia="宋体" w:cs="Times New Roman"/>
                <w:color w:val="auto"/>
                <w:spacing w:val="0"/>
                <w:sz w:val="21"/>
                <w:szCs w:val="21"/>
                <w:highlight w:val="none"/>
              </w:rPr>
              <w:t>mg/L)</w:t>
            </w:r>
          </w:p>
        </w:tc>
      </w:tr>
      <w:tr w14:paraId="3DCD7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621BF35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p>
        </w:tc>
        <w:tc>
          <w:tcPr>
            <w:tcW w:w="1193" w:type="dxa"/>
            <w:noWrap w:val="0"/>
            <w:vAlign w:val="center"/>
          </w:tcPr>
          <w:p w14:paraId="724756C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val="en-US" w:eastAsia="zh-CN"/>
              </w:rPr>
            </w:pPr>
            <w:r>
              <w:rPr>
                <w:rFonts w:hint="default" w:ascii="Times New Roman" w:hAnsi="Times New Roman" w:cs="Times New Roman"/>
                <w:color w:val="auto"/>
                <w:spacing w:val="0"/>
                <w:szCs w:val="21"/>
                <w:lang w:val="en-US" w:eastAsia="zh-CN"/>
              </w:rPr>
              <w:t>生产废水</w:t>
            </w:r>
          </w:p>
        </w:tc>
        <w:tc>
          <w:tcPr>
            <w:tcW w:w="1313" w:type="dxa"/>
            <w:noWrap w:val="0"/>
            <w:vAlign w:val="center"/>
          </w:tcPr>
          <w:p w14:paraId="00AD089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pH、COD、BOD</w:t>
            </w:r>
            <w:r>
              <w:rPr>
                <w:rFonts w:hint="default" w:ascii="Times New Roman" w:hAnsi="Times New Roman" w:eastAsia="宋体" w:cs="Times New Roman"/>
                <w:color w:val="auto"/>
                <w:spacing w:val="0"/>
                <w:sz w:val="21"/>
                <w:szCs w:val="21"/>
                <w:highlight w:val="none"/>
                <w:vertAlign w:val="subscript"/>
              </w:rPr>
              <w:t>5</w:t>
            </w:r>
            <w:r>
              <w:rPr>
                <w:rFonts w:hint="default" w:ascii="Times New Roman" w:hAnsi="Times New Roman" w:eastAsia="宋体" w:cs="Times New Roman"/>
                <w:color w:val="auto"/>
                <w:spacing w:val="0"/>
                <w:sz w:val="21"/>
                <w:szCs w:val="21"/>
                <w:highlight w:val="none"/>
              </w:rPr>
              <w:t>、悬浮物、氨氮</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石油类、TN、TP</w:t>
            </w:r>
          </w:p>
        </w:tc>
        <w:tc>
          <w:tcPr>
            <w:tcW w:w="1832" w:type="dxa"/>
            <w:noWrap w:val="0"/>
            <w:vAlign w:val="center"/>
          </w:tcPr>
          <w:p w14:paraId="6403D87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rPr>
              <w:t>生产废水收集后经自建污水处理设施处理，</w:t>
            </w:r>
            <w:r>
              <w:rPr>
                <w:rFonts w:hint="eastAsia" w:cs="Times New Roman"/>
                <w:color w:val="auto"/>
                <w:spacing w:val="0"/>
                <w:sz w:val="21"/>
                <w:szCs w:val="21"/>
                <w:lang w:val="en-US" w:eastAsia="zh-CN"/>
              </w:rPr>
              <w:t>清洗、破碎废水</w:t>
            </w:r>
            <w:r>
              <w:rPr>
                <w:rFonts w:hint="default" w:ascii="Times New Roman" w:hAnsi="Times New Roman" w:eastAsia="宋体" w:cs="Times New Roman"/>
                <w:color w:val="auto"/>
                <w:spacing w:val="0"/>
                <w:sz w:val="21"/>
                <w:szCs w:val="21"/>
              </w:rPr>
              <w:t>约</w:t>
            </w:r>
            <w:r>
              <w:rPr>
                <w:rFonts w:hint="eastAsia" w:cs="Times New Roman"/>
                <w:color w:val="auto"/>
                <w:spacing w:val="0"/>
                <w:sz w:val="21"/>
                <w:szCs w:val="21"/>
                <w:lang w:val="en-US" w:eastAsia="zh-CN"/>
              </w:rPr>
              <w:t>9</w:t>
            </w:r>
            <w:r>
              <w:rPr>
                <w:rFonts w:hint="default" w:ascii="Times New Roman" w:hAnsi="Times New Roman" w:eastAsia="宋体" w:cs="Times New Roman"/>
                <w:color w:val="auto"/>
                <w:spacing w:val="0"/>
                <w:sz w:val="21"/>
                <w:szCs w:val="21"/>
              </w:rPr>
              <w:t>0%的废水回用于生产，剩余</w:t>
            </w:r>
            <w:r>
              <w:rPr>
                <w:rFonts w:hint="eastAsia" w:cs="Times New Roman"/>
                <w:color w:val="auto"/>
                <w:spacing w:val="0"/>
                <w:sz w:val="21"/>
                <w:szCs w:val="21"/>
                <w:lang w:val="en-US" w:eastAsia="zh-CN"/>
              </w:rPr>
              <w:t>10</w:t>
            </w:r>
            <w:r>
              <w:rPr>
                <w:rFonts w:hint="default" w:ascii="Times New Roman" w:hAnsi="Times New Roman" w:eastAsia="宋体" w:cs="Times New Roman"/>
                <w:color w:val="auto"/>
                <w:spacing w:val="0"/>
                <w:sz w:val="21"/>
                <w:szCs w:val="21"/>
              </w:rPr>
              <w:t>%通过园区管网排入</w:t>
            </w:r>
            <w:r>
              <w:rPr>
                <w:rFonts w:hint="default" w:ascii="Times New Roman" w:hAnsi="Times New Roman" w:eastAsia="宋体" w:cs="Times New Roman"/>
                <w:color w:val="auto"/>
                <w:spacing w:val="0"/>
                <w:sz w:val="21"/>
                <w:szCs w:val="21"/>
                <w:lang w:eastAsia="zh-CN"/>
              </w:rPr>
              <w:t>江镜华侨农场污水处理厂</w:t>
            </w:r>
            <w:r>
              <w:rPr>
                <w:rFonts w:hint="default" w:ascii="Times New Roman" w:hAnsi="Times New Roman" w:eastAsia="宋体" w:cs="Times New Roman"/>
                <w:color w:val="auto"/>
                <w:spacing w:val="0"/>
                <w:sz w:val="21"/>
                <w:szCs w:val="21"/>
              </w:rPr>
              <w:t>处理。</w:t>
            </w:r>
          </w:p>
        </w:tc>
        <w:tc>
          <w:tcPr>
            <w:tcW w:w="3402" w:type="dxa"/>
            <w:vMerge w:val="continue"/>
            <w:noWrap w:val="0"/>
            <w:vAlign w:val="center"/>
          </w:tcPr>
          <w:p w14:paraId="28BBAEEF">
            <w:pPr>
              <w:keepNext w:val="0"/>
              <w:keepLines w:val="0"/>
              <w:pageBreakBefore w:val="0"/>
              <w:widowControl w:val="0"/>
              <w:tabs>
                <w:tab w:val="left" w:pos="840"/>
              </w:tabs>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lang w:eastAsia="zh-CN"/>
              </w:rPr>
            </w:pPr>
          </w:p>
        </w:tc>
      </w:tr>
      <w:tr w14:paraId="3C9CD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1060" w:type="dxa"/>
            <w:noWrap w:val="0"/>
            <w:vAlign w:val="center"/>
          </w:tcPr>
          <w:p w14:paraId="6D5692D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声环境</w:t>
            </w:r>
          </w:p>
        </w:tc>
        <w:tc>
          <w:tcPr>
            <w:tcW w:w="1193" w:type="dxa"/>
            <w:noWrap w:val="0"/>
            <w:vAlign w:val="center"/>
          </w:tcPr>
          <w:p w14:paraId="77EED1F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rPr>
              <w:t>厂界四周</w:t>
            </w:r>
            <w:r>
              <w:rPr>
                <w:rFonts w:hint="default" w:ascii="Times New Roman" w:hAnsi="Times New Roman" w:eastAsia="宋体" w:cs="Times New Roman"/>
                <w:color w:val="auto"/>
                <w:spacing w:val="0"/>
                <w:szCs w:val="21"/>
                <w:lang w:eastAsia="zh-CN"/>
              </w:rPr>
              <w:t>外</w:t>
            </w:r>
            <w:r>
              <w:rPr>
                <w:rFonts w:hint="default" w:ascii="Times New Roman" w:hAnsi="Times New Roman" w:eastAsia="宋体" w:cs="Times New Roman"/>
                <w:color w:val="auto"/>
                <w:spacing w:val="0"/>
                <w:szCs w:val="21"/>
                <w:lang w:val="en-US" w:eastAsia="zh-CN"/>
              </w:rPr>
              <w:t>1m</w:t>
            </w:r>
          </w:p>
        </w:tc>
        <w:tc>
          <w:tcPr>
            <w:tcW w:w="1313" w:type="dxa"/>
            <w:noWrap w:val="0"/>
            <w:vAlign w:val="center"/>
          </w:tcPr>
          <w:p w14:paraId="5975D3B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 w:val="21"/>
                <w:szCs w:val="21"/>
                <w:highlight w:val="none"/>
              </w:rPr>
              <w:t>等效A声级</w:t>
            </w:r>
          </w:p>
        </w:tc>
        <w:tc>
          <w:tcPr>
            <w:tcW w:w="1832" w:type="dxa"/>
            <w:noWrap w:val="0"/>
            <w:vAlign w:val="center"/>
          </w:tcPr>
          <w:p w14:paraId="629FBFA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 w:val="21"/>
                <w:szCs w:val="21"/>
                <w:highlight w:val="none"/>
                <w:lang w:val="en-GB" w:eastAsia="zh-CN"/>
              </w:rPr>
              <w:t>选用低噪声设备，加强设备维护，</w:t>
            </w:r>
            <w:r>
              <w:rPr>
                <w:rFonts w:hint="default" w:ascii="Times New Roman" w:hAnsi="Times New Roman" w:eastAsia="宋体" w:cs="Times New Roman"/>
                <w:color w:val="auto"/>
                <w:spacing w:val="0"/>
                <w:sz w:val="21"/>
                <w:szCs w:val="21"/>
                <w:highlight w:val="none"/>
                <w:lang w:val="en-GB"/>
              </w:rPr>
              <w:t>高噪声设备设置基础减振、隔声等措施</w:t>
            </w:r>
          </w:p>
        </w:tc>
        <w:tc>
          <w:tcPr>
            <w:tcW w:w="3402" w:type="dxa"/>
            <w:noWrap w:val="0"/>
            <w:vAlign w:val="center"/>
          </w:tcPr>
          <w:p w14:paraId="5CA5D65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 w:val="21"/>
                <w:szCs w:val="21"/>
                <w:highlight w:val="none"/>
                <w:lang w:eastAsia="zh-CN"/>
              </w:rPr>
              <w:t>满足</w:t>
            </w:r>
            <w:r>
              <w:rPr>
                <w:rFonts w:hint="default" w:ascii="Times New Roman" w:hAnsi="Times New Roman" w:eastAsia="宋体" w:cs="Times New Roman"/>
                <w:color w:val="auto"/>
                <w:spacing w:val="0"/>
                <w:sz w:val="21"/>
                <w:szCs w:val="21"/>
                <w:highlight w:val="none"/>
              </w:rPr>
              <w:t>《工业企业厂界环境噪声排放标准》(GB12348-2008)中</w:t>
            </w:r>
            <w:r>
              <w:rPr>
                <w:rFonts w:hint="default" w:ascii="Times New Roman" w:hAnsi="Times New Roman" w:eastAsia="宋体" w:cs="Times New Roman"/>
                <w:color w:val="auto"/>
                <w:spacing w:val="0"/>
                <w:sz w:val="21"/>
                <w:szCs w:val="21"/>
                <w:highlight w:val="none"/>
                <w:lang w:val="en-US" w:eastAsia="zh-CN"/>
              </w:rPr>
              <w:t>3类标准</w:t>
            </w:r>
            <w:r>
              <w:rPr>
                <w:rFonts w:hint="default" w:ascii="Times New Roman" w:hAnsi="Times New Roman" w:eastAsia="宋体" w:cs="Times New Roman"/>
                <w:color w:val="auto"/>
                <w:spacing w:val="0"/>
                <w:sz w:val="21"/>
                <w:szCs w:val="21"/>
                <w:highlight w:val="none"/>
              </w:rPr>
              <w:t>(昼间≤</w:t>
            </w:r>
            <w:r>
              <w:rPr>
                <w:rFonts w:hint="default" w:ascii="Times New Roman" w:hAnsi="Times New Roman" w:eastAsia="宋体" w:cs="Times New Roman"/>
                <w:color w:val="auto"/>
                <w:spacing w:val="0"/>
                <w:sz w:val="21"/>
                <w:szCs w:val="21"/>
                <w:highlight w:val="none"/>
                <w:lang w:val="en-US" w:eastAsia="zh-CN"/>
              </w:rPr>
              <w:t>65</w:t>
            </w:r>
            <w:r>
              <w:rPr>
                <w:rFonts w:hint="default" w:ascii="Times New Roman" w:hAnsi="Times New Roman" w:eastAsia="宋体" w:cs="Times New Roman"/>
                <w:color w:val="auto"/>
                <w:spacing w:val="0"/>
                <w:sz w:val="21"/>
                <w:szCs w:val="21"/>
                <w:highlight w:val="none"/>
              </w:rPr>
              <w:t>dB(A)</w:t>
            </w:r>
            <w:r>
              <w:rPr>
                <w:rFonts w:hint="default" w:ascii="Times New Roman" w:hAnsi="Times New Roman" w:eastAsia="宋体" w:cs="Times New Roman"/>
                <w:color w:val="auto"/>
                <w:spacing w:val="0"/>
                <w:sz w:val="21"/>
                <w:szCs w:val="21"/>
                <w:highlight w:val="none"/>
                <w:lang w:eastAsia="zh-CN"/>
              </w:rPr>
              <w:t>、夜间</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55</w:t>
            </w:r>
            <w:r>
              <w:rPr>
                <w:rFonts w:hint="default" w:ascii="Times New Roman" w:hAnsi="Times New Roman" w:eastAsia="宋体" w:cs="Times New Roman"/>
                <w:color w:val="auto"/>
                <w:spacing w:val="0"/>
                <w:sz w:val="21"/>
                <w:szCs w:val="21"/>
                <w:highlight w:val="none"/>
              </w:rPr>
              <w:t>dB(A))</w:t>
            </w:r>
          </w:p>
        </w:tc>
      </w:tr>
      <w:tr w14:paraId="71CBD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60" w:type="dxa"/>
            <w:vMerge w:val="restart"/>
            <w:noWrap w:val="0"/>
            <w:vAlign w:val="center"/>
          </w:tcPr>
          <w:p w14:paraId="3C98418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固体废物</w:t>
            </w:r>
          </w:p>
        </w:tc>
        <w:tc>
          <w:tcPr>
            <w:tcW w:w="1193" w:type="dxa"/>
            <w:noWrap w:val="0"/>
            <w:vAlign w:val="center"/>
          </w:tcPr>
          <w:p w14:paraId="03D5C77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val="en-GB" w:eastAsia="zh-CN"/>
              </w:rPr>
              <w:t>一般工业固废</w:t>
            </w:r>
          </w:p>
        </w:tc>
        <w:tc>
          <w:tcPr>
            <w:tcW w:w="1313" w:type="dxa"/>
            <w:noWrap w:val="0"/>
            <w:vAlign w:val="center"/>
          </w:tcPr>
          <w:p w14:paraId="6E09D8F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eastAsia="zh-CN"/>
              </w:rPr>
              <w:t>废包装材料、</w:t>
            </w:r>
            <w:r>
              <w:rPr>
                <w:rFonts w:hint="eastAsia" w:ascii="Times New Roman" w:hAnsi="Times New Roman" w:cs="Times New Roman"/>
                <w:color w:val="auto"/>
                <w:spacing w:val="0"/>
                <w:szCs w:val="21"/>
                <w:lang w:val="en-US" w:eastAsia="zh-CN"/>
              </w:rPr>
              <w:t>清洗沉渣</w:t>
            </w:r>
            <w:r>
              <w:rPr>
                <w:rFonts w:hint="default" w:ascii="Times New Roman" w:hAnsi="Times New Roman" w:eastAsia="宋体" w:cs="Times New Roman"/>
                <w:color w:val="auto"/>
                <w:spacing w:val="0"/>
                <w:szCs w:val="21"/>
                <w:lang w:eastAsia="zh-CN"/>
              </w:rPr>
              <w:t>、</w:t>
            </w:r>
            <w:r>
              <w:rPr>
                <w:rFonts w:hint="eastAsia" w:ascii="Times New Roman" w:hAnsi="Times New Roman" w:cs="Times New Roman"/>
                <w:color w:val="auto"/>
                <w:spacing w:val="0"/>
                <w:szCs w:val="21"/>
                <w:lang w:val="en-US" w:eastAsia="zh-CN"/>
              </w:rPr>
              <w:t>污泥、废纸浆等</w:t>
            </w:r>
          </w:p>
        </w:tc>
        <w:tc>
          <w:tcPr>
            <w:tcW w:w="1832" w:type="dxa"/>
            <w:noWrap w:val="0"/>
            <w:vAlign w:val="center"/>
          </w:tcPr>
          <w:p w14:paraId="0FA6E5C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val="en-GB"/>
              </w:rPr>
            </w:pPr>
            <w:r>
              <w:rPr>
                <w:rFonts w:hint="default" w:ascii="Times New Roman" w:hAnsi="Times New Roman" w:eastAsia="宋体" w:cs="Times New Roman"/>
                <w:color w:val="auto"/>
                <w:spacing w:val="0"/>
                <w:szCs w:val="21"/>
                <w:lang w:val="en-GB"/>
              </w:rPr>
              <w:t>设置一般工业固废暂存间，妥善分类收集后出售给回收企业综合利用</w:t>
            </w:r>
          </w:p>
        </w:tc>
        <w:tc>
          <w:tcPr>
            <w:tcW w:w="3402" w:type="dxa"/>
            <w:noWrap w:val="0"/>
            <w:vAlign w:val="center"/>
          </w:tcPr>
          <w:p w14:paraId="20FC125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val="en-GB"/>
              </w:rPr>
              <w:t>满足</w:t>
            </w:r>
            <w:r>
              <w:rPr>
                <w:rFonts w:hint="default" w:ascii="Times New Roman" w:hAnsi="Times New Roman" w:eastAsia="宋体" w:cs="Times New Roman"/>
                <w:color w:val="auto"/>
                <w:spacing w:val="0"/>
                <w:szCs w:val="21"/>
                <w:lang w:eastAsia="zh-CN"/>
              </w:rPr>
              <w:t>一般工业固体废物贮存和填埋污染控制标准(GB18599-2020)</w:t>
            </w:r>
            <w:r>
              <w:rPr>
                <w:rFonts w:hint="default" w:ascii="Times New Roman" w:hAnsi="Times New Roman" w:eastAsia="宋体" w:cs="Times New Roman"/>
                <w:color w:val="auto"/>
                <w:spacing w:val="0"/>
                <w:szCs w:val="21"/>
                <w:lang w:val="en-GB"/>
              </w:rPr>
              <w:t>的相关要求</w:t>
            </w:r>
          </w:p>
        </w:tc>
      </w:tr>
      <w:tr w14:paraId="3C25C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060" w:type="dxa"/>
            <w:vMerge w:val="continue"/>
            <w:noWrap w:val="0"/>
            <w:vAlign w:val="center"/>
          </w:tcPr>
          <w:p w14:paraId="20CCCFC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p>
        </w:tc>
        <w:tc>
          <w:tcPr>
            <w:tcW w:w="1193" w:type="dxa"/>
            <w:noWrap w:val="0"/>
            <w:vAlign w:val="center"/>
          </w:tcPr>
          <w:p w14:paraId="730F394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eastAsia="zh-CN"/>
              </w:rPr>
              <w:t>生活垃圾</w:t>
            </w:r>
          </w:p>
        </w:tc>
        <w:tc>
          <w:tcPr>
            <w:tcW w:w="1313" w:type="dxa"/>
            <w:noWrap w:val="0"/>
            <w:vAlign w:val="center"/>
          </w:tcPr>
          <w:p w14:paraId="6BF5296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eastAsia="zh-CN"/>
              </w:rPr>
              <w:t>生活垃圾</w:t>
            </w:r>
          </w:p>
        </w:tc>
        <w:tc>
          <w:tcPr>
            <w:tcW w:w="1832" w:type="dxa"/>
            <w:noWrap w:val="0"/>
            <w:vAlign w:val="center"/>
          </w:tcPr>
          <w:p w14:paraId="2D1F619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由垃圾桶收集，由市政环卫部门统一清运处理</w:t>
            </w:r>
          </w:p>
        </w:tc>
        <w:tc>
          <w:tcPr>
            <w:tcW w:w="3402" w:type="dxa"/>
            <w:noWrap w:val="0"/>
            <w:vAlign w:val="center"/>
          </w:tcPr>
          <w:p w14:paraId="26C272D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eastAsia="zh-CN"/>
              </w:rPr>
              <w:t>验收落实</w:t>
            </w:r>
          </w:p>
        </w:tc>
      </w:tr>
      <w:tr w14:paraId="0D783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5BB5828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土壤及地下水污染防治措施</w:t>
            </w:r>
          </w:p>
        </w:tc>
        <w:tc>
          <w:tcPr>
            <w:tcW w:w="7740" w:type="dxa"/>
            <w:gridSpan w:val="4"/>
            <w:noWrap w:val="0"/>
            <w:vAlign w:val="center"/>
          </w:tcPr>
          <w:p w14:paraId="6F6D08C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合理进行防渗区域划分</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lang w:val="en-US" w:eastAsia="zh-CN"/>
              </w:rPr>
              <w:t>废水处理设施所在位置</w:t>
            </w:r>
            <w:r>
              <w:rPr>
                <w:rFonts w:hint="default" w:ascii="Times New Roman" w:hAnsi="Times New Roman" w:eastAsia="宋体" w:cs="Times New Roman"/>
                <w:color w:val="auto"/>
                <w:spacing w:val="0"/>
                <w:sz w:val="21"/>
                <w:szCs w:val="21"/>
                <w:lang w:eastAsia="zh-CN"/>
              </w:rPr>
              <w:t>地面采取防渗，按</w:t>
            </w:r>
            <w:r>
              <w:rPr>
                <w:rFonts w:hint="default" w:ascii="Times New Roman" w:hAnsi="Times New Roman" w:eastAsia="宋体" w:cs="Times New Roman"/>
                <w:color w:val="auto"/>
                <w:spacing w:val="0"/>
                <w:sz w:val="21"/>
                <w:szCs w:val="21"/>
              </w:rPr>
              <w:t>重点污染区防渗要求</w:t>
            </w:r>
            <w:r>
              <w:rPr>
                <w:rFonts w:hint="default" w:ascii="Times New Roman" w:hAnsi="Times New Roman" w:eastAsia="宋体" w:cs="Times New Roman"/>
                <w:color w:val="auto"/>
                <w:spacing w:val="0"/>
                <w:sz w:val="21"/>
                <w:szCs w:val="21"/>
                <w:lang w:eastAsia="zh-CN"/>
              </w:rPr>
              <w:t>进行建设；一般工业固废间、项目生产车间等按</w:t>
            </w:r>
            <w:r>
              <w:rPr>
                <w:rFonts w:hint="default" w:ascii="Times New Roman" w:hAnsi="Times New Roman" w:eastAsia="宋体" w:cs="Times New Roman"/>
                <w:color w:val="auto"/>
                <w:spacing w:val="0"/>
                <w:sz w:val="21"/>
                <w:szCs w:val="21"/>
              </w:rPr>
              <w:t>一般污染区防渗要求</w:t>
            </w:r>
            <w:r>
              <w:rPr>
                <w:rFonts w:hint="default" w:ascii="Times New Roman" w:hAnsi="Times New Roman" w:eastAsia="宋体" w:cs="Times New Roman"/>
                <w:color w:val="auto"/>
                <w:spacing w:val="0"/>
                <w:sz w:val="21"/>
                <w:szCs w:val="21"/>
                <w:lang w:eastAsia="zh-CN"/>
              </w:rPr>
              <w:t>进行建设</w:t>
            </w:r>
            <w:r>
              <w:rPr>
                <w:rFonts w:hint="eastAsia" w:cs="Times New Roman"/>
                <w:color w:val="auto"/>
                <w:spacing w:val="0"/>
                <w:sz w:val="21"/>
                <w:szCs w:val="21"/>
                <w:lang w:eastAsia="zh-CN"/>
              </w:rPr>
              <w:t>且</w:t>
            </w:r>
            <w:r>
              <w:rPr>
                <w:rFonts w:hint="default" w:ascii="Times New Roman" w:hAnsi="Times New Roman" w:eastAsia="宋体" w:cs="Times New Roman"/>
                <w:color w:val="auto"/>
                <w:spacing w:val="0"/>
                <w:sz w:val="21"/>
                <w:szCs w:val="21"/>
              </w:rPr>
              <w:t>具有防雨、防渗、防风、防日晒</w:t>
            </w:r>
            <w:r>
              <w:rPr>
                <w:rFonts w:hint="default" w:ascii="Times New Roman" w:hAnsi="Times New Roman" w:eastAsia="宋体" w:cs="Times New Roman"/>
                <w:color w:val="auto"/>
                <w:spacing w:val="0"/>
                <w:sz w:val="21"/>
                <w:szCs w:val="21"/>
                <w:lang w:eastAsia="zh-CN"/>
              </w:rPr>
              <w:t>等</w:t>
            </w:r>
            <w:r>
              <w:rPr>
                <w:rFonts w:hint="default" w:ascii="Times New Roman" w:hAnsi="Times New Roman" w:eastAsia="宋体" w:cs="Times New Roman"/>
                <w:color w:val="auto"/>
                <w:spacing w:val="0"/>
                <w:sz w:val="21"/>
                <w:szCs w:val="21"/>
              </w:rPr>
              <w:t>功能</w:t>
            </w:r>
          </w:p>
        </w:tc>
      </w:tr>
      <w:tr w14:paraId="3BEA7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06817A6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生态保护措施</w:t>
            </w:r>
          </w:p>
        </w:tc>
        <w:tc>
          <w:tcPr>
            <w:tcW w:w="7740" w:type="dxa"/>
            <w:gridSpan w:val="4"/>
            <w:noWrap w:val="0"/>
            <w:vAlign w:val="center"/>
          </w:tcPr>
          <w:p w14:paraId="7443EDF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无</w:t>
            </w:r>
          </w:p>
        </w:tc>
      </w:tr>
      <w:tr w14:paraId="0A9CE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518150D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highlight w:val="none"/>
              </w:rPr>
            </w:pPr>
            <w:r>
              <w:rPr>
                <w:rFonts w:hint="default" w:ascii="Times New Roman" w:hAnsi="Times New Roman" w:eastAsia="宋体" w:cs="Times New Roman"/>
                <w:color w:val="auto"/>
                <w:spacing w:val="0"/>
                <w:szCs w:val="21"/>
                <w:highlight w:val="none"/>
              </w:rPr>
              <w:t>环境风险</w:t>
            </w:r>
          </w:p>
          <w:p w14:paraId="2DC7962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highlight w:val="none"/>
              </w:rPr>
            </w:pPr>
            <w:r>
              <w:rPr>
                <w:rFonts w:hint="default" w:ascii="Times New Roman" w:hAnsi="Times New Roman" w:eastAsia="宋体" w:cs="Times New Roman"/>
                <w:color w:val="auto"/>
                <w:spacing w:val="0"/>
                <w:szCs w:val="21"/>
                <w:highlight w:val="none"/>
              </w:rPr>
              <w:t>防范措施</w:t>
            </w:r>
          </w:p>
        </w:tc>
        <w:tc>
          <w:tcPr>
            <w:tcW w:w="7740" w:type="dxa"/>
            <w:gridSpan w:val="4"/>
            <w:noWrap w:val="0"/>
            <w:vAlign w:val="center"/>
          </w:tcPr>
          <w:p w14:paraId="73DCA5EC">
            <w:pPr>
              <w:keepNext w:val="0"/>
              <w:keepLines w:val="0"/>
              <w:pageBreakBefore w:val="0"/>
              <w:widowControl w:val="0"/>
              <w:kinsoku/>
              <w:wordWrap/>
              <w:overflowPunct/>
              <w:topLinePunct w:val="0"/>
              <w:bidi w:val="0"/>
              <w:adjustRightInd w:val="0"/>
              <w:snapToGrid w:val="0"/>
              <w:spacing w:line="340" w:lineRule="exact"/>
              <w:jc w:val="left"/>
              <w:textAlignment w:val="auto"/>
              <w:rPr>
                <w:rFonts w:hint="eastAsia"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①建设单位应按照有关法律法规的规定，编制突发环境事件应急预案，针对项目环境风险进行评估，定期组织应急演习和演练。</w:t>
            </w:r>
          </w:p>
          <w:p w14:paraId="59DE0F49">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②设置1个20m</w:t>
            </w:r>
            <w:r>
              <w:rPr>
                <w:rFonts w:hint="eastAsia" w:ascii="Times New Roman" w:hAnsi="Times New Roman" w:eastAsia="宋体" w:cs="Times New Roman"/>
                <w:color w:val="auto"/>
                <w:spacing w:val="0"/>
                <w:sz w:val="21"/>
                <w:szCs w:val="21"/>
                <w:highlight w:val="none"/>
                <w:vertAlign w:val="superscript"/>
              </w:rPr>
              <w:t>3</w:t>
            </w:r>
            <w:r>
              <w:rPr>
                <w:rFonts w:hint="eastAsia" w:ascii="Times New Roman" w:hAnsi="Times New Roman" w:eastAsia="宋体" w:cs="Times New Roman"/>
                <w:color w:val="auto"/>
                <w:spacing w:val="0"/>
                <w:sz w:val="21"/>
                <w:szCs w:val="21"/>
                <w:highlight w:val="none"/>
              </w:rPr>
              <w:t>事故应急水罐。</w:t>
            </w:r>
          </w:p>
          <w:p w14:paraId="7800F7FE">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rPr>
              <w:t>③</w:t>
            </w:r>
            <w:r>
              <w:rPr>
                <w:rFonts w:hint="default" w:ascii="Times New Roman" w:hAnsi="Times New Roman" w:eastAsia="宋体" w:cs="Times New Roman"/>
                <w:color w:val="auto"/>
                <w:spacing w:val="0"/>
                <w:sz w:val="21"/>
                <w:szCs w:val="21"/>
                <w:highlight w:val="none"/>
              </w:rPr>
              <w:t>加强消防设施和灭火器材的配备，严格落实有关消防技术规范的规定；车间内严禁烟火</w:t>
            </w:r>
            <w:r>
              <w:rPr>
                <w:rFonts w:hint="eastAsia"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rPr>
              <w:t>公司强化安全、消防和环保管理，完善环保安全管理机构，完善各项管理制度，加强日常监督检查</w:t>
            </w:r>
            <w:r>
              <w:rPr>
                <w:rFonts w:hint="eastAsia" w:ascii="Times New Roman" w:hAnsi="Times New Roman" w:eastAsia="宋体" w:cs="Times New Roman"/>
                <w:color w:val="auto"/>
                <w:spacing w:val="0"/>
                <w:sz w:val="21"/>
                <w:szCs w:val="21"/>
                <w:highlight w:val="none"/>
                <w:lang w:eastAsia="zh-CN"/>
              </w:rPr>
              <w:t>。</w:t>
            </w:r>
          </w:p>
        </w:tc>
      </w:tr>
      <w:tr w14:paraId="0D03A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34CC42A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其他环境</w:t>
            </w:r>
          </w:p>
          <w:p w14:paraId="7057E44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 w:val="21"/>
                <w:szCs w:val="21"/>
              </w:rPr>
              <w:t>管理要求</w:t>
            </w:r>
          </w:p>
        </w:tc>
        <w:tc>
          <w:tcPr>
            <w:tcW w:w="7740" w:type="dxa"/>
            <w:gridSpan w:val="4"/>
            <w:noWrap w:val="0"/>
            <w:vAlign w:val="center"/>
          </w:tcPr>
          <w:p w14:paraId="2CF749C8">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1、</w:t>
            </w:r>
            <w:r>
              <w:rPr>
                <w:rFonts w:hint="default" w:ascii="Times New Roman" w:hAnsi="Times New Roman" w:eastAsia="宋体" w:cs="Times New Roman"/>
                <w:b/>
                <w:bCs/>
                <w:color w:val="auto"/>
                <w:spacing w:val="0"/>
                <w:sz w:val="21"/>
                <w:szCs w:val="21"/>
              </w:rPr>
              <w:t>竣工环境保护验收</w:t>
            </w:r>
          </w:p>
          <w:p w14:paraId="720E9553">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rPr>
              <w:t>根据《建设项目竣工环境保护验收暂行办法》的规定，建设项目竣工后，建设单位应当如实查验、监测、记载建设项目环境保护设施的建设和调试情况，编制验收监测报告</w:t>
            </w:r>
            <w:r>
              <w:rPr>
                <w:rFonts w:hint="default" w:ascii="Times New Roman" w:hAnsi="Times New Roman" w:eastAsia="宋体" w:cs="Times New Roman"/>
                <w:color w:val="auto"/>
                <w:spacing w:val="0"/>
                <w:sz w:val="21"/>
                <w:szCs w:val="21"/>
                <w:lang w:eastAsia="zh-CN"/>
              </w:rPr>
              <w:t>表</w:t>
            </w:r>
            <w:r>
              <w:rPr>
                <w:rFonts w:hint="default" w:ascii="Times New Roman" w:hAnsi="Times New Roman" w:eastAsia="宋体" w:cs="Times New Roman"/>
                <w:color w:val="auto"/>
                <w:spacing w:val="0"/>
                <w:sz w:val="21"/>
                <w:szCs w:val="21"/>
                <w:lang w:val="en-US" w:eastAsia="zh-CN"/>
              </w:rPr>
              <w:t>。</w:t>
            </w:r>
          </w:p>
          <w:p w14:paraId="19C0C09E">
            <w:pPr>
              <w:keepNext w:val="0"/>
              <w:keepLines w:val="0"/>
              <w:pageBreakBefore w:val="0"/>
              <w:widowControl w:val="0"/>
              <w:kinsoku/>
              <w:wordWrap/>
              <w:overflowPunct/>
              <w:topLinePunct w:val="0"/>
              <w:bidi w:val="0"/>
              <w:adjustRightInd w:val="0"/>
              <w:snapToGrid w:val="0"/>
              <w:spacing w:line="340" w:lineRule="exact"/>
              <w:jc w:val="both"/>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2、</w:t>
            </w:r>
            <w:r>
              <w:rPr>
                <w:rFonts w:hint="default" w:ascii="Times New Roman" w:hAnsi="Times New Roman" w:eastAsia="宋体" w:cs="Times New Roman"/>
                <w:b/>
                <w:bCs/>
                <w:color w:val="auto"/>
                <w:spacing w:val="0"/>
                <w:sz w:val="21"/>
                <w:szCs w:val="21"/>
              </w:rPr>
              <w:t>排污许可</w:t>
            </w:r>
            <w:r>
              <w:rPr>
                <w:rFonts w:hint="default" w:ascii="Times New Roman" w:hAnsi="Times New Roman" w:eastAsia="宋体" w:cs="Times New Roman"/>
                <w:b/>
                <w:bCs/>
                <w:color w:val="auto"/>
                <w:spacing w:val="0"/>
                <w:sz w:val="21"/>
                <w:szCs w:val="21"/>
                <w:lang w:eastAsia="zh-CN"/>
              </w:rPr>
              <w:t>管理要求</w:t>
            </w:r>
          </w:p>
          <w:p w14:paraId="48F5EC3C">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根据《固定污染源排污许可分类管理名录(2019年版)》(生态环境部 第11号)可知，</w:t>
            </w:r>
            <w:r>
              <w:rPr>
                <w:rFonts w:hint="default" w:ascii="Times New Roman" w:hAnsi="Times New Roman" w:eastAsia="宋体" w:cs="Times New Roman"/>
                <w:color w:val="auto"/>
                <w:spacing w:val="0"/>
                <w:sz w:val="21"/>
                <w:szCs w:val="21"/>
                <w:lang w:eastAsia="zh-CN"/>
              </w:rPr>
              <w:t>本项目</w:t>
            </w:r>
            <w:r>
              <w:rPr>
                <w:rFonts w:hint="default" w:ascii="Times New Roman" w:hAnsi="Times New Roman" w:eastAsia="宋体" w:cs="Times New Roman"/>
                <w:color w:val="auto"/>
                <w:spacing w:val="0"/>
                <w:sz w:val="21"/>
                <w:szCs w:val="21"/>
              </w:rPr>
              <w:t>实行排污许可</w:t>
            </w:r>
            <w:r>
              <w:rPr>
                <w:rFonts w:hint="default" w:ascii="Times New Roman" w:hAnsi="Times New Roman" w:cs="Times New Roman"/>
                <w:color w:val="auto"/>
                <w:spacing w:val="0"/>
                <w:sz w:val="21"/>
                <w:szCs w:val="21"/>
                <w:lang w:val="en-US" w:eastAsia="zh-CN"/>
              </w:rPr>
              <w:t>简化</w:t>
            </w:r>
            <w:r>
              <w:rPr>
                <w:rFonts w:hint="default" w:ascii="Times New Roman" w:hAnsi="Times New Roman" w:eastAsia="宋体" w:cs="Times New Roman"/>
                <w:color w:val="auto"/>
                <w:spacing w:val="0"/>
                <w:sz w:val="21"/>
                <w:szCs w:val="21"/>
              </w:rPr>
              <w:t>管理</w:t>
            </w:r>
            <w:r>
              <w:rPr>
                <w:rFonts w:hint="default" w:ascii="Times New Roman" w:hAnsi="Times New Roman" w:eastAsia="宋体" w:cs="Times New Roman"/>
                <w:color w:val="auto"/>
                <w:spacing w:val="0"/>
                <w:sz w:val="21"/>
                <w:szCs w:val="21"/>
                <w:lang w:val="en-US" w:eastAsia="zh-CN"/>
              </w:rPr>
              <w:t>(详见表5.1-1)</w:t>
            </w:r>
            <w:r>
              <w:rPr>
                <w:rFonts w:hint="default" w:ascii="Times New Roman" w:hAnsi="Times New Roman" w:eastAsia="宋体" w:cs="Times New Roman"/>
                <w:color w:val="auto"/>
                <w:spacing w:val="0"/>
                <w:sz w:val="21"/>
                <w:szCs w:val="21"/>
              </w:rPr>
              <w:t>；</w:t>
            </w:r>
            <w:r>
              <w:rPr>
                <w:rFonts w:hint="default" w:ascii="Times New Roman" w:hAnsi="Times New Roman" w:eastAsia="宋体" w:cs="Times New Roman"/>
                <w:color w:val="auto"/>
                <w:spacing w:val="0"/>
                <w:sz w:val="21"/>
                <w:szCs w:val="21"/>
                <w:lang w:eastAsia="zh-CN"/>
              </w:rPr>
              <w:t>因此，建设单位</w:t>
            </w:r>
            <w:r>
              <w:rPr>
                <w:rFonts w:hint="default" w:ascii="Times New Roman" w:hAnsi="Times New Roman" w:eastAsia="宋体" w:cs="Times New Roman"/>
                <w:color w:val="auto"/>
                <w:spacing w:val="0"/>
                <w:sz w:val="21"/>
                <w:szCs w:val="21"/>
              </w:rPr>
              <w:t>应当在启动生产设施或者发生实际排污之前</w:t>
            </w:r>
            <w:r>
              <w:rPr>
                <w:rFonts w:hint="default" w:ascii="Times New Roman" w:hAnsi="Times New Roman" w:eastAsia="宋体" w:cs="Times New Roman"/>
                <w:color w:val="auto"/>
                <w:spacing w:val="0"/>
                <w:sz w:val="21"/>
                <w:szCs w:val="21"/>
                <w:lang w:eastAsia="zh-CN"/>
              </w:rPr>
              <w:t>在</w:t>
            </w:r>
            <w:r>
              <w:rPr>
                <w:rFonts w:hint="default" w:ascii="Times New Roman" w:hAnsi="Times New Roman" w:eastAsia="宋体" w:cs="Times New Roman"/>
                <w:color w:val="auto"/>
                <w:spacing w:val="0"/>
                <w:sz w:val="21"/>
                <w:szCs w:val="21"/>
              </w:rPr>
              <w:t>全国排污许可证管理信息平台</w:t>
            </w:r>
            <w:r>
              <w:rPr>
                <w:rFonts w:hint="default" w:ascii="Times New Roman" w:hAnsi="Times New Roman" w:eastAsia="宋体" w:cs="Times New Roman"/>
                <w:color w:val="auto"/>
                <w:spacing w:val="0"/>
                <w:sz w:val="21"/>
                <w:szCs w:val="21"/>
                <w:lang w:eastAsia="zh-CN"/>
              </w:rPr>
              <w:t>进行排污许可</w:t>
            </w:r>
            <w:r>
              <w:rPr>
                <w:rFonts w:hint="default" w:ascii="Times New Roman" w:hAnsi="Times New Roman" w:cs="Times New Roman"/>
                <w:color w:val="auto"/>
                <w:spacing w:val="0"/>
                <w:sz w:val="21"/>
                <w:szCs w:val="21"/>
                <w:lang w:val="en-US" w:eastAsia="zh-CN"/>
              </w:rPr>
              <w:t>申领</w:t>
            </w:r>
            <w:r>
              <w:rPr>
                <w:rFonts w:hint="default" w:ascii="Times New Roman" w:hAnsi="Times New Roman" w:eastAsia="宋体" w:cs="Times New Roman"/>
                <w:color w:val="auto"/>
                <w:spacing w:val="0"/>
                <w:sz w:val="21"/>
                <w:szCs w:val="21"/>
              </w:rPr>
              <w:t>。</w:t>
            </w:r>
          </w:p>
          <w:p w14:paraId="1A383A1E">
            <w:pPr>
              <w:pStyle w:val="75"/>
              <w:keepNext w:val="0"/>
              <w:keepLines w:val="0"/>
              <w:pageBreakBefore w:val="0"/>
              <w:widowControl w:val="0"/>
              <w:kinsoku/>
              <w:wordWrap/>
              <w:overflowPunct/>
              <w:topLinePunct w:val="0"/>
              <w:autoSpaceDE/>
              <w:autoSpaceDN/>
              <w:bidi w:val="0"/>
              <w:adjustRightInd/>
              <w:snapToGrid/>
              <w:spacing w:before="191" w:beforeLines="50" w:line="240" w:lineRule="auto"/>
              <w:ind w:left="0" w:leftChars="0" w:firstLine="0" w:firstLineChars="0"/>
              <w:jc w:val="center"/>
              <w:textAlignment w:val="auto"/>
              <w:rPr>
                <w:rFonts w:hint="default" w:ascii="Times New Roman" w:hAnsi="Times New Roman" w:eastAsia="宋体" w:cs="Times New Roman"/>
                <w:color w:val="auto"/>
                <w:szCs w:val="22"/>
                <w:lang w:val="en-US" w:eastAsia="zh-CN"/>
              </w:rPr>
            </w:pPr>
            <w:r>
              <w:rPr>
                <w:rFonts w:hint="default" w:ascii="Times New Roman" w:hAnsi="Times New Roman" w:eastAsia="黑体" w:cs="Times New Roman"/>
                <w:b w:val="0"/>
                <w:bCs w:val="0"/>
                <w:color w:val="auto"/>
                <w:kern w:val="2"/>
                <w:sz w:val="21"/>
                <w:szCs w:val="21"/>
              </w:rPr>
              <w:t>表</w:t>
            </w:r>
            <w:r>
              <w:rPr>
                <w:rFonts w:hint="default" w:ascii="Times New Roman" w:hAnsi="Times New Roman" w:eastAsia="黑体" w:cs="Times New Roman"/>
                <w:b w:val="0"/>
                <w:bCs w:val="0"/>
                <w:color w:val="auto"/>
                <w:kern w:val="2"/>
                <w:sz w:val="21"/>
                <w:szCs w:val="21"/>
                <w:lang w:val="en-US" w:eastAsia="zh-CN"/>
              </w:rPr>
              <w:t>5.1</w:t>
            </w:r>
            <w:r>
              <w:rPr>
                <w:rFonts w:hint="default" w:ascii="Times New Roman" w:hAnsi="Times New Roman" w:eastAsia="黑体" w:cs="Times New Roman"/>
                <w:b w:val="0"/>
                <w:bCs w:val="0"/>
                <w:color w:val="auto"/>
                <w:kern w:val="2"/>
                <w:sz w:val="21"/>
                <w:szCs w:val="21"/>
              </w:rPr>
              <w:t>-1  固定污染源排污许可分类管理名录</w:t>
            </w:r>
            <w:r>
              <w:rPr>
                <w:rFonts w:hint="default" w:ascii="Times New Roman" w:hAnsi="Times New Roman" w:eastAsia="黑体" w:cs="Times New Roman"/>
                <w:b w:val="0"/>
                <w:bCs w:val="0"/>
                <w:color w:val="auto"/>
                <w:kern w:val="2"/>
                <w:sz w:val="21"/>
                <w:szCs w:val="21"/>
                <w:lang w:val="en-US" w:eastAsia="zh-CN"/>
              </w:rPr>
              <w:t>(摘录)</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2292"/>
              <w:gridCol w:w="1019"/>
              <w:gridCol w:w="2876"/>
              <w:gridCol w:w="781"/>
            </w:tblGrid>
            <w:tr w14:paraId="649AD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noWrap w:val="0"/>
                  <w:vAlign w:val="center"/>
                </w:tcPr>
                <w:p w14:paraId="155808BC">
                  <w:pPr>
                    <w:keepNext w:val="0"/>
                    <w:keepLines w:val="0"/>
                    <w:pageBreakBefore w:val="0"/>
                    <w:widowControl w:val="0"/>
                    <w:kinsoku/>
                    <w:wordWrap/>
                    <w:overflowPunct/>
                    <w:topLinePunct w:val="0"/>
                    <w:autoSpaceDE/>
                    <w:autoSpaceDN/>
                    <w:bidi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1523" w:type="pct"/>
                  <w:tcBorders>
                    <w:tl2br w:val="nil"/>
                    <w:tr2bl w:val="nil"/>
                  </w:tcBorders>
                  <w:shd w:val="clear" w:color="auto" w:fill="auto"/>
                  <w:noWrap w:val="0"/>
                  <w:vAlign w:val="center"/>
                </w:tcPr>
                <w:p w14:paraId="5D455171">
                  <w:pPr>
                    <w:keepNext w:val="0"/>
                    <w:keepLines w:val="0"/>
                    <w:pageBreakBefore w:val="0"/>
                    <w:widowControl w:val="0"/>
                    <w:kinsoku/>
                    <w:wordWrap/>
                    <w:overflowPunct/>
                    <w:topLinePunct w:val="0"/>
                    <w:autoSpaceDE/>
                    <w:autoSpaceDN/>
                    <w:bidi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行业类别</w:t>
                  </w:r>
                </w:p>
              </w:tc>
              <w:tc>
                <w:tcPr>
                  <w:tcW w:w="677" w:type="pct"/>
                  <w:tcBorders>
                    <w:tl2br w:val="nil"/>
                    <w:tr2bl w:val="nil"/>
                  </w:tcBorders>
                  <w:shd w:val="clear" w:color="auto" w:fill="auto"/>
                  <w:noWrap w:val="0"/>
                  <w:vAlign w:val="center"/>
                </w:tcPr>
                <w:p w14:paraId="513B291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重点管理</w:t>
                  </w:r>
                </w:p>
              </w:tc>
              <w:tc>
                <w:tcPr>
                  <w:tcW w:w="1911" w:type="pct"/>
                  <w:tcBorders>
                    <w:tl2br w:val="nil"/>
                    <w:tr2bl w:val="nil"/>
                  </w:tcBorders>
                  <w:shd w:val="clear" w:color="auto" w:fill="BEBEBE" w:themeFill="background1" w:themeFillShade="BF"/>
                  <w:noWrap w:val="0"/>
                  <w:vAlign w:val="center"/>
                </w:tcPr>
                <w:p w14:paraId="58B82B6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简化管理</w:t>
                  </w:r>
                </w:p>
              </w:tc>
              <w:tc>
                <w:tcPr>
                  <w:tcW w:w="517" w:type="pct"/>
                  <w:tcBorders>
                    <w:tl2br w:val="nil"/>
                    <w:tr2bl w:val="nil"/>
                  </w:tcBorders>
                  <w:shd w:val="clear" w:color="auto" w:fill="auto"/>
                  <w:noWrap w:val="0"/>
                  <w:vAlign w:val="center"/>
                </w:tcPr>
                <w:p w14:paraId="0FFCC67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登记管理</w:t>
                  </w:r>
                </w:p>
              </w:tc>
            </w:tr>
            <w:tr w14:paraId="6B5D7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shd w:val="clear" w:color="auto" w:fill="BEBEBE" w:themeFill="background1" w:themeFillShade="BF"/>
                  <w:noWrap w:val="0"/>
                  <w:vAlign w:val="center"/>
                </w:tcPr>
                <w:p w14:paraId="6531421C">
                  <w:pPr>
                    <w:keepNext w:val="0"/>
                    <w:keepLines w:val="0"/>
                    <w:pageBreakBefore w:val="0"/>
                    <w:widowControl w:val="0"/>
                    <w:kinsoku/>
                    <w:wordWrap/>
                    <w:overflowPunct/>
                    <w:topLinePunct w:val="0"/>
                    <w:autoSpaceDE/>
                    <w:autoSpaceDN/>
                    <w:bidi w:val="0"/>
                    <w:adjustRightInd w:val="0"/>
                    <w:snapToGrid w:val="0"/>
                    <w:spacing w:line="340" w:lineRule="exact"/>
                    <w:jc w:val="both"/>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三十七、废弃资源综合利用业 42</w:t>
                  </w:r>
                </w:p>
              </w:tc>
            </w:tr>
            <w:tr w14:paraId="3A613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noWrap w:val="0"/>
                  <w:vAlign w:val="center"/>
                </w:tcPr>
                <w:p w14:paraId="6B2E3C0D">
                  <w:pPr>
                    <w:keepNext w:val="0"/>
                    <w:keepLines w:val="0"/>
                    <w:pageBreakBefore w:val="0"/>
                    <w:widowControl w:val="0"/>
                    <w:kinsoku/>
                    <w:wordWrap/>
                    <w:overflowPunct/>
                    <w:topLinePunct w:val="0"/>
                    <w:autoSpaceDE/>
                    <w:autoSpaceDN/>
                    <w:bidi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93</w:t>
                  </w:r>
                </w:p>
              </w:tc>
              <w:tc>
                <w:tcPr>
                  <w:tcW w:w="1523" w:type="pct"/>
                  <w:tcBorders>
                    <w:tl2br w:val="nil"/>
                    <w:tr2bl w:val="nil"/>
                  </w:tcBorders>
                  <w:shd w:val="clear" w:color="auto" w:fill="auto"/>
                  <w:noWrap w:val="0"/>
                  <w:vAlign w:val="center"/>
                </w:tcPr>
                <w:p w14:paraId="6A63E2D7">
                  <w:pPr>
                    <w:keepNext w:val="0"/>
                    <w:keepLines w:val="0"/>
                    <w:pageBreakBefore w:val="0"/>
                    <w:widowControl/>
                    <w:suppressLineNumbers w:val="0"/>
                    <w:kinsoku/>
                    <w:wordWrap/>
                    <w:overflowPunct/>
                    <w:topLinePunct w:val="0"/>
                    <w:autoSpaceDE/>
                    <w:autoSpaceDN/>
                    <w:bidi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金属废料和碎屑加工处理421，非金属废料和碎屑加工处理 422</w:t>
                  </w:r>
                </w:p>
              </w:tc>
              <w:tc>
                <w:tcPr>
                  <w:tcW w:w="677" w:type="pct"/>
                  <w:tcBorders>
                    <w:tl2br w:val="nil"/>
                    <w:tr2bl w:val="nil"/>
                  </w:tcBorders>
                  <w:shd w:val="clear" w:color="auto" w:fill="auto"/>
                  <w:noWrap w:val="0"/>
                  <w:vAlign w:val="center"/>
                </w:tcPr>
                <w:p w14:paraId="1B0FD728">
                  <w:pPr>
                    <w:keepNext w:val="0"/>
                    <w:keepLines w:val="0"/>
                    <w:pageBreakBefore w:val="0"/>
                    <w:widowControl/>
                    <w:suppressLineNumbers w:val="0"/>
                    <w:kinsoku/>
                    <w:wordWrap/>
                    <w:overflowPunct/>
                    <w:topLinePunct w:val="0"/>
                    <w:autoSpaceDE/>
                    <w:autoSpaceDN/>
                    <w:bidi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废电池、废油、废轮胎加工处理</w:t>
                  </w:r>
                </w:p>
              </w:tc>
              <w:tc>
                <w:tcPr>
                  <w:tcW w:w="1911" w:type="pct"/>
                  <w:tcBorders>
                    <w:tl2br w:val="nil"/>
                    <w:tr2bl w:val="nil"/>
                  </w:tcBorders>
                  <w:shd w:val="clear" w:color="auto" w:fill="BEBEBE" w:themeFill="background1" w:themeFillShade="BF"/>
                  <w:noWrap w:val="0"/>
                  <w:vAlign w:val="center"/>
                </w:tcPr>
                <w:p w14:paraId="5B522462">
                  <w:pPr>
                    <w:keepNext w:val="0"/>
                    <w:keepLines w:val="0"/>
                    <w:pageBreakBefore w:val="0"/>
                    <w:widowControl/>
                    <w:suppressLineNumbers w:val="0"/>
                    <w:kinsoku/>
                    <w:wordWrap/>
                    <w:overflowPunct/>
                    <w:topLinePunct w:val="0"/>
                    <w:autoSpaceDE/>
                    <w:autoSpaceDN/>
                    <w:bidi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废弃电器电子产品、废机动车、废电机、废电线电缆、废塑料、废船、含水洗工艺的其他废料和碎屑加工处理</w:t>
                  </w:r>
                </w:p>
              </w:tc>
              <w:tc>
                <w:tcPr>
                  <w:tcW w:w="517" w:type="pct"/>
                  <w:tcBorders>
                    <w:tl2br w:val="nil"/>
                    <w:tr2bl w:val="nil"/>
                  </w:tcBorders>
                  <w:shd w:val="clear" w:color="auto" w:fill="auto"/>
                  <w:noWrap w:val="0"/>
                  <w:vAlign w:val="center"/>
                </w:tcPr>
                <w:p w14:paraId="0BC93C5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其他</w:t>
                  </w:r>
                </w:p>
              </w:tc>
            </w:tr>
          </w:tbl>
          <w:p w14:paraId="7BAB95F9">
            <w:pPr>
              <w:numPr>
                <w:ilvl w:val="0"/>
                <w:numId w:val="16"/>
              </w:numPr>
              <w:adjustRightInd w:val="0"/>
              <w:snapToGrid w:val="0"/>
              <w:spacing w:line="340" w:lineRule="exact"/>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排污口规范化管理要求</w:t>
            </w:r>
          </w:p>
          <w:p w14:paraId="3A1C079A">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排污口规范化</w:t>
            </w:r>
            <w:r>
              <w:rPr>
                <w:rFonts w:hint="default" w:ascii="Times New Roman" w:hAnsi="Times New Roman" w:eastAsia="宋体" w:cs="Times New Roman"/>
                <w:color w:val="auto"/>
                <w:sz w:val="21"/>
                <w:szCs w:val="21"/>
              </w:rPr>
              <w:t>图标</w:t>
            </w:r>
            <w:r>
              <w:rPr>
                <w:rFonts w:hint="default" w:ascii="Times New Roman" w:hAnsi="Times New Roman" w:eastAsia="宋体" w:cs="Times New Roman"/>
                <w:color w:val="auto"/>
                <w:sz w:val="21"/>
                <w:szCs w:val="21"/>
                <w:lang w:eastAsia="zh-CN"/>
              </w:rPr>
              <w:t>按照</w:t>
            </w:r>
            <w:r>
              <w:rPr>
                <w:rFonts w:hint="default" w:ascii="Times New Roman" w:hAnsi="Times New Roman" w:eastAsia="宋体" w:cs="Times New Roman"/>
                <w:color w:val="auto"/>
                <w:sz w:val="21"/>
                <w:szCs w:val="21"/>
              </w:rPr>
              <w:t>《环境保护图形标志—排放口(源)》(GB1556</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.1-1995)</w:t>
            </w:r>
            <w:r>
              <w:rPr>
                <w:rFonts w:hint="default" w:ascii="Times New Roman" w:hAnsi="Times New Roman" w:eastAsia="宋体" w:cs="Times New Roman"/>
                <w:color w:val="auto"/>
                <w:sz w:val="21"/>
                <w:szCs w:val="21"/>
                <w:lang w:eastAsia="zh-CN"/>
              </w:rPr>
              <w:t>要求进行，具体详见表</w:t>
            </w:r>
            <w:r>
              <w:rPr>
                <w:rFonts w:hint="default" w:ascii="Times New Roman" w:hAnsi="Times New Roman" w:eastAsia="宋体" w:cs="Times New Roman"/>
                <w:color w:val="auto"/>
                <w:sz w:val="21"/>
                <w:szCs w:val="21"/>
                <w:lang w:val="en-US" w:eastAsia="zh-CN"/>
              </w:rPr>
              <w:t>5.1-2。</w:t>
            </w:r>
          </w:p>
          <w:p w14:paraId="2A4BF8B5">
            <w:pPr>
              <w:spacing w:before="120" w:beforeLines="50"/>
              <w:jc w:val="center"/>
              <w:rPr>
                <w:rFonts w:hint="default" w:ascii="Times New Roman" w:hAnsi="Times New Roman" w:eastAsia="宋体" w:cs="Times New Roman"/>
                <w:color w:val="auto"/>
                <w:spacing w:val="8"/>
                <w:sz w:val="24"/>
                <w:szCs w:val="24"/>
                <w:highlight w:val="none"/>
                <w:lang w:bidi="ar"/>
              </w:rPr>
            </w:pPr>
            <w:r>
              <w:rPr>
                <w:rFonts w:hint="default" w:ascii="Times New Roman" w:hAnsi="Times New Roman" w:eastAsia="黑体" w:cs="Times New Roman"/>
                <w:color w:val="auto"/>
                <w:spacing w:val="8"/>
                <w:sz w:val="21"/>
                <w:szCs w:val="21"/>
                <w:highlight w:val="none"/>
                <w:lang w:bidi="ar"/>
              </w:rPr>
              <w:t>表</w:t>
            </w:r>
            <w:r>
              <w:rPr>
                <w:rFonts w:hint="default" w:ascii="Times New Roman" w:hAnsi="Times New Roman" w:eastAsia="黑体" w:cs="Times New Roman"/>
                <w:color w:val="auto"/>
                <w:spacing w:val="8"/>
                <w:sz w:val="21"/>
                <w:szCs w:val="21"/>
                <w:highlight w:val="none"/>
                <w:lang w:val="en-US" w:eastAsia="zh-CN" w:bidi="ar"/>
              </w:rPr>
              <w:t>5.1-2</w:t>
            </w:r>
            <w:r>
              <w:rPr>
                <w:rFonts w:hint="default" w:ascii="Times New Roman" w:hAnsi="Times New Roman" w:eastAsia="黑体" w:cs="Times New Roman"/>
                <w:color w:val="auto"/>
                <w:spacing w:val="8"/>
                <w:sz w:val="21"/>
                <w:szCs w:val="21"/>
                <w:highlight w:val="none"/>
                <w:lang w:bidi="ar"/>
              </w:rPr>
              <w:t xml:space="preserve">  排污口图形符号(提示标志)一览表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77"/>
              <w:gridCol w:w="1914"/>
              <w:gridCol w:w="1915"/>
              <w:gridCol w:w="1915"/>
            </w:tblGrid>
            <w:tr w14:paraId="1B72BF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091C6A57">
                  <w:pPr>
                    <w:pStyle w:val="90"/>
                    <w:keepNext w:val="0"/>
                    <w:keepLines w:val="0"/>
                    <w:pageBreakBefore w:val="0"/>
                    <w:widowControl w:val="0"/>
                    <w:kinsoku/>
                    <w:wordWrap/>
                    <w:overflowPunct/>
                    <w:topLinePunct w:val="0"/>
                    <w:bidi w:val="0"/>
                    <w:adjustRightInd w:val="0"/>
                    <w:snapToGrid w:val="0"/>
                    <w:spacing w:line="280" w:lineRule="exact"/>
                    <w:jc w:val="righ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 xml:space="preserve">  排放部位</w:t>
                  </w:r>
                </w:p>
                <w:p w14:paraId="0CC991B8">
                  <w:pPr>
                    <w:pStyle w:val="90"/>
                    <w:keepNext w:val="0"/>
                    <w:keepLines w:val="0"/>
                    <w:pageBreakBefore w:val="0"/>
                    <w:widowControl w:val="0"/>
                    <w:kinsoku/>
                    <w:wordWrap/>
                    <w:overflowPunct/>
                    <w:topLinePunct w:val="0"/>
                    <w:bidi w:val="0"/>
                    <w:adjustRightInd w:val="0"/>
                    <w:snapToGrid w:val="0"/>
                    <w:spacing w:line="280" w:lineRule="exact"/>
                    <w:jc w:val="both"/>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项目</w:t>
                  </w:r>
                </w:p>
              </w:tc>
              <w:tc>
                <w:tcPr>
                  <w:tcW w:w="1272" w:type="pct"/>
                  <w:tcBorders>
                    <w:tl2br w:val="nil"/>
                    <w:tr2bl w:val="nil"/>
                  </w:tcBorders>
                  <w:noWrap w:val="0"/>
                  <w:vAlign w:val="center"/>
                </w:tcPr>
                <w:p w14:paraId="5CE519BD">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污水排放口</w:t>
                  </w:r>
                </w:p>
              </w:tc>
              <w:tc>
                <w:tcPr>
                  <w:tcW w:w="1272" w:type="pct"/>
                  <w:tcBorders>
                    <w:tl2br w:val="nil"/>
                    <w:tr2bl w:val="nil"/>
                  </w:tcBorders>
                  <w:noWrap w:val="0"/>
                  <w:vAlign w:val="center"/>
                </w:tcPr>
                <w:p w14:paraId="0316BDB2">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噪声排放源</w:t>
                  </w:r>
                </w:p>
              </w:tc>
              <w:tc>
                <w:tcPr>
                  <w:tcW w:w="1272" w:type="pct"/>
                  <w:tcBorders>
                    <w:tl2br w:val="nil"/>
                    <w:tr2bl w:val="nil"/>
                  </w:tcBorders>
                  <w:noWrap w:val="0"/>
                  <w:vAlign w:val="center"/>
                </w:tcPr>
                <w:p w14:paraId="7E8B8B9A">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一般工业固废</w:t>
                  </w:r>
                </w:p>
              </w:tc>
            </w:tr>
            <w:tr w14:paraId="158DF2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33F35139">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图形符号</w:t>
                  </w:r>
                </w:p>
              </w:tc>
              <w:tc>
                <w:tcPr>
                  <w:tcW w:w="1272" w:type="pct"/>
                  <w:tcBorders>
                    <w:tl2br w:val="nil"/>
                    <w:tr2bl w:val="nil"/>
                  </w:tcBorders>
                  <w:noWrap w:val="0"/>
                  <w:vAlign w:val="center"/>
                </w:tcPr>
                <w:p w14:paraId="11F38413">
                  <w:pPr>
                    <w:keepNext w:val="0"/>
                    <w:keepLines w:val="0"/>
                    <w:pageBreakBefore w:val="0"/>
                    <w:widowControl w:val="0"/>
                    <w:kinsoku/>
                    <w:wordWrap/>
                    <w:overflowPunct/>
                    <w:topLinePunct w:val="0"/>
                    <w:bidi w:val="0"/>
                    <w:adjustRightInd w:val="0"/>
                    <w:snapToGrid w:val="0"/>
                    <w:spacing w:line="280" w:lineRule="exact"/>
                    <w:ind w:firstLine="480"/>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rPr>
                    <w:drawing>
                      <wp:anchor distT="0" distB="0" distL="114300" distR="114300" simplePos="0" relativeHeight="251663360" behindDoc="0" locked="0" layoutInCell="1" allowOverlap="1">
                        <wp:simplePos x="0" y="0"/>
                        <wp:positionH relativeFrom="column">
                          <wp:posOffset>85090</wp:posOffset>
                        </wp:positionH>
                        <wp:positionV relativeFrom="paragraph">
                          <wp:posOffset>52705</wp:posOffset>
                        </wp:positionV>
                        <wp:extent cx="639445" cy="639445"/>
                        <wp:effectExtent l="0" t="0" r="8255" b="8255"/>
                        <wp:wrapNone/>
                        <wp:docPr id="51"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54" descr="1"/>
                                <pic:cNvPicPr>
                                  <a:picLocks noChangeAspect="1"/>
                                </pic:cNvPicPr>
                              </pic:nvPicPr>
                              <pic:blipFill>
                                <a:blip r:embed="rId29"/>
                                <a:stretch>
                                  <a:fillRect/>
                                </a:stretch>
                              </pic:blipFill>
                              <pic:spPr>
                                <a:xfrm>
                                  <a:off x="0" y="0"/>
                                  <a:ext cx="639445" cy="639445"/>
                                </a:xfrm>
                                <a:prstGeom prst="rect">
                                  <a:avLst/>
                                </a:prstGeom>
                                <a:noFill/>
                                <a:ln>
                                  <a:noFill/>
                                </a:ln>
                              </pic:spPr>
                            </pic:pic>
                          </a:graphicData>
                        </a:graphic>
                      </wp:anchor>
                    </w:drawing>
                  </w:r>
                </w:p>
                <w:p w14:paraId="1C82C867">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auto"/>
                      <w:sz w:val="18"/>
                      <w:szCs w:val="18"/>
                      <w:highlight w:val="none"/>
                      <w:lang w:val="en-GB"/>
                    </w:rPr>
                  </w:pPr>
                </w:p>
                <w:p w14:paraId="64B64585">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auto"/>
                      <w:sz w:val="18"/>
                      <w:szCs w:val="18"/>
                      <w:highlight w:val="none"/>
                      <w:lang w:val="en-GB"/>
                    </w:rPr>
                  </w:pPr>
                </w:p>
                <w:p w14:paraId="51F5CD2E">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auto"/>
                      <w:sz w:val="18"/>
                      <w:szCs w:val="18"/>
                      <w:highlight w:val="none"/>
                      <w:lang w:val="en-GB"/>
                    </w:rPr>
                  </w:pPr>
                </w:p>
              </w:tc>
              <w:tc>
                <w:tcPr>
                  <w:tcW w:w="1272" w:type="pct"/>
                  <w:tcBorders>
                    <w:tl2br w:val="nil"/>
                    <w:tr2bl w:val="nil"/>
                  </w:tcBorders>
                  <w:noWrap w:val="0"/>
                  <w:vAlign w:val="center"/>
                </w:tcPr>
                <w:p w14:paraId="1308DA5E">
                  <w:pPr>
                    <w:keepNext w:val="0"/>
                    <w:keepLines w:val="0"/>
                    <w:pageBreakBefore w:val="0"/>
                    <w:widowControl w:val="0"/>
                    <w:kinsoku/>
                    <w:wordWrap/>
                    <w:overflowPunct/>
                    <w:topLinePunct w:val="0"/>
                    <w:bidi w:val="0"/>
                    <w:adjustRightInd w:val="0"/>
                    <w:snapToGrid w:val="0"/>
                    <w:spacing w:line="280" w:lineRule="exact"/>
                    <w:ind w:firstLine="480"/>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rPr>
                    <w:drawing>
                      <wp:anchor distT="0" distB="0" distL="114300" distR="114300" simplePos="0" relativeHeight="251664384" behindDoc="0" locked="0" layoutInCell="1" allowOverlap="1">
                        <wp:simplePos x="0" y="0"/>
                        <wp:positionH relativeFrom="column">
                          <wp:posOffset>97790</wp:posOffset>
                        </wp:positionH>
                        <wp:positionV relativeFrom="paragraph">
                          <wp:posOffset>59690</wp:posOffset>
                        </wp:positionV>
                        <wp:extent cx="640715" cy="640715"/>
                        <wp:effectExtent l="0" t="0" r="6985" b="6985"/>
                        <wp:wrapNone/>
                        <wp:docPr id="53"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56" descr="点击看大图及详细资料"/>
                                <pic:cNvPicPr>
                                  <a:picLocks noChangeAspect="1"/>
                                </pic:cNvPicPr>
                              </pic:nvPicPr>
                              <pic:blipFill>
                                <a:blip r:embed="rId30"/>
                                <a:stretch>
                                  <a:fillRect/>
                                </a:stretch>
                              </pic:blipFill>
                              <pic:spPr>
                                <a:xfrm>
                                  <a:off x="0" y="0"/>
                                  <a:ext cx="640715" cy="640715"/>
                                </a:xfrm>
                                <a:prstGeom prst="rect">
                                  <a:avLst/>
                                </a:prstGeom>
                                <a:noFill/>
                                <a:ln>
                                  <a:noFill/>
                                </a:ln>
                              </pic:spPr>
                            </pic:pic>
                          </a:graphicData>
                        </a:graphic>
                      </wp:anchor>
                    </w:drawing>
                  </w:r>
                </w:p>
                <w:p w14:paraId="6A850D6E">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auto"/>
                      <w:sz w:val="18"/>
                      <w:szCs w:val="18"/>
                      <w:highlight w:val="none"/>
                      <w:lang w:val="en-GB"/>
                    </w:rPr>
                  </w:pPr>
                </w:p>
                <w:p w14:paraId="0361327F">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auto"/>
                      <w:sz w:val="18"/>
                      <w:szCs w:val="18"/>
                      <w:highlight w:val="none"/>
                      <w:lang w:val="en-GB"/>
                    </w:rPr>
                  </w:pPr>
                </w:p>
              </w:tc>
              <w:tc>
                <w:tcPr>
                  <w:tcW w:w="1272" w:type="pct"/>
                  <w:tcBorders>
                    <w:tl2br w:val="nil"/>
                    <w:tr2bl w:val="nil"/>
                  </w:tcBorders>
                  <w:noWrap w:val="0"/>
                  <w:vAlign w:val="center"/>
                </w:tcPr>
                <w:p w14:paraId="4EF103B5">
                  <w:pPr>
                    <w:keepNext w:val="0"/>
                    <w:keepLines w:val="0"/>
                    <w:pageBreakBefore w:val="0"/>
                    <w:widowControl w:val="0"/>
                    <w:kinsoku/>
                    <w:wordWrap/>
                    <w:overflowPunct/>
                    <w:topLinePunct w:val="0"/>
                    <w:bidi w:val="0"/>
                    <w:adjustRightInd w:val="0"/>
                    <w:snapToGrid w:val="0"/>
                    <w:spacing w:line="280" w:lineRule="exact"/>
                    <w:ind w:firstLine="480"/>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rPr>
                    <w:drawing>
                      <wp:anchor distT="0" distB="0" distL="114300" distR="114300" simplePos="0" relativeHeight="251665408" behindDoc="0" locked="0" layoutInCell="1" allowOverlap="1">
                        <wp:simplePos x="0" y="0"/>
                        <wp:positionH relativeFrom="column">
                          <wp:posOffset>99060</wp:posOffset>
                        </wp:positionH>
                        <wp:positionV relativeFrom="paragraph">
                          <wp:posOffset>59690</wp:posOffset>
                        </wp:positionV>
                        <wp:extent cx="640715" cy="640715"/>
                        <wp:effectExtent l="0" t="0" r="6985" b="6985"/>
                        <wp:wrapNone/>
                        <wp:docPr id="54" name="图片 75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57" descr="一般固废"/>
                                <pic:cNvPicPr>
                                  <a:picLocks noChangeAspect="1"/>
                                </pic:cNvPicPr>
                              </pic:nvPicPr>
                              <pic:blipFill>
                                <a:blip r:embed="rId31"/>
                                <a:stretch>
                                  <a:fillRect/>
                                </a:stretch>
                              </pic:blipFill>
                              <pic:spPr>
                                <a:xfrm>
                                  <a:off x="0" y="0"/>
                                  <a:ext cx="640715" cy="640715"/>
                                </a:xfrm>
                                <a:prstGeom prst="rect">
                                  <a:avLst/>
                                </a:prstGeom>
                                <a:noFill/>
                                <a:ln>
                                  <a:noFill/>
                                </a:ln>
                              </pic:spPr>
                            </pic:pic>
                          </a:graphicData>
                        </a:graphic>
                      </wp:anchor>
                    </w:drawing>
                  </w:r>
                </w:p>
              </w:tc>
            </w:tr>
            <w:tr w14:paraId="47F424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1EB152E5">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形状</w:t>
                  </w:r>
                </w:p>
              </w:tc>
              <w:tc>
                <w:tcPr>
                  <w:tcW w:w="1272" w:type="pct"/>
                  <w:tcBorders>
                    <w:tl2br w:val="nil"/>
                    <w:tr2bl w:val="nil"/>
                  </w:tcBorders>
                  <w:noWrap w:val="0"/>
                  <w:vAlign w:val="center"/>
                </w:tcPr>
                <w:p w14:paraId="7928C97E">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正方形边框</w:t>
                  </w:r>
                </w:p>
              </w:tc>
              <w:tc>
                <w:tcPr>
                  <w:tcW w:w="1272" w:type="pct"/>
                  <w:tcBorders>
                    <w:tl2br w:val="nil"/>
                    <w:tr2bl w:val="nil"/>
                  </w:tcBorders>
                  <w:noWrap w:val="0"/>
                  <w:vAlign w:val="center"/>
                </w:tcPr>
                <w:p w14:paraId="7AA7741A">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正方形边框</w:t>
                  </w:r>
                </w:p>
              </w:tc>
              <w:tc>
                <w:tcPr>
                  <w:tcW w:w="1272" w:type="pct"/>
                  <w:tcBorders>
                    <w:tl2br w:val="nil"/>
                    <w:tr2bl w:val="nil"/>
                  </w:tcBorders>
                  <w:noWrap w:val="0"/>
                  <w:vAlign w:val="center"/>
                </w:tcPr>
                <w:p w14:paraId="65F01376">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三角形边框</w:t>
                  </w:r>
                </w:p>
              </w:tc>
            </w:tr>
            <w:tr w14:paraId="6DABD4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2064E211">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背景颜色</w:t>
                  </w:r>
                </w:p>
              </w:tc>
              <w:tc>
                <w:tcPr>
                  <w:tcW w:w="1272" w:type="pct"/>
                  <w:tcBorders>
                    <w:tl2br w:val="nil"/>
                    <w:tr2bl w:val="nil"/>
                  </w:tcBorders>
                  <w:noWrap w:val="0"/>
                  <w:vAlign w:val="center"/>
                </w:tcPr>
                <w:p w14:paraId="74CE0B69">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绿色</w:t>
                  </w:r>
                </w:p>
              </w:tc>
              <w:tc>
                <w:tcPr>
                  <w:tcW w:w="1272" w:type="pct"/>
                  <w:tcBorders>
                    <w:tl2br w:val="nil"/>
                    <w:tr2bl w:val="nil"/>
                  </w:tcBorders>
                  <w:noWrap w:val="0"/>
                  <w:vAlign w:val="center"/>
                </w:tcPr>
                <w:p w14:paraId="022DCE1E">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绿色</w:t>
                  </w:r>
                </w:p>
              </w:tc>
              <w:tc>
                <w:tcPr>
                  <w:tcW w:w="1272" w:type="pct"/>
                  <w:tcBorders>
                    <w:tl2br w:val="nil"/>
                    <w:tr2bl w:val="nil"/>
                  </w:tcBorders>
                  <w:noWrap w:val="0"/>
                  <w:vAlign w:val="center"/>
                </w:tcPr>
                <w:p w14:paraId="3DD80F8C">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黄色</w:t>
                  </w:r>
                </w:p>
              </w:tc>
            </w:tr>
            <w:tr w14:paraId="46B283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13ED895B">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图形颜色</w:t>
                  </w:r>
                </w:p>
              </w:tc>
              <w:tc>
                <w:tcPr>
                  <w:tcW w:w="1272" w:type="pct"/>
                  <w:tcBorders>
                    <w:tl2br w:val="nil"/>
                    <w:tr2bl w:val="nil"/>
                  </w:tcBorders>
                  <w:noWrap w:val="0"/>
                  <w:vAlign w:val="center"/>
                </w:tcPr>
                <w:p w14:paraId="34762158">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白色</w:t>
                  </w:r>
                </w:p>
              </w:tc>
              <w:tc>
                <w:tcPr>
                  <w:tcW w:w="1272" w:type="pct"/>
                  <w:tcBorders>
                    <w:tl2br w:val="nil"/>
                    <w:tr2bl w:val="nil"/>
                  </w:tcBorders>
                  <w:noWrap w:val="0"/>
                  <w:vAlign w:val="center"/>
                </w:tcPr>
                <w:p w14:paraId="6426DEF8">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白色</w:t>
                  </w:r>
                </w:p>
              </w:tc>
              <w:tc>
                <w:tcPr>
                  <w:tcW w:w="1272" w:type="pct"/>
                  <w:tcBorders>
                    <w:tl2br w:val="nil"/>
                    <w:tr2bl w:val="nil"/>
                  </w:tcBorders>
                  <w:noWrap w:val="0"/>
                  <w:vAlign w:val="center"/>
                </w:tcPr>
                <w:p w14:paraId="479AC561">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auto"/>
                      <w:sz w:val="18"/>
                      <w:szCs w:val="18"/>
                      <w:highlight w:val="none"/>
                      <w:lang w:val="en-GB"/>
                    </w:rPr>
                  </w:pPr>
                  <w:r>
                    <w:rPr>
                      <w:rFonts w:hint="default" w:ascii="Times New Roman" w:hAnsi="Times New Roman" w:eastAsia="宋体" w:cs="Times New Roman"/>
                      <w:color w:val="auto"/>
                      <w:sz w:val="18"/>
                      <w:szCs w:val="18"/>
                      <w:highlight w:val="none"/>
                      <w:lang w:val="en-GB"/>
                    </w:rPr>
                    <w:t>黑色</w:t>
                  </w:r>
                </w:p>
              </w:tc>
            </w:tr>
          </w:tbl>
          <w:p w14:paraId="2714D670">
            <w:pPr>
              <w:numPr>
                <w:ilvl w:val="0"/>
                <w:numId w:val="16"/>
              </w:numPr>
              <w:adjustRightInd w:val="0"/>
              <w:snapToGrid w:val="0"/>
              <w:spacing w:line="340" w:lineRule="exact"/>
              <w:jc w:val="left"/>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环境管理的主要内容</w:t>
            </w:r>
          </w:p>
          <w:p w14:paraId="3B539EF8">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1</w:t>
            </w:r>
            <w:r>
              <w:rPr>
                <w:rFonts w:hint="eastAsia"/>
                <w:color w:val="auto"/>
                <w:szCs w:val="21"/>
                <w:lang w:eastAsia="zh-CN"/>
              </w:rPr>
              <w:t>）</w:t>
            </w:r>
            <w:r>
              <w:rPr>
                <w:rFonts w:hint="eastAsia"/>
                <w:color w:val="auto"/>
                <w:szCs w:val="21"/>
                <w:lang w:val="en-US" w:eastAsia="zh-CN"/>
              </w:rPr>
              <w:t>原料控制：项目原料来源为福建省范围内医疗机构使用后的不属于医疗废物的未被污染的医用输液瓶（</w:t>
            </w:r>
            <w:r>
              <w:rPr>
                <w:rFonts w:hint="eastAsia" w:ascii="Times New Roman" w:hAnsi="Times New Roman" w:eastAsia="宋体" w:cs="Times New Roman"/>
                <w:color w:val="auto"/>
                <w:szCs w:val="21"/>
                <w:lang w:val="en-US" w:eastAsia="zh-CN"/>
              </w:rPr>
              <w:t>袋），企业应严格落实</w:t>
            </w:r>
            <w:r>
              <w:rPr>
                <w:rFonts w:hint="default" w:ascii="Times New Roman" w:hAnsi="Times New Roman" w:eastAsia="宋体" w:cs="Times New Roman"/>
                <w:color w:val="auto"/>
                <w:szCs w:val="21"/>
                <w:lang w:val="en-US" w:eastAsia="zh-CN"/>
              </w:rPr>
              <w:t>《关于在医疗机构推进生活垃圾分类管理的通知》（国卫办医发〔2017〕30号）</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《关于印发医疗机构废弃物综合治理工作方案的通知》（国卫医发〔2020〕3号）</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《关于印发医疗机构废弃物综合治理工作方案的通知》（国卫医发〔2020〕3号）</w:t>
            </w:r>
            <w:r>
              <w:rPr>
                <w:rFonts w:hint="eastAsia" w:ascii="Times New Roman" w:hAnsi="Times New Roman" w:eastAsia="宋体" w:cs="Times New Roman"/>
                <w:color w:val="auto"/>
                <w:szCs w:val="21"/>
                <w:lang w:val="en-US" w:eastAsia="zh-CN"/>
              </w:rPr>
              <w:t>、《福建省</w:t>
            </w:r>
            <w:r>
              <w:rPr>
                <w:rFonts w:hint="eastAsia" w:cs="Times New Roman"/>
                <w:color w:val="auto"/>
                <w:szCs w:val="21"/>
                <w:lang w:val="en-US" w:eastAsia="zh-CN"/>
              </w:rPr>
              <w:t>卫生健康委员会</w:t>
            </w:r>
            <w:r>
              <w:rPr>
                <w:rFonts w:hint="eastAsia" w:ascii="Times New Roman" w:hAnsi="Times New Roman" w:eastAsia="宋体" w:cs="Times New Roman"/>
                <w:color w:val="auto"/>
                <w:szCs w:val="21"/>
                <w:lang w:val="en-US" w:eastAsia="zh-CN"/>
              </w:rPr>
              <w:t>办公室关于重申加强使用后未被污染输液瓶（袋）管理工作的通知》（闽卫办医政函〔2017〕7号）等文件的管理要求，与医疗机构签订回收合同时，应约定清楚收集物品范围及不予回</w:t>
            </w:r>
            <w:r>
              <w:rPr>
                <w:rFonts w:hint="eastAsia"/>
                <w:color w:val="auto"/>
                <w:szCs w:val="21"/>
                <w:lang w:val="en-US" w:eastAsia="zh-CN"/>
              </w:rPr>
              <w:t>收物品种类，严禁回收医疗废物。</w:t>
            </w:r>
          </w:p>
          <w:p w14:paraId="342F9128">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2</w:t>
            </w:r>
            <w:r>
              <w:rPr>
                <w:rFonts w:hint="eastAsia"/>
                <w:color w:val="auto"/>
                <w:szCs w:val="21"/>
                <w:lang w:eastAsia="zh-CN"/>
              </w:rPr>
              <w:t>）</w:t>
            </w:r>
            <w:r>
              <w:rPr>
                <w:rFonts w:hint="eastAsia"/>
                <w:color w:val="auto"/>
                <w:szCs w:val="21"/>
                <w:lang w:val="en-US" w:eastAsia="zh-CN"/>
              </w:rPr>
              <w:t>产品用途控制：项目产品用途应以不危害人体健康为原则，并在销售产品的外包装进行标识。</w:t>
            </w:r>
          </w:p>
          <w:p w14:paraId="0AEE2CD0">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eastAsia"/>
                <w:color w:val="auto"/>
                <w:szCs w:val="21"/>
              </w:rPr>
            </w:pPr>
            <w:r>
              <w:rPr>
                <w:rFonts w:hint="eastAsia"/>
                <w:color w:val="auto"/>
                <w:szCs w:val="21"/>
              </w:rPr>
              <w:t>（</w:t>
            </w:r>
            <w:r>
              <w:rPr>
                <w:rFonts w:hint="eastAsia"/>
                <w:color w:val="auto"/>
                <w:szCs w:val="21"/>
                <w:lang w:val="en-US" w:eastAsia="zh-CN"/>
              </w:rPr>
              <w:t>3</w:t>
            </w:r>
            <w:r>
              <w:rPr>
                <w:rFonts w:hint="eastAsia"/>
                <w:color w:val="auto"/>
                <w:szCs w:val="21"/>
              </w:rPr>
              <w:t>）及时开展企业自主环保验收和备案工作。根据《建设项目竣工环境保护验收暂行办法》的规定，建设项目竣工后，建设单位应当如实查验。监测、记载建设项目环境保护设施的建设和调试情况，编制验收监测报告表。</w:t>
            </w:r>
          </w:p>
          <w:p w14:paraId="4DC84AC0">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eastAsia"/>
                <w:color w:val="auto"/>
                <w:szCs w:val="21"/>
              </w:rPr>
            </w:pPr>
            <w:r>
              <w:rPr>
                <w:rFonts w:hint="eastAsia"/>
                <w:color w:val="auto"/>
                <w:szCs w:val="21"/>
              </w:rPr>
              <w:t>（</w:t>
            </w:r>
            <w:r>
              <w:rPr>
                <w:rFonts w:hint="eastAsia"/>
                <w:color w:val="auto"/>
                <w:szCs w:val="21"/>
                <w:lang w:val="en-US" w:eastAsia="zh-CN"/>
              </w:rPr>
              <w:t>4</w:t>
            </w:r>
            <w:r>
              <w:rPr>
                <w:rFonts w:hint="eastAsia"/>
                <w:color w:val="auto"/>
                <w:szCs w:val="21"/>
              </w:rPr>
              <w:t>）制定各环保设施操作规程，定期维修制度，使各项环保设施在生产过程中处于良好的运行状态，如环保设施出现故障，应立即停厂检修，严禁非正常排放。</w:t>
            </w:r>
          </w:p>
          <w:p w14:paraId="3F6E8C56">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eastAsia"/>
                <w:color w:val="auto"/>
                <w:szCs w:val="21"/>
              </w:rPr>
            </w:pPr>
            <w:r>
              <w:rPr>
                <w:rFonts w:hint="eastAsia"/>
                <w:color w:val="auto"/>
                <w:szCs w:val="21"/>
              </w:rPr>
              <w:t>（</w:t>
            </w:r>
            <w:r>
              <w:rPr>
                <w:rFonts w:hint="eastAsia"/>
                <w:color w:val="auto"/>
                <w:szCs w:val="21"/>
                <w:lang w:val="en-US" w:eastAsia="zh-CN"/>
              </w:rPr>
              <w:t>5</w:t>
            </w:r>
            <w:r>
              <w:rPr>
                <w:rFonts w:hint="eastAsia"/>
                <w:color w:val="auto"/>
                <w:szCs w:val="21"/>
              </w:rPr>
              <w:t>）加强环境监测工作，重点是各污染源的监测，并注意做好记录，不弄虚作假。监测中如发现异常情况应及时向有关部门通报，及时采取应急措施，防止事故排放。</w:t>
            </w:r>
          </w:p>
          <w:p w14:paraId="613758E7">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eastAsia"/>
                <w:color w:val="auto"/>
                <w:szCs w:val="21"/>
              </w:rPr>
            </w:pPr>
            <w:r>
              <w:rPr>
                <w:rFonts w:hint="eastAsia"/>
                <w:color w:val="auto"/>
                <w:szCs w:val="21"/>
              </w:rPr>
              <w:t>（</w:t>
            </w:r>
            <w:r>
              <w:rPr>
                <w:rFonts w:hint="eastAsia"/>
                <w:color w:val="auto"/>
                <w:szCs w:val="21"/>
                <w:lang w:val="en-US" w:eastAsia="zh-CN"/>
              </w:rPr>
              <w:t>6</w:t>
            </w:r>
            <w:r>
              <w:rPr>
                <w:rFonts w:hint="eastAsia"/>
                <w:color w:val="auto"/>
                <w:szCs w:val="21"/>
              </w:rPr>
              <w:t>）建立本公司的环境保护档案。档案包括∶</w:t>
            </w:r>
          </w:p>
          <w:p w14:paraId="5AF54E13">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eastAsia"/>
                <w:color w:val="auto"/>
                <w:szCs w:val="21"/>
              </w:rPr>
            </w:pPr>
            <w:r>
              <w:rPr>
                <w:rFonts w:hint="eastAsia"/>
                <w:color w:val="auto"/>
                <w:szCs w:val="21"/>
              </w:rPr>
              <w:t>①污染物排放情况，污染物治理设施的运行、操作和管理情况；</w:t>
            </w:r>
          </w:p>
          <w:p w14:paraId="3EACC908">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eastAsia"/>
                <w:color w:val="auto"/>
                <w:szCs w:val="21"/>
              </w:rPr>
            </w:pPr>
            <w:r>
              <w:rPr>
                <w:rFonts w:hint="eastAsia"/>
                <w:color w:val="auto"/>
                <w:szCs w:val="21"/>
              </w:rPr>
              <w:t>②限期治理执行情况；</w:t>
            </w:r>
          </w:p>
          <w:p w14:paraId="6EBB1FDD">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eastAsia"/>
                <w:color w:val="auto"/>
                <w:szCs w:val="21"/>
              </w:rPr>
            </w:pPr>
            <w:r>
              <w:rPr>
                <w:rFonts w:hint="eastAsia"/>
                <w:color w:val="auto"/>
                <w:szCs w:val="21"/>
              </w:rPr>
              <w:t>③事故情况及有关记录；</w:t>
            </w:r>
          </w:p>
          <w:p w14:paraId="55BDF0D3">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eastAsia"/>
                <w:color w:val="auto"/>
                <w:szCs w:val="21"/>
              </w:rPr>
            </w:pPr>
            <w:r>
              <w:rPr>
                <w:rFonts w:hint="eastAsia"/>
                <w:color w:val="auto"/>
                <w:szCs w:val="21"/>
              </w:rPr>
              <w:t>④采用的监测分析方法和监测记录；</w:t>
            </w:r>
          </w:p>
          <w:p w14:paraId="29E40C08">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eastAsia"/>
                <w:color w:val="auto"/>
                <w:szCs w:val="21"/>
              </w:rPr>
            </w:pPr>
            <w:r>
              <w:rPr>
                <w:rFonts w:hint="eastAsia"/>
                <w:color w:val="auto"/>
                <w:szCs w:val="21"/>
              </w:rPr>
              <w:t>⑤与污染有关的生产工艺、原材料使用方面的资料；</w:t>
            </w:r>
          </w:p>
          <w:p w14:paraId="6DB28405">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jc w:val="left"/>
              <w:textAlignment w:val="auto"/>
              <w:rPr>
                <w:rFonts w:hint="default" w:ascii="Times New Roman" w:hAnsi="Times New Roman" w:eastAsia="宋体" w:cs="Times New Roman"/>
                <w:color w:val="auto"/>
                <w:spacing w:val="0"/>
                <w:sz w:val="21"/>
                <w:szCs w:val="21"/>
                <w:lang w:val="en-US" w:eastAsia="zh-CN"/>
              </w:rPr>
            </w:pPr>
            <w:r>
              <w:rPr>
                <w:rFonts w:hint="eastAsia"/>
                <w:color w:val="auto"/>
                <w:szCs w:val="21"/>
              </w:rPr>
              <w:t>⑥其他与污染防治有关的情况和资料等。</w:t>
            </w:r>
          </w:p>
          <w:p w14:paraId="628C3CF6">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spacing w:val="0"/>
                <w:szCs w:val="21"/>
                <w:lang w:val="en-US" w:eastAsia="zh-CN"/>
              </w:rPr>
            </w:pPr>
          </w:p>
        </w:tc>
      </w:tr>
    </w:tbl>
    <w:p w14:paraId="7C36180A">
      <w:pPr>
        <w:pStyle w:val="22"/>
        <w:jc w:val="center"/>
        <w:outlineLvl w:val="9"/>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5A84BF8">
      <w:pPr>
        <w:pStyle w:val="22"/>
        <w:keepNext w:val="0"/>
        <w:keepLines w:val="0"/>
        <w:pageBreakBefore w:val="0"/>
        <w:widowControl/>
        <w:kinsoku/>
        <w:wordWrap/>
        <w:overflowPunct/>
        <w:topLinePunct w:val="0"/>
        <w:autoSpaceDE/>
        <w:autoSpaceDN/>
        <w:bidi w:val="0"/>
        <w:adjustRightInd/>
        <w:snapToGrid/>
        <w:jc w:val="center"/>
        <w:textAlignment w:val="auto"/>
        <w:outlineLvl w:val="0"/>
        <w:rPr>
          <w:rFonts w:hint="default" w:ascii="Times New Roman" w:hAnsi="Times New Roman" w:eastAsia="黑体" w:cs="Times New Roman"/>
          <w:snapToGrid w:val="0"/>
          <w:color w:val="auto"/>
          <w:sz w:val="30"/>
          <w:szCs w:val="30"/>
          <w:lang w:eastAsia="zh-CN"/>
        </w:rPr>
      </w:pPr>
      <w:bookmarkStart w:id="30" w:name="_Toc12637"/>
      <w:r>
        <w:rPr>
          <w:rFonts w:hint="default" w:ascii="Times New Roman" w:hAnsi="Times New Roman" w:eastAsia="黑体" w:cs="Times New Roman"/>
          <w:snapToGrid w:val="0"/>
          <w:color w:val="auto"/>
          <w:sz w:val="30"/>
          <w:szCs w:val="30"/>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610860" cy="7931785"/>
            <wp:effectExtent l="0" t="0" r="8890" b="12065"/>
            <wp:wrapNone/>
            <wp:docPr id="36" name="图片 36"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can"/>
                    <pic:cNvPicPr>
                      <a:picLocks noChangeAspect="1"/>
                    </pic:cNvPicPr>
                  </pic:nvPicPr>
                  <pic:blipFill>
                    <a:blip r:embed="rId32"/>
                    <a:stretch>
                      <a:fillRect/>
                    </a:stretch>
                  </pic:blipFill>
                  <pic:spPr>
                    <a:xfrm>
                      <a:off x="0" y="0"/>
                      <a:ext cx="5610860" cy="7931785"/>
                    </a:xfrm>
                    <a:prstGeom prst="rect">
                      <a:avLst/>
                    </a:prstGeom>
                  </pic:spPr>
                </pic:pic>
              </a:graphicData>
            </a:graphic>
          </wp:anchor>
        </w:drawing>
      </w:r>
      <w:r>
        <w:rPr>
          <w:rFonts w:hint="default" w:ascii="Times New Roman" w:hAnsi="Times New Roman" w:eastAsia="黑体" w:cs="Times New Roman"/>
          <w:snapToGrid w:val="0"/>
          <w:color w:val="auto"/>
          <w:sz w:val="30"/>
          <w:szCs w:val="30"/>
        </w:rPr>
        <w:t>六、结论</w:t>
      </w:r>
      <w:bookmarkEnd w:id="3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E733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4B4F1091">
            <w:pPr>
              <w:pStyle w:val="3"/>
              <w:numPr>
                <w:ilvl w:val="1"/>
                <w:numId w:val="0"/>
              </w:numPr>
              <w:bidi w:val="0"/>
              <w:ind w:leftChars="0"/>
              <w:rPr>
                <w:rFonts w:hint="default" w:ascii="Times New Roman" w:hAnsi="Times New Roman" w:cs="Times New Roman"/>
                <w:color w:val="auto"/>
              </w:rPr>
            </w:pPr>
            <w:bookmarkStart w:id="31" w:name="_Toc27815"/>
            <w:r>
              <w:rPr>
                <w:rFonts w:hint="default" w:ascii="Times New Roman" w:hAnsi="Times New Roman" w:cs="Times New Roman"/>
                <w:color w:val="auto"/>
              </w:rPr>
              <w:t>6.1 总结论</w:t>
            </w:r>
            <w:bookmarkEnd w:id="31"/>
          </w:p>
          <w:p w14:paraId="4E537774">
            <w:pPr>
              <w:pStyle w:val="125"/>
              <w:bidi w:val="0"/>
              <w:rPr>
                <w:rFonts w:hint="default" w:ascii="Times New Roman" w:hAnsi="Times New Roman" w:cs="Times New Roman"/>
                <w:color w:val="auto"/>
              </w:rPr>
            </w:pPr>
            <w:r>
              <w:rPr>
                <w:rFonts w:hint="eastAsia" w:ascii="Times New Roman" w:hAnsi="Times New Roman" w:cs="Times New Roman"/>
                <w:color w:val="auto"/>
                <w:lang w:eastAsia="zh-CN"/>
              </w:rPr>
              <w:t>福州市福清亿树资源再生有限公司年回收加工输液瓶（袋）10400吨、年回收加工破碎生活塑料4000吨项目</w:t>
            </w:r>
            <w:r>
              <w:rPr>
                <w:rFonts w:hint="default" w:ascii="Times New Roman" w:hAnsi="Times New Roman" w:cs="Times New Roman"/>
                <w:color w:val="auto"/>
              </w:rPr>
              <w:t>位于</w:t>
            </w:r>
            <w:r>
              <w:rPr>
                <w:rFonts w:hint="eastAsia" w:ascii="Times New Roman" w:hAnsi="Times New Roman" w:cs="Times New Roman"/>
                <w:color w:val="auto"/>
                <w:lang w:eastAsia="zh-CN"/>
              </w:rPr>
              <w:t>福建省福州市福清市江镜镇闽台（福州）蓝色经济产业园（租赁福州锦佳商贸有限公司B37栋厂房（二期））</w:t>
            </w:r>
            <w:r>
              <w:rPr>
                <w:rFonts w:hint="default" w:ascii="Times New Roman" w:hAnsi="Times New Roman" w:cs="Times New Roman"/>
                <w:color w:val="auto"/>
              </w:rPr>
              <w:t>，项目建成后</w:t>
            </w:r>
            <w:r>
              <w:rPr>
                <w:rFonts w:hint="eastAsia" w:ascii="Times New Roman" w:hAnsi="Times New Roman" w:cs="Times New Roman"/>
                <w:color w:val="auto"/>
                <w:lang w:eastAsia="zh-CN"/>
              </w:rPr>
              <w:t>年回收加工输液瓶（袋）10400吨、年回收加工破碎生活塑料4000吨</w:t>
            </w:r>
            <w:r>
              <w:rPr>
                <w:rFonts w:hint="default" w:ascii="Times New Roman" w:hAnsi="Times New Roman" w:cs="Times New Roman"/>
                <w:color w:val="auto"/>
              </w:rPr>
              <w:t>，建设符合国家相关产业政策，符合</w:t>
            </w:r>
            <w:r>
              <w:rPr>
                <w:rFonts w:hint="default" w:ascii="Times New Roman" w:hAnsi="Times New Roman" w:cs="Times New Roman"/>
                <w:color w:val="auto"/>
                <w:lang w:val="en-US" w:eastAsia="zh-CN"/>
              </w:rPr>
              <w:t>《闽台(福州)蓝色经济产业园总体规划修编(2017-2035)》</w:t>
            </w:r>
            <w:r>
              <w:rPr>
                <w:rFonts w:hint="default" w:ascii="Times New Roman" w:hAnsi="Times New Roman" w:cs="Times New Roman"/>
                <w:color w:val="auto"/>
              </w:rPr>
              <w:t>、《闽台（福州）蓝色经济产业园总体规划修编（2017</w:t>
            </w:r>
            <w:r>
              <w:rPr>
                <w:rFonts w:hint="default" w:ascii="Times New Roman" w:hAnsi="Times New Roman" w:cs="Times New Roman"/>
                <w:color w:val="auto"/>
                <w:lang w:eastAsia="zh-CN"/>
              </w:rPr>
              <w:t>—</w:t>
            </w:r>
            <w:r>
              <w:rPr>
                <w:rFonts w:hint="default" w:ascii="Times New Roman" w:hAnsi="Times New Roman" w:cs="Times New Roman"/>
                <w:color w:val="auto"/>
              </w:rPr>
              <w:t>2035年）环境影响报告书》中的产业准入要求，其选址合理，总平面布置基本合理，并符合生态环境分区管控要求。通过对本项目的环境影响分析评价，项目运营过程中废水、废气、噪声、固废等污染物，对周围大气环境、水环境、声环境等造成一定不利影响，经采取综合性、积极有效的防治措施并确保污染物达标排放后，可避免或减少这些不利影响，影响均在环境可接受的范围内。</w:t>
            </w:r>
          </w:p>
          <w:p w14:paraId="26EE4AC3">
            <w:pPr>
              <w:pStyle w:val="125"/>
              <w:bidi w:val="0"/>
              <w:rPr>
                <w:rFonts w:hint="default" w:ascii="Times New Roman" w:hAnsi="Times New Roman" w:cs="Times New Roman"/>
                <w:color w:val="auto"/>
              </w:rPr>
            </w:pPr>
            <w:r>
              <w:rPr>
                <w:rFonts w:hint="default" w:ascii="Times New Roman" w:hAnsi="Times New Roman" w:cs="Times New Roman"/>
                <w:color w:val="auto"/>
              </w:rPr>
              <w:t>综上所述，在认真执行建设项目环境保护“三同时”制度，切实落实各项规划方案的要求，完成本次环境影响评价提出的各项污染防治措施，严格落实各项生态环境保护和污染防治措施和环境管理机构的要求的前提下，确保各污染物达标排放，对周围的环境影响较小。明确在各项生态环境保护和污染防治措施后，从环境保护角度分析，项目建设是可行的。</w:t>
            </w:r>
          </w:p>
          <w:p w14:paraId="614AF4E1">
            <w:pPr>
              <w:pStyle w:val="125"/>
              <w:bidi w:val="0"/>
              <w:rPr>
                <w:rFonts w:hint="default" w:ascii="Times New Roman" w:hAnsi="Times New Roman" w:cs="Times New Roman"/>
                <w:color w:val="auto"/>
              </w:rPr>
            </w:pPr>
          </w:p>
          <w:p w14:paraId="5B2210D6">
            <w:pPr>
              <w:pStyle w:val="125"/>
              <w:bidi w:val="0"/>
              <w:rPr>
                <w:rFonts w:hint="default" w:ascii="Times New Roman" w:hAnsi="Times New Roman" w:cs="Times New Roman"/>
                <w:color w:val="auto"/>
              </w:rPr>
            </w:pPr>
          </w:p>
          <w:p w14:paraId="53C6CDC9">
            <w:pPr>
              <w:pStyle w:val="125"/>
              <w:bidi w:val="0"/>
              <w:rPr>
                <w:rFonts w:hint="default" w:ascii="Times New Roman" w:hAnsi="Times New Roman" w:cs="Times New Roman"/>
                <w:color w:val="auto"/>
              </w:rPr>
            </w:pPr>
          </w:p>
          <w:p w14:paraId="5975F2F2">
            <w:pPr>
              <w:keepNext w:val="0"/>
              <w:keepLines w:val="0"/>
              <w:pageBreakBefore w:val="0"/>
              <w:widowControl w:val="0"/>
              <w:kinsoku/>
              <w:wordWrap/>
              <w:overflowPunct/>
              <w:topLinePunct w:val="0"/>
              <w:autoSpaceDE/>
              <w:autoSpaceDN/>
              <w:bidi w:val="0"/>
              <w:adjustRightInd/>
              <w:snapToGrid/>
              <w:spacing w:line="360" w:lineRule="auto"/>
              <w:ind w:right="840" w:rightChars="400"/>
              <w:jc w:val="righ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编制单位：福建中森亚环保科技有限公司</w:t>
            </w:r>
          </w:p>
          <w:p w14:paraId="28C1392D">
            <w:pPr>
              <w:keepNext w:val="0"/>
              <w:keepLines w:val="0"/>
              <w:pageBreakBefore w:val="0"/>
              <w:widowControl w:val="0"/>
              <w:kinsoku/>
              <w:wordWrap/>
              <w:overflowPunct/>
              <w:topLinePunct w:val="0"/>
              <w:autoSpaceDE/>
              <w:autoSpaceDN/>
              <w:bidi w:val="0"/>
              <w:adjustRightInd/>
              <w:snapToGrid/>
              <w:spacing w:line="360" w:lineRule="auto"/>
              <w:ind w:right="840" w:rightChars="400"/>
              <w:jc w:val="righ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编制时间：202</w:t>
            </w: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年</w:t>
            </w:r>
            <w:r>
              <w:rPr>
                <w:rFonts w:hint="default" w:ascii="Times New Roman" w:hAnsi="Times New Roman" w:cs="Times New Roman"/>
                <w:b/>
                <w:bCs/>
                <w:color w:val="auto"/>
                <w:sz w:val="24"/>
                <w:szCs w:val="24"/>
                <w:lang w:val="en-US" w:eastAsia="zh-CN"/>
              </w:rPr>
              <w:t>11</w:t>
            </w:r>
            <w:r>
              <w:rPr>
                <w:rFonts w:hint="default" w:ascii="Times New Roman" w:hAnsi="Times New Roman" w:cs="Times New Roman"/>
                <w:b/>
                <w:bCs/>
                <w:color w:val="auto"/>
                <w:sz w:val="24"/>
                <w:szCs w:val="24"/>
              </w:rPr>
              <w:t>月</w:t>
            </w:r>
          </w:p>
          <w:p w14:paraId="51818B38">
            <w:pPr>
              <w:spacing w:line="360" w:lineRule="auto"/>
              <w:rPr>
                <w:rFonts w:hint="default" w:ascii="Times New Roman" w:hAnsi="Times New Roman" w:cs="Times New Roman"/>
                <w:color w:val="auto"/>
                <w:sz w:val="24"/>
              </w:rPr>
            </w:pPr>
          </w:p>
          <w:p w14:paraId="4F3D97A2">
            <w:pPr>
              <w:pStyle w:val="12"/>
              <w:rPr>
                <w:rFonts w:hint="default" w:ascii="Times New Roman" w:hAnsi="Times New Roman" w:cs="Times New Roman"/>
                <w:color w:val="auto"/>
                <w:sz w:val="24"/>
              </w:rPr>
            </w:pPr>
          </w:p>
          <w:p w14:paraId="79F43253">
            <w:pPr>
              <w:rPr>
                <w:rFonts w:hint="default" w:ascii="Times New Roman" w:hAnsi="Times New Roman" w:cs="Times New Roman"/>
                <w:color w:val="auto"/>
                <w:sz w:val="24"/>
              </w:rPr>
            </w:pPr>
          </w:p>
          <w:p w14:paraId="3CFB9018">
            <w:pPr>
              <w:pStyle w:val="12"/>
              <w:rPr>
                <w:rFonts w:hint="default" w:ascii="Times New Roman" w:hAnsi="Times New Roman" w:cs="Times New Roman"/>
                <w:color w:val="auto"/>
                <w:sz w:val="24"/>
              </w:rPr>
            </w:pPr>
          </w:p>
          <w:p w14:paraId="5F62A63C">
            <w:pPr>
              <w:pStyle w:val="11"/>
              <w:rPr>
                <w:rFonts w:hint="default" w:ascii="Times New Roman" w:hAnsi="Times New Roman" w:cs="Times New Roman"/>
                <w:color w:val="auto"/>
                <w:sz w:val="24"/>
              </w:rPr>
            </w:pPr>
          </w:p>
          <w:p w14:paraId="322F2C66">
            <w:pPr>
              <w:rPr>
                <w:rFonts w:hint="default" w:ascii="Times New Roman" w:hAnsi="Times New Roman" w:cs="Times New Roman"/>
                <w:color w:val="auto"/>
              </w:rPr>
            </w:pPr>
          </w:p>
        </w:tc>
      </w:tr>
    </w:tbl>
    <w:p w14:paraId="6764A4BB">
      <w:pPr>
        <w:rPr>
          <w:rFonts w:hint="default" w:ascii="Times New Roman" w:hAnsi="Times New Roman" w:eastAsia="宋体" w:cs="Times New Roman"/>
          <w:color w:val="auto"/>
        </w:rPr>
        <w:sectPr>
          <w:footerReference r:id="rId11"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86C68A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1"/>
        <w:rPr>
          <w:rFonts w:hint="default" w:ascii="Times New Roman" w:hAnsi="Times New Roman" w:eastAsia="宋体" w:cs="Times New Roman"/>
          <w:snapToGrid w:val="0"/>
          <w:color w:val="auto"/>
          <w:sz w:val="32"/>
          <w:szCs w:val="32"/>
        </w:rPr>
      </w:pPr>
      <w:r>
        <w:rPr>
          <w:rFonts w:hint="default" w:ascii="Times New Roman" w:hAnsi="Times New Roman" w:eastAsia="黑体" w:cs="Times New Roman"/>
          <w:b w:val="0"/>
          <w:bCs w:val="0"/>
          <w:snapToGrid w:val="0"/>
          <w:color w:val="auto"/>
          <w:sz w:val="32"/>
          <w:szCs w:val="32"/>
        </w:rPr>
        <w:t>附表</w:t>
      </w:r>
    </w:p>
    <w:p w14:paraId="17BAA816">
      <w:pPr>
        <w:pStyle w:val="22"/>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240" w:lineRule="auto"/>
        <w:jc w:val="center"/>
        <w:textAlignment w:val="auto"/>
        <w:outlineLvl w:val="9"/>
        <w:rPr>
          <w:rFonts w:hint="default" w:ascii="Times New Roman" w:hAnsi="Times New Roman" w:eastAsia="黑体" w:cs="Times New Roman"/>
          <w:snapToGrid w:val="0"/>
          <w:color w:val="auto"/>
          <w:sz w:val="32"/>
          <w:szCs w:val="32"/>
          <w:highlight w:val="none"/>
          <w:lang w:val="en-US" w:eastAsia="zh-CN"/>
        </w:rPr>
      </w:pPr>
      <w:bookmarkStart w:id="32" w:name="_Toc9891"/>
      <w:r>
        <w:rPr>
          <w:rFonts w:hint="default" w:ascii="Times New Roman" w:hAnsi="Times New Roman" w:eastAsia="黑体" w:cs="Times New Roman"/>
          <w:snapToGrid w:val="0"/>
          <w:color w:val="auto"/>
          <w:sz w:val="32"/>
          <w:szCs w:val="32"/>
          <w:highlight w:val="none"/>
        </w:rPr>
        <w:t>建设项目污染物排放量汇总表</w:t>
      </w:r>
      <w:r>
        <w:rPr>
          <w:rFonts w:hint="default" w:ascii="Times New Roman" w:hAnsi="Times New Roman" w:eastAsia="黑体" w:cs="Times New Roman"/>
          <w:snapToGrid w:val="0"/>
          <w:color w:val="auto"/>
          <w:sz w:val="32"/>
          <w:szCs w:val="32"/>
          <w:highlight w:val="none"/>
          <w:lang w:val="en-US" w:eastAsia="zh-CN"/>
        </w:rPr>
        <w:t xml:space="preserve">  单位：t/a</w:t>
      </w:r>
      <w:bookmarkEnd w:id="32"/>
    </w:p>
    <w:tbl>
      <w:tblPr>
        <w:tblStyle w:val="27"/>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497"/>
        <w:gridCol w:w="1652"/>
        <w:gridCol w:w="1226"/>
        <w:gridCol w:w="1652"/>
        <w:gridCol w:w="1522"/>
        <w:gridCol w:w="1704"/>
        <w:gridCol w:w="1918"/>
        <w:gridCol w:w="1251"/>
      </w:tblGrid>
      <w:tr w14:paraId="55EA4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07" w:type="pct"/>
            <w:tcBorders>
              <w:tl2br w:val="single" w:color="auto" w:sz="4" w:space="0"/>
            </w:tcBorders>
            <w:noWrap w:val="0"/>
            <w:tcMar>
              <w:left w:w="28" w:type="dxa"/>
              <w:right w:w="28" w:type="dxa"/>
            </w:tcMar>
            <w:vAlign w:val="center"/>
          </w:tcPr>
          <w:p w14:paraId="51901CBB">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GB"/>
              </w:rPr>
              <w:t>项目</w:t>
            </w:r>
          </w:p>
          <w:p w14:paraId="1C1FDA3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jc w:val="both"/>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分类</w:t>
            </w:r>
          </w:p>
        </w:tc>
        <w:tc>
          <w:tcPr>
            <w:tcW w:w="541" w:type="pct"/>
            <w:noWrap w:val="0"/>
            <w:tcMar>
              <w:left w:w="28" w:type="dxa"/>
              <w:right w:w="28" w:type="dxa"/>
            </w:tcMar>
            <w:vAlign w:val="center"/>
          </w:tcPr>
          <w:p w14:paraId="0ED745B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污染物名称</w:t>
            </w:r>
          </w:p>
        </w:tc>
        <w:tc>
          <w:tcPr>
            <w:tcW w:w="597" w:type="pct"/>
            <w:noWrap w:val="0"/>
            <w:tcMar>
              <w:left w:w="28" w:type="dxa"/>
              <w:right w:w="28" w:type="dxa"/>
            </w:tcMar>
            <w:vAlign w:val="center"/>
          </w:tcPr>
          <w:p w14:paraId="55CD36F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现有工程</w:t>
            </w:r>
          </w:p>
          <w:p w14:paraId="5A64074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排放量（固体废物产生量）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1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①</w:t>
            </w:r>
            <w:r>
              <w:rPr>
                <w:rFonts w:hint="default" w:ascii="Times New Roman" w:hAnsi="Times New Roman" w:eastAsia="宋体" w:cs="Times New Roman"/>
                <w:color w:val="auto"/>
                <w:sz w:val="24"/>
                <w:szCs w:val="24"/>
                <w:highlight w:val="none"/>
                <w:lang w:val="en-GB"/>
              </w:rPr>
              <w:fldChar w:fldCharType="end"/>
            </w:r>
          </w:p>
        </w:tc>
        <w:tc>
          <w:tcPr>
            <w:tcW w:w="443" w:type="pct"/>
            <w:noWrap w:val="0"/>
            <w:tcMar>
              <w:left w:w="28" w:type="dxa"/>
              <w:right w:w="28" w:type="dxa"/>
            </w:tcMar>
            <w:vAlign w:val="center"/>
          </w:tcPr>
          <w:p w14:paraId="6028739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现有工程</w:t>
            </w:r>
          </w:p>
          <w:p w14:paraId="282686D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许可排放量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2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②</w:t>
            </w:r>
            <w:r>
              <w:rPr>
                <w:rFonts w:hint="default" w:ascii="Times New Roman" w:hAnsi="Times New Roman" w:eastAsia="宋体" w:cs="Times New Roman"/>
                <w:color w:val="auto"/>
                <w:sz w:val="24"/>
                <w:szCs w:val="24"/>
                <w:highlight w:val="none"/>
                <w:lang w:val="en-GB"/>
              </w:rPr>
              <w:fldChar w:fldCharType="end"/>
            </w:r>
          </w:p>
        </w:tc>
        <w:tc>
          <w:tcPr>
            <w:tcW w:w="597" w:type="pct"/>
            <w:noWrap w:val="0"/>
            <w:tcMar>
              <w:left w:w="28" w:type="dxa"/>
              <w:right w:w="28" w:type="dxa"/>
            </w:tcMar>
            <w:vAlign w:val="center"/>
          </w:tcPr>
          <w:p w14:paraId="5C933DB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在建工程</w:t>
            </w:r>
          </w:p>
          <w:p w14:paraId="00955CD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排放量（固体废物产生量）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3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③</w:t>
            </w:r>
            <w:r>
              <w:rPr>
                <w:rFonts w:hint="default" w:ascii="Times New Roman" w:hAnsi="Times New Roman" w:eastAsia="宋体" w:cs="Times New Roman"/>
                <w:color w:val="auto"/>
                <w:sz w:val="24"/>
                <w:szCs w:val="24"/>
                <w:highlight w:val="none"/>
                <w:lang w:val="en-GB"/>
              </w:rPr>
              <w:fldChar w:fldCharType="end"/>
            </w:r>
          </w:p>
        </w:tc>
        <w:tc>
          <w:tcPr>
            <w:tcW w:w="550" w:type="pct"/>
            <w:noWrap w:val="0"/>
            <w:tcMar>
              <w:left w:w="28" w:type="dxa"/>
              <w:right w:w="28" w:type="dxa"/>
            </w:tcMar>
            <w:vAlign w:val="center"/>
          </w:tcPr>
          <w:p w14:paraId="24BE572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本项目排放量（固体废物产生量）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4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④</w:t>
            </w:r>
            <w:r>
              <w:rPr>
                <w:rFonts w:hint="default" w:ascii="Times New Roman" w:hAnsi="Times New Roman" w:eastAsia="宋体" w:cs="Times New Roman"/>
                <w:color w:val="auto"/>
                <w:sz w:val="24"/>
                <w:szCs w:val="24"/>
                <w:highlight w:val="none"/>
                <w:lang w:val="en-GB"/>
              </w:rPr>
              <w:fldChar w:fldCharType="end"/>
            </w:r>
          </w:p>
        </w:tc>
        <w:tc>
          <w:tcPr>
            <w:tcW w:w="616" w:type="pct"/>
            <w:noWrap w:val="0"/>
            <w:tcMar>
              <w:left w:w="28" w:type="dxa"/>
              <w:right w:w="28" w:type="dxa"/>
            </w:tcMar>
            <w:vAlign w:val="center"/>
          </w:tcPr>
          <w:p w14:paraId="46C10B9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以新带老削减量（新建项目不填）</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5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⑤</w:t>
            </w:r>
            <w:r>
              <w:rPr>
                <w:rFonts w:hint="default" w:ascii="Times New Roman" w:hAnsi="Times New Roman" w:eastAsia="宋体" w:cs="Times New Roman"/>
                <w:color w:val="auto"/>
                <w:sz w:val="24"/>
                <w:szCs w:val="24"/>
                <w:highlight w:val="none"/>
                <w:lang w:val="en-GB"/>
              </w:rPr>
              <w:fldChar w:fldCharType="end"/>
            </w:r>
          </w:p>
        </w:tc>
        <w:tc>
          <w:tcPr>
            <w:tcW w:w="693" w:type="pct"/>
            <w:noWrap w:val="0"/>
            <w:tcMar>
              <w:left w:w="28" w:type="dxa"/>
              <w:right w:w="28" w:type="dxa"/>
            </w:tcMar>
            <w:vAlign w:val="center"/>
          </w:tcPr>
          <w:p w14:paraId="4DA19C99">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本项目建成后</w:t>
            </w:r>
          </w:p>
          <w:p w14:paraId="307A9D71">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全厂排放量（固体废物产生量）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6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⑥</w:t>
            </w:r>
            <w:r>
              <w:rPr>
                <w:rFonts w:hint="default" w:ascii="Times New Roman" w:hAnsi="Times New Roman" w:eastAsia="宋体" w:cs="Times New Roman"/>
                <w:color w:val="auto"/>
                <w:sz w:val="24"/>
                <w:szCs w:val="24"/>
                <w:highlight w:val="none"/>
                <w:lang w:val="en-GB"/>
              </w:rPr>
              <w:fldChar w:fldCharType="end"/>
            </w:r>
          </w:p>
        </w:tc>
        <w:tc>
          <w:tcPr>
            <w:tcW w:w="452" w:type="pct"/>
            <w:noWrap w:val="0"/>
            <w:tcMar>
              <w:left w:w="28" w:type="dxa"/>
              <w:right w:w="28" w:type="dxa"/>
            </w:tcMar>
            <w:vAlign w:val="center"/>
          </w:tcPr>
          <w:p w14:paraId="5F72401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变化量</w:t>
            </w:r>
          </w:p>
          <w:p w14:paraId="05AE7C59">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7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⑦</w:t>
            </w:r>
            <w:r>
              <w:rPr>
                <w:rFonts w:hint="default" w:ascii="Times New Roman" w:hAnsi="Times New Roman" w:eastAsia="宋体" w:cs="Times New Roman"/>
                <w:color w:val="auto"/>
                <w:sz w:val="24"/>
                <w:szCs w:val="24"/>
                <w:highlight w:val="none"/>
                <w:lang w:val="en-GB"/>
              </w:rPr>
              <w:fldChar w:fldCharType="end"/>
            </w:r>
          </w:p>
        </w:tc>
      </w:tr>
      <w:tr w14:paraId="6EFBC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restart"/>
            <w:noWrap w:val="0"/>
            <w:vAlign w:val="center"/>
          </w:tcPr>
          <w:p w14:paraId="3E3AA2D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废水</w:t>
            </w:r>
          </w:p>
        </w:tc>
        <w:tc>
          <w:tcPr>
            <w:tcW w:w="541" w:type="pct"/>
            <w:noWrap w:val="0"/>
            <w:vAlign w:val="center"/>
          </w:tcPr>
          <w:p w14:paraId="18BA047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COD</w:t>
            </w:r>
          </w:p>
        </w:tc>
        <w:tc>
          <w:tcPr>
            <w:tcW w:w="597" w:type="pct"/>
            <w:noWrap w:val="0"/>
            <w:vAlign w:val="center"/>
          </w:tcPr>
          <w:p w14:paraId="7274588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443" w:type="pct"/>
            <w:noWrap w:val="0"/>
            <w:vAlign w:val="center"/>
          </w:tcPr>
          <w:p w14:paraId="4560EBB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97" w:type="pct"/>
            <w:noWrap w:val="0"/>
            <w:vAlign w:val="center"/>
          </w:tcPr>
          <w:p w14:paraId="25B17281">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550" w:type="pct"/>
            <w:shd w:val="clear" w:color="auto" w:fill="auto"/>
            <w:noWrap w:val="0"/>
            <w:vAlign w:val="center"/>
          </w:tcPr>
          <w:p w14:paraId="43F74975">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085</w:t>
            </w:r>
          </w:p>
        </w:tc>
        <w:tc>
          <w:tcPr>
            <w:tcW w:w="616" w:type="pct"/>
            <w:noWrap w:val="0"/>
            <w:vAlign w:val="center"/>
          </w:tcPr>
          <w:p w14:paraId="46AF5EDA">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1918" w:type="dxa"/>
            <w:noWrap w:val="0"/>
            <w:vAlign w:val="center"/>
          </w:tcPr>
          <w:p w14:paraId="75207C8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085</w:t>
            </w:r>
          </w:p>
        </w:tc>
        <w:tc>
          <w:tcPr>
            <w:tcW w:w="1251" w:type="dxa"/>
            <w:noWrap w:val="0"/>
            <w:vAlign w:val="center"/>
          </w:tcPr>
          <w:p w14:paraId="02702575">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085</w:t>
            </w:r>
          </w:p>
        </w:tc>
      </w:tr>
      <w:tr w14:paraId="21385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4BBE3CB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69B5954A">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p>
        </w:tc>
        <w:tc>
          <w:tcPr>
            <w:tcW w:w="597" w:type="pct"/>
            <w:noWrap w:val="0"/>
            <w:vAlign w:val="center"/>
          </w:tcPr>
          <w:p w14:paraId="341FF89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443" w:type="pct"/>
            <w:noWrap w:val="0"/>
            <w:vAlign w:val="center"/>
          </w:tcPr>
          <w:p w14:paraId="39DAC9D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97" w:type="pct"/>
            <w:noWrap w:val="0"/>
            <w:vAlign w:val="center"/>
          </w:tcPr>
          <w:p w14:paraId="69907F1B">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550" w:type="pct"/>
            <w:shd w:val="clear" w:color="auto" w:fill="auto"/>
            <w:noWrap w:val="0"/>
            <w:vAlign w:val="center"/>
          </w:tcPr>
          <w:p w14:paraId="766991CB">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64</w:t>
            </w:r>
          </w:p>
        </w:tc>
        <w:tc>
          <w:tcPr>
            <w:tcW w:w="616" w:type="pct"/>
            <w:noWrap w:val="0"/>
            <w:vAlign w:val="center"/>
          </w:tcPr>
          <w:p w14:paraId="6F4B30A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1918" w:type="dxa"/>
            <w:noWrap w:val="0"/>
            <w:vAlign w:val="center"/>
          </w:tcPr>
          <w:p w14:paraId="7DF768E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64</w:t>
            </w:r>
          </w:p>
        </w:tc>
        <w:tc>
          <w:tcPr>
            <w:tcW w:w="1251" w:type="dxa"/>
            <w:noWrap w:val="0"/>
            <w:vAlign w:val="center"/>
          </w:tcPr>
          <w:p w14:paraId="27A9C0B1">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64</w:t>
            </w:r>
          </w:p>
        </w:tc>
      </w:tr>
      <w:tr w14:paraId="10838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019E23B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4954A97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SS</w:t>
            </w:r>
          </w:p>
        </w:tc>
        <w:tc>
          <w:tcPr>
            <w:tcW w:w="597" w:type="pct"/>
            <w:noWrap w:val="0"/>
            <w:vAlign w:val="center"/>
          </w:tcPr>
          <w:p w14:paraId="38B8937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443" w:type="pct"/>
            <w:noWrap w:val="0"/>
            <w:vAlign w:val="center"/>
          </w:tcPr>
          <w:p w14:paraId="1EAE92A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97" w:type="pct"/>
            <w:noWrap w:val="0"/>
            <w:vAlign w:val="center"/>
          </w:tcPr>
          <w:p w14:paraId="5049215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550" w:type="pct"/>
            <w:shd w:val="clear" w:color="auto" w:fill="auto"/>
            <w:noWrap w:val="0"/>
            <w:vAlign w:val="center"/>
          </w:tcPr>
          <w:p w14:paraId="1C468E4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r>
              <w:rPr>
                <w:rFonts w:hint="eastAsia" w:cs="Times New Roman"/>
                <w:color w:val="auto"/>
                <w:kern w:val="0"/>
                <w:sz w:val="24"/>
                <w:szCs w:val="24"/>
                <w:highlight w:val="none"/>
                <w:lang w:val="en-US" w:eastAsia="zh-CN" w:bidi="he-IL"/>
              </w:rPr>
              <w:t>0</w:t>
            </w:r>
            <w:r>
              <w:rPr>
                <w:rFonts w:hint="eastAsia" w:cs="Times New Roman"/>
                <w:color w:val="auto"/>
                <w:sz w:val="24"/>
                <w:szCs w:val="24"/>
                <w:highlight w:val="none"/>
                <w:lang w:val="en-US" w:eastAsia="zh-CN"/>
              </w:rPr>
              <w:t>.052</w:t>
            </w:r>
          </w:p>
        </w:tc>
        <w:tc>
          <w:tcPr>
            <w:tcW w:w="616" w:type="pct"/>
            <w:noWrap w:val="0"/>
            <w:vAlign w:val="center"/>
          </w:tcPr>
          <w:p w14:paraId="789F9AA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1918" w:type="dxa"/>
            <w:noWrap w:val="0"/>
            <w:vAlign w:val="center"/>
          </w:tcPr>
          <w:p w14:paraId="0363E24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kern w:val="0"/>
                <w:sz w:val="24"/>
                <w:szCs w:val="24"/>
                <w:highlight w:val="none"/>
                <w:lang w:val="en-US" w:eastAsia="zh-CN" w:bidi="he-IL"/>
              </w:rPr>
              <w:t>0</w:t>
            </w:r>
            <w:r>
              <w:rPr>
                <w:rFonts w:hint="eastAsia" w:cs="Times New Roman"/>
                <w:color w:val="auto"/>
                <w:sz w:val="24"/>
                <w:szCs w:val="24"/>
                <w:highlight w:val="none"/>
                <w:lang w:val="en-US" w:eastAsia="zh-CN"/>
              </w:rPr>
              <w:t>.052</w:t>
            </w:r>
          </w:p>
        </w:tc>
        <w:tc>
          <w:tcPr>
            <w:tcW w:w="1251" w:type="dxa"/>
            <w:noWrap w:val="0"/>
            <w:vAlign w:val="center"/>
          </w:tcPr>
          <w:p w14:paraId="4D6189E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eastAsia" w:cs="Times New Roman"/>
                <w:color w:val="auto"/>
                <w:kern w:val="0"/>
                <w:sz w:val="24"/>
                <w:szCs w:val="24"/>
                <w:highlight w:val="none"/>
                <w:lang w:val="en-US" w:eastAsia="zh-CN" w:bidi="he-IL"/>
              </w:rPr>
              <w:t>0</w:t>
            </w:r>
            <w:r>
              <w:rPr>
                <w:rFonts w:hint="eastAsia" w:cs="Times New Roman"/>
                <w:color w:val="auto"/>
                <w:sz w:val="24"/>
                <w:szCs w:val="24"/>
                <w:highlight w:val="none"/>
                <w:lang w:val="en-US" w:eastAsia="zh-CN"/>
              </w:rPr>
              <w:t>.052</w:t>
            </w:r>
          </w:p>
        </w:tc>
      </w:tr>
      <w:tr w14:paraId="2EE28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5763E95A">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3077DAA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-N</w:t>
            </w:r>
          </w:p>
        </w:tc>
        <w:tc>
          <w:tcPr>
            <w:tcW w:w="597" w:type="pct"/>
            <w:noWrap w:val="0"/>
            <w:vAlign w:val="center"/>
          </w:tcPr>
          <w:p w14:paraId="2B71BCB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443" w:type="pct"/>
            <w:noWrap w:val="0"/>
            <w:vAlign w:val="center"/>
          </w:tcPr>
          <w:p w14:paraId="3C2A3121">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97" w:type="pct"/>
            <w:noWrap w:val="0"/>
            <w:vAlign w:val="center"/>
          </w:tcPr>
          <w:p w14:paraId="74177AC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550" w:type="pct"/>
            <w:shd w:val="clear" w:color="auto" w:fill="auto"/>
            <w:noWrap w:val="0"/>
            <w:vAlign w:val="center"/>
          </w:tcPr>
          <w:p w14:paraId="039506E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r>
              <w:rPr>
                <w:rFonts w:hint="eastAsia" w:cs="Times New Roman"/>
                <w:color w:val="auto"/>
                <w:kern w:val="0"/>
                <w:sz w:val="24"/>
                <w:szCs w:val="24"/>
                <w:highlight w:val="none"/>
                <w:lang w:val="en-US" w:eastAsia="zh-CN" w:bidi="he-IL"/>
              </w:rPr>
              <w:t>0.011</w:t>
            </w:r>
          </w:p>
        </w:tc>
        <w:tc>
          <w:tcPr>
            <w:tcW w:w="616" w:type="pct"/>
            <w:noWrap w:val="0"/>
            <w:vAlign w:val="center"/>
          </w:tcPr>
          <w:p w14:paraId="7E66562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1918" w:type="dxa"/>
            <w:noWrap w:val="0"/>
            <w:vAlign w:val="center"/>
          </w:tcPr>
          <w:p w14:paraId="68B75DF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kern w:val="0"/>
                <w:sz w:val="24"/>
                <w:szCs w:val="24"/>
                <w:highlight w:val="none"/>
                <w:lang w:val="en-US" w:eastAsia="zh-CN" w:bidi="he-IL"/>
              </w:rPr>
              <w:t>0.011</w:t>
            </w:r>
          </w:p>
        </w:tc>
        <w:tc>
          <w:tcPr>
            <w:tcW w:w="1251" w:type="dxa"/>
            <w:noWrap w:val="0"/>
            <w:vAlign w:val="center"/>
          </w:tcPr>
          <w:p w14:paraId="5BBE0EED">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eastAsia" w:cs="Times New Roman"/>
                <w:color w:val="auto"/>
                <w:kern w:val="0"/>
                <w:sz w:val="24"/>
                <w:szCs w:val="24"/>
                <w:highlight w:val="none"/>
                <w:lang w:val="en-US" w:eastAsia="zh-CN" w:bidi="he-IL"/>
              </w:rPr>
              <w:t>0.011</w:t>
            </w:r>
          </w:p>
        </w:tc>
      </w:tr>
      <w:tr w14:paraId="40EF8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2A8BBAA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55625F00">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石油类</w:t>
            </w:r>
          </w:p>
        </w:tc>
        <w:tc>
          <w:tcPr>
            <w:tcW w:w="597" w:type="pct"/>
            <w:noWrap w:val="0"/>
            <w:vAlign w:val="center"/>
          </w:tcPr>
          <w:p w14:paraId="241005E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017068E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0EC58FFA">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GB" w:eastAsia="zh-CN" w:bidi="he-IL"/>
              </w:rPr>
            </w:pPr>
          </w:p>
        </w:tc>
        <w:tc>
          <w:tcPr>
            <w:tcW w:w="1522" w:type="dxa"/>
            <w:shd w:val="clear" w:color="auto" w:fill="auto"/>
            <w:noWrap w:val="0"/>
            <w:vAlign w:val="center"/>
          </w:tcPr>
          <w:p w14:paraId="59711618">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cs="Times New Roman"/>
                <w:i w:val="0"/>
                <w:iCs w:val="0"/>
                <w:color w:val="auto"/>
                <w:kern w:val="0"/>
                <w:sz w:val="24"/>
                <w:szCs w:val="24"/>
                <w:u w:val="none"/>
                <w:lang w:val="en-US" w:eastAsia="zh-CN" w:bidi="ar"/>
              </w:rPr>
              <w:t>0.001</w:t>
            </w:r>
          </w:p>
        </w:tc>
        <w:tc>
          <w:tcPr>
            <w:tcW w:w="616" w:type="pct"/>
            <w:noWrap w:val="0"/>
            <w:vAlign w:val="center"/>
          </w:tcPr>
          <w:p w14:paraId="2199948A">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1918" w:type="dxa"/>
            <w:noWrap w:val="0"/>
            <w:vAlign w:val="center"/>
          </w:tcPr>
          <w:p w14:paraId="23327576">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cs="Times New Roman"/>
                <w:i w:val="0"/>
                <w:iCs w:val="0"/>
                <w:color w:val="auto"/>
                <w:kern w:val="0"/>
                <w:sz w:val="24"/>
                <w:szCs w:val="24"/>
                <w:u w:val="none"/>
                <w:lang w:val="en-US" w:eastAsia="zh-CN" w:bidi="ar"/>
              </w:rPr>
              <w:t>0.001</w:t>
            </w:r>
          </w:p>
        </w:tc>
        <w:tc>
          <w:tcPr>
            <w:tcW w:w="1251" w:type="dxa"/>
            <w:noWrap w:val="0"/>
            <w:vAlign w:val="center"/>
          </w:tcPr>
          <w:p w14:paraId="09A0FA9C">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cs="Times New Roman"/>
                <w:color w:val="auto"/>
                <w:sz w:val="24"/>
                <w:szCs w:val="24"/>
                <w:highlight w:val="none"/>
                <w:lang w:val="en-US" w:eastAsia="zh-CN"/>
              </w:rPr>
              <w:t>+</w:t>
            </w:r>
            <w:r>
              <w:rPr>
                <w:rFonts w:hint="eastAsia" w:cs="Times New Roman"/>
                <w:i w:val="0"/>
                <w:iCs w:val="0"/>
                <w:color w:val="auto"/>
                <w:kern w:val="0"/>
                <w:sz w:val="24"/>
                <w:szCs w:val="24"/>
                <w:u w:val="none"/>
                <w:lang w:val="en-US" w:eastAsia="zh-CN" w:bidi="ar"/>
              </w:rPr>
              <w:t>0.001</w:t>
            </w:r>
          </w:p>
        </w:tc>
      </w:tr>
      <w:tr w14:paraId="0651F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324B117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76C56AF5">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TN</w:t>
            </w:r>
          </w:p>
        </w:tc>
        <w:tc>
          <w:tcPr>
            <w:tcW w:w="597" w:type="pct"/>
            <w:noWrap w:val="0"/>
            <w:vAlign w:val="center"/>
          </w:tcPr>
          <w:p w14:paraId="1768D02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15EE305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221191E4">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GB" w:eastAsia="zh-CN" w:bidi="he-IL"/>
              </w:rPr>
            </w:pPr>
          </w:p>
        </w:tc>
        <w:tc>
          <w:tcPr>
            <w:tcW w:w="1522" w:type="dxa"/>
            <w:shd w:val="clear" w:color="auto" w:fill="auto"/>
            <w:noWrap w:val="0"/>
            <w:vAlign w:val="center"/>
          </w:tcPr>
          <w:p w14:paraId="549DA059">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cs="Times New Roman"/>
                <w:i w:val="0"/>
                <w:iCs w:val="0"/>
                <w:color w:val="auto"/>
                <w:kern w:val="0"/>
                <w:sz w:val="24"/>
                <w:szCs w:val="24"/>
                <w:u w:val="none"/>
                <w:lang w:val="en-US" w:eastAsia="zh-CN" w:bidi="ar"/>
              </w:rPr>
              <w:t>0.018</w:t>
            </w:r>
          </w:p>
        </w:tc>
        <w:tc>
          <w:tcPr>
            <w:tcW w:w="616" w:type="pct"/>
            <w:noWrap w:val="0"/>
            <w:vAlign w:val="center"/>
          </w:tcPr>
          <w:p w14:paraId="5C2BC8B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1918" w:type="dxa"/>
            <w:noWrap w:val="0"/>
            <w:vAlign w:val="center"/>
          </w:tcPr>
          <w:p w14:paraId="7C01557E">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cs="Times New Roman"/>
                <w:i w:val="0"/>
                <w:iCs w:val="0"/>
                <w:color w:val="auto"/>
                <w:kern w:val="0"/>
                <w:sz w:val="24"/>
                <w:szCs w:val="24"/>
                <w:u w:val="none"/>
                <w:lang w:val="en-US" w:eastAsia="zh-CN" w:bidi="ar"/>
              </w:rPr>
              <w:t>0.018</w:t>
            </w:r>
          </w:p>
        </w:tc>
        <w:tc>
          <w:tcPr>
            <w:tcW w:w="1251" w:type="dxa"/>
            <w:noWrap w:val="0"/>
            <w:vAlign w:val="center"/>
          </w:tcPr>
          <w:p w14:paraId="6EAED066">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cs="Times New Roman"/>
                <w:color w:val="auto"/>
                <w:sz w:val="24"/>
                <w:szCs w:val="24"/>
                <w:highlight w:val="none"/>
                <w:lang w:val="en-US" w:eastAsia="zh-CN"/>
              </w:rPr>
              <w:t>+</w:t>
            </w:r>
            <w:r>
              <w:rPr>
                <w:rFonts w:hint="eastAsia" w:cs="Times New Roman"/>
                <w:i w:val="0"/>
                <w:iCs w:val="0"/>
                <w:color w:val="auto"/>
                <w:kern w:val="0"/>
                <w:sz w:val="24"/>
                <w:szCs w:val="24"/>
                <w:u w:val="none"/>
                <w:lang w:val="en-US" w:eastAsia="zh-CN" w:bidi="ar"/>
              </w:rPr>
              <w:t>0.018</w:t>
            </w:r>
          </w:p>
        </w:tc>
      </w:tr>
      <w:tr w14:paraId="72F50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1228566D">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1858BBE2">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TP</w:t>
            </w:r>
          </w:p>
        </w:tc>
        <w:tc>
          <w:tcPr>
            <w:tcW w:w="597" w:type="pct"/>
            <w:noWrap w:val="0"/>
            <w:vAlign w:val="center"/>
          </w:tcPr>
          <w:p w14:paraId="6460D97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017DEF6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1B4613F1">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GB" w:eastAsia="zh-CN" w:bidi="he-IL"/>
              </w:rPr>
            </w:pPr>
          </w:p>
        </w:tc>
        <w:tc>
          <w:tcPr>
            <w:tcW w:w="1522" w:type="dxa"/>
            <w:shd w:val="clear" w:color="auto" w:fill="auto"/>
            <w:noWrap w:val="0"/>
            <w:vAlign w:val="center"/>
          </w:tcPr>
          <w:p w14:paraId="266A3473">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cs="Times New Roman"/>
                <w:i w:val="0"/>
                <w:iCs w:val="0"/>
                <w:color w:val="auto"/>
                <w:kern w:val="0"/>
                <w:sz w:val="24"/>
                <w:szCs w:val="24"/>
                <w:u w:val="none"/>
                <w:lang w:val="en-US" w:eastAsia="zh-CN" w:bidi="ar"/>
              </w:rPr>
              <w:t>0.0006</w:t>
            </w:r>
          </w:p>
        </w:tc>
        <w:tc>
          <w:tcPr>
            <w:tcW w:w="616" w:type="pct"/>
            <w:noWrap w:val="0"/>
            <w:vAlign w:val="center"/>
          </w:tcPr>
          <w:p w14:paraId="2D3E516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1918" w:type="dxa"/>
            <w:noWrap w:val="0"/>
            <w:vAlign w:val="center"/>
          </w:tcPr>
          <w:p w14:paraId="61487D9F">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cs="Times New Roman"/>
                <w:i w:val="0"/>
                <w:iCs w:val="0"/>
                <w:color w:val="auto"/>
                <w:kern w:val="0"/>
                <w:sz w:val="24"/>
                <w:szCs w:val="24"/>
                <w:u w:val="none"/>
                <w:lang w:val="en-US" w:eastAsia="zh-CN" w:bidi="ar"/>
              </w:rPr>
              <w:t>0.0006</w:t>
            </w:r>
          </w:p>
        </w:tc>
        <w:tc>
          <w:tcPr>
            <w:tcW w:w="1251" w:type="dxa"/>
            <w:noWrap w:val="0"/>
            <w:vAlign w:val="center"/>
          </w:tcPr>
          <w:p w14:paraId="4BBA4CF1">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cs="Times New Roman"/>
                <w:color w:val="auto"/>
                <w:sz w:val="24"/>
                <w:szCs w:val="24"/>
                <w:highlight w:val="none"/>
                <w:lang w:val="en-US" w:eastAsia="zh-CN"/>
              </w:rPr>
              <w:t>+</w:t>
            </w:r>
            <w:r>
              <w:rPr>
                <w:rFonts w:hint="eastAsia" w:cs="Times New Roman"/>
                <w:i w:val="0"/>
                <w:iCs w:val="0"/>
                <w:color w:val="auto"/>
                <w:kern w:val="0"/>
                <w:sz w:val="24"/>
                <w:szCs w:val="24"/>
                <w:u w:val="none"/>
                <w:lang w:val="en-US" w:eastAsia="zh-CN" w:bidi="ar"/>
              </w:rPr>
              <w:t>0.0006</w:t>
            </w:r>
          </w:p>
        </w:tc>
      </w:tr>
      <w:tr w14:paraId="4BD59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restart"/>
            <w:noWrap w:val="0"/>
            <w:vAlign w:val="center"/>
          </w:tcPr>
          <w:p w14:paraId="2145534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一般工业</w:t>
            </w:r>
          </w:p>
          <w:p w14:paraId="69778EC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固体废物</w:t>
            </w:r>
          </w:p>
        </w:tc>
        <w:tc>
          <w:tcPr>
            <w:tcW w:w="541" w:type="pct"/>
            <w:noWrap w:val="0"/>
            <w:vAlign w:val="center"/>
          </w:tcPr>
          <w:p w14:paraId="6F52F701">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废包装材料</w:t>
            </w:r>
          </w:p>
        </w:tc>
        <w:tc>
          <w:tcPr>
            <w:tcW w:w="597" w:type="pct"/>
            <w:noWrap w:val="0"/>
            <w:vAlign w:val="center"/>
          </w:tcPr>
          <w:p w14:paraId="1F1510F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19912F7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493B38D9">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1522" w:type="dxa"/>
            <w:noWrap w:val="0"/>
            <w:vAlign w:val="center"/>
          </w:tcPr>
          <w:p w14:paraId="06E3A61B">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21.6</w:t>
            </w:r>
          </w:p>
        </w:tc>
        <w:tc>
          <w:tcPr>
            <w:tcW w:w="616" w:type="pct"/>
            <w:noWrap w:val="0"/>
            <w:vAlign w:val="center"/>
          </w:tcPr>
          <w:p w14:paraId="743B236B">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1918" w:type="dxa"/>
            <w:noWrap w:val="0"/>
            <w:vAlign w:val="center"/>
          </w:tcPr>
          <w:p w14:paraId="6425C2FB">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21.6</w:t>
            </w:r>
          </w:p>
        </w:tc>
        <w:tc>
          <w:tcPr>
            <w:tcW w:w="1251" w:type="dxa"/>
            <w:noWrap w:val="0"/>
            <w:vAlign w:val="center"/>
          </w:tcPr>
          <w:p w14:paraId="1A9A2C66">
            <w:pPr>
              <w:pStyle w:val="96"/>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21.6</w:t>
            </w:r>
          </w:p>
        </w:tc>
      </w:tr>
      <w:tr w14:paraId="29753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6566A71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7BC64855">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清洗沉渣</w:t>
            </w:r>
          </w:p>
        </w:tc>
        <w:tc>
          <w:tcPr>
            <w:tcW w:w="597" w:type="pct"/>
            <w:noWrap w:val="0"/>
            <w:vAlign w:val="center"/>
          </w:tcPr>
          <w:p w14:paraId="20A15E85">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62E8424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54EFAE0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1522" w:type="dxa"/>
            <w:noWrap w:val="0"/>
            <w:vAlign w:val="center"/>
          </w:tcPr>
          <w:p w14:paraId="412E0466">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87.52</w:t>
            </w:r>
          </w:p>
        </w:tc>
        <w:tc>
          <w:tcPr>
            <w:tcW w:w="616" w:type="pct"/>
            <w:noWrap w:val="0"/>
            <w:vAlign w:val="center"/>
          </w:tcPr>
          <w:p w14:paraId="671151E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918" w:type="dxa"/>
            <w:noWrap w:val="0"/>
            <w:vAlign w:val="center"/>
          </w:tcPr>
          <w:p w14:paraId="02C014F5">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87.52</w:t>
            </w:r>
          </w:p>
        </w:tc>
        <w:tc>
          <w:tcPr>
            <w:tcW w:w="1251" w:type="dxa"/>
            <w:noWrap w:val="0"/>
            <w:vAlign w:val="center"/>
          </w:tcPr>
          <w:p w14:paraId="0A727EFF">
            <w:pPr>
              <w:pStyle w:val="96"/>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87.52</w:t>
            </w:r>
          </w:p>
        </w:tc>
      </w:tr>
      <w:tr w14:paraId="3B68D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13DD1E1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4EEA3FA1">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废纸浆、废纸屑</w:t>
            </w:r>
          </w:p>
        </w:tc>
        <w:tc>
          <w:tcPr>
            <w:tcW w:w="597" w:type="pct"/>
            <w:noWrap w:val="0"/>
            <w:vAlign w:val="center"/>
          </w:tcPr>
          <w:p w14:paraId="0BC34E31">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0F74176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597" w:type="pct"/>
            <w:noWrap w:val="0"/>
            <w:vAlign w:val="center"/>
          </w:tcPr>
          <w:p w14:paraId="610D003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522" w:type="dxa"/>
            <w:noWrap w:val="0"/>
            <w:vAlign w:val="center"/>
          </w:tcPr>
          <w:p w14:paraId="318527D0">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16.8</w:t>
            </w:r>
          </w:p>
        </w:tc>
        <w:tc>
          <w:tcPr>
            <w:tcW w:w="616" w:type="pct"/>
            <w:noWrap w:val="0"/>
            <w:vAlign w:val="center"/>
          </w:tcPr>
          <w:p w14:paraId="4831843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918" w:type="dxa"/>
            <w:noWrap w:val="0"/>
            <w:vAlign w:val="center"/>
          </w:tcPr>
          <w:p w14:paraId="2F0D2F93">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16.8</w:t>
            </w:r>
          </w:p>
        </w:tc>
        <w:tc>
          <w:tcPr>
            <w:tcW w:w="1251" w:type="dxa"/>
            <w:noWrap w:val="0"/>
            <w:vAlign w:val="center"/>
          </w:tcPr>
          <w:p w14:paraId="575A7F84">
            <w:pPr>
              <w:pStyle w:val="96"/>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16.8</w:t>
            </w:r>
          </w:p>
        </w:tc>
      </w:tr>
      <w:tr w14:paraId="6E15D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086AD94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284A4C52">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污泥</w:t>
            </w:r>
          </w:p>
        </w:tc>
        <w:tc>
          <w:tcPr>
            <w:tcW w:w="597" w:type="pct"/>
            <w:noWrap w:val="0"/>
            <w:vAlign w:val="center"/>
          </w:tcPr>
          <w:p w14:paraId="3E5518D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3F05354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597" w:type="pct"/>
            <w:noWrap w:val="0"/>
            <w:vAlign w:val="center"/>
          </w:tcPr>
          <w:p w14:paraId="47EE697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522" w:type="dxa"/>
            <w:noWrap w:val="0"/>
            <w:vAlign w:val="center"/>
          </w:tcPr>
          <w:p w14:paraId="495941FC">
            <w:pPr>
              <w:pStyle w:val="96"/>
              <w:rPr>
                <w:rFonts w:hint="default" w:ascii="Times New Roman" w:hAnsi="Times New Roman" w:eastAsia="宋体" w:cs="Times New Roman"/>
                <w:color w:val="auto"/>
                <w:kern w:val="0"/>
                <w:sz w:val="24"/>
                <w:szCs w:val="24"/>
                <w:highlight w:val="none"/>
                <w:lang w:val="en-US" w:eastAsia="zh-CN" w:bidi="he-IL"/>
              </w:rPr>
            </w:pPr>
            <w:r>
              <w:rPr>
                <w:rFonts w:hint="eastAsia" w:cs="Times New Roman"/>
                <w:color w:val="auto"/>
                <w:kern w:val="0"/>
                <w:sz w:val="24"/>
                <w:szCs w:val="24"/>
                <w:highlight w:val="none"/>
                <w:lang w:val="en-US" w:eastAsia="zh-CN" w:bidi="he-IL"/>
              </w:rPr>
              <w:t>3.25</w:t>
            </w:r>
          </w:p>
        </w:tc>
        <w:tc>
          <w:tcPr>
            <w:tcW w:w="616" w:type="pct"/>
            <w:noWrap w:val="0"/>
            <w:vAlign w:val="center"/>
          </w:tcPr>
          <w:p w14:paraId="009CFB7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918" w:type="dxa"/>
            <w:noWrap w:val="0"/>
            <w:vAlign w:val="center"/>
          </w:tcPr>
          <w:p w14:paraId="78E17EC0">
            <w:pPr>
              <w:pStyle w:val="96"/>
              <w:rPr>
                <w:rFonts w:hint="default" w:ascii="Times New Roman" w:hAnsi="Times New Roman" w:eastAsia="宋体" w:cs="Times New Roman"/>
                <w:color w:val="auto"/>
                <w:kern w:val="0"/>
                <w:sz w:val="24"/>
                <w:szCs w:val="24"/>
                <w:highlight w:val="none"/>
                <w:lang w:val="en-US" w:eastAsia="zh-CN" w:bidi="he-IL"/>
              </w:rPr>
            </w:pPr>
            <w:r>
              <w:rPr>
                <w:rFonts w:hint="eastAsia" w:cs="Times New Roman"/>
                <w:color w:val="auto"/>
                <w:kern w:val="0"/>
                <w:sz w:val="24"/>
                <w:szCs w:val="24"/>
                <w:highlight w:val="none"/>
                <w:lang w:val="en-US" w:eastAsia="zh-CN" w:bidi="he-IL"/>
              </w:rPr>
              <w:t>3.25</w:t>
            </w:r>
          </w:p>
        </w:tc>
        <w:tc>
          <w:tcPr>
            <w:tcW w:w="1251" w:type="dxa"/>
            <w:noWrap w:val="0"/>
            <w:vAlign w:val="center"/>
          </w:tcPr>
          <w:p w14:paraId="0E3B6C25">
            <w:pPr>
              <w:pStyle w:val="96"/>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eastAsia" w:cs="Times New Roman"/>
                <w:color w:val="auto"/>
                <w:kern w:val="0"/>
                <w:sz w:val="24"/>
                <w:szCs w:val="24"/>
                <w:highlight w:val="none"/>
                <w:lang w:val="en-US" w:eastAsia="zh-CN" w:bidi="he-IL"/>
              </w:rPr>
              <w:t>3.25</w:t>
            </w:r>
          </w:p>
        </w:tc>
      </w:tr>
    </w:tbl>
    <w:p w14:paraId="3718F8A7">
      <w:pPr>
        <w:pStyle w:val="58"/>
        <w:spacing w:before="192" w:beforeLines="80" w:after="24"/>
        <w:jc w:val="lef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p w14:paraId="04A47772">
      <w:pPr>
        <w:rPr>
          <w:rFonts w:hint="default" w:ascii="Times New Roman" w:hAnsi="Times New Roman" w:eastAsia="宋体" w:cs="Times New Roman"/>
          <w:color w:val="auto"/>
        </w:rPr>
      </w:pPr>
    </w:p>
    <w:p w14:paraId="67323329">
      <w:pPr>
        <w:rPr>
          <w:rFonts w:hint="default" w:ascii="Times New Roman" w:hAnsi="Times New Roman" w:eastAsia="宋体" w:cs="Times New Roman"/>
          <w:color w:val="auto"/>
        </w:rPr>
        <w:sectPr>
          <w:footerReference r:id="rId12"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2348420">
      <w:pPr>
        <w:keepNext w:val="0"/>
        <w:keepLines w:val="0"/>
        <w:pageBreakBefore w:val="0"/>
        <w:widowControl w:val="0"/>
        <w:tabs>
          <w:tab w:val="left" w:pos="1852"/>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44"/>
          <w:szCs w:val="52"/>
          <w:highlight w:val="none"/>
        </w:rPr>
      </w:pPr>
      <w:bookmarkStart w:id="33" w:name="_Toc18812"/>
      <w:bookmarkStart w:id="34" w:name="_Toc21713"/>
      <w:bookmarkStart w:id="35" w:name="_Toc26590"/>
      <w:r>
        <w:rPr>
          <w:rFonts w:hint="default" w:ascii="Times New Roman" w:hAnsi="Times New Roman" w:cs="Times New Roman"/>
          <w:b/>
          <w:bCs/>
          <w:color w:val="auto"/>
          <w:sz w:val="44"/>
          <w:szCs w:val="52"/>
          <w:highlight w:val="none"/>
        </w:rPr>
        <w:drawing>
          <wp:anchor distT="0" distB="0" distL="114300" distR="114300" simplePos="0" relativeHeight="251670528" behindDoc="0" locked="0" layoutInCell="1" allowOverlap="1">
            <wp:simplePos x="0" y="0"/>
            <wp:positionH relativeFrom="column">
              <wp:posOffset>1270</wp:posOffset>
            </wp:positionH>
            <wp:positionV relativeFrom="paragraph">
              <wp:posOffset>0</wp:posOffset>
            </wp:positionV>
            <wp:extent cx="5613400" cy="8181340"/>
            <wp:effectExtent l="0" t="0" r="0" b="10160"/>
            <wp:wrapNone/>
            <wp:docPr id="21" name="图片 21" descr="打印编号：1763548879000 (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打印编号：1763548879000 (1)_04"/>
                    <pic:cNvPicPr>
                      <a:picLocks noChangeAspect="1"/>
                    </pic:cNvPicPr>
                  </pic:nvPicPr>
                  <pic:blipFill>
                    <a:blip r:embed="rId33"/>
                    <a:stretch>
                      <a:fillRect/>
                    </a:stretch>
                  </pic:blipFill>
                  <pic:spPr>
                    <a:xfrm>
                      <a:off x="0" y="0"/>
                      <a:ext cx="5613400" cy="8181340"/>
                    </a:xfrm>
                    <a:prstGeom prst="rect">
                      <a:avLst/>
                    </a:prstGeom>
                  </pic:spPr>
                </pic:pic>
              </a:graphicData>
            </a:graphic>
          </wp:anchor>
        </w:drawing>
      </w:r>
      <w:r>
        <w:rPr>
          <w:rFonts w:hint="default" w:ascii="Times New Roman" w:hAnsi="Times New Roman" w:cs="Times New Roman"/>
          <w:b/>
          <w:bCs/>
          <w:color w:val="auto"/>
          <w:sz w:val="44"/>
          <w:szCs w:val="52"/>
          <w:highlight w:val="none"/>
        </w:rPr>
        <w:t>申请环评批复</w:t>
      </w:r>
      <w:r>
        <w:rPr>
          <w:rFonts w:hint="default" w:ascii="Times New Roman" w:hAnsi="Times New Roman" w:cs="Times New Roman"/>
          <w:b/>
          <w:bCs/>
          <w:color w:val="auto"/>
          <w:sz w:val="44"/>
          <w:szCs w:val="52"/>
          <w:highlight w:val="none"/>
          <w:lang w:eastAsia="zh-CN"/>
        </w:rPr>
        <w:t>报告</w:t>
      </w:r>
    </w:p>
    <w:p w14:paraId="397EDBCD">
      <w:pPr>
        <w:keepNext w:val="0"/>
        <w:keepLines w:val="0"/>
        <w:pageBreakBefore w:val="0"/>
        <w:widowControl w:val="0"/>
        <w:tabs>
          <w:tab w:val="left" w:pos="1852"/>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8"/>
          <w:szCs w:val="28"/>
          <w:highlight w:val="none"/>
        </w:rPr>
      </w:pPr>
    </w:p>
    <w:p w14:paraId="2EE99EC4">
      <w:pPr>
        <w:keepNext w:val="0"/>
        <w:keepLines w:val="0"/>
        <w:pageBreakBefore w:val="0"/>
        <w:widowControl w:val="0"/>
        <w:tabs>
          <w:tab w:val="left" w:pos="1852"/>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8"/>
          <w:szCs w:val="28"/>
          <w:highlight w:val="none"/>
        </w:rPr>
      </w:pPr>
    </w:p>
    <w:p w14:paraId="253FE01D">
      <w:pPr>
        <w:keepNext w:val="0"/>
        <w:keepLines w:val="0"/>
        <w:pageBreakBefore w:val="0"/>
        <w:widowControl w:val="0"/>
        <w:tabs>
          <w:tab w:val="left" w:pos="1852"/>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福州市福清生态环境局</w:t>
      </w:r>
      <w:r>
        <w:rPr>
          <w:rFonts w:hint="default" w:ascii="Times New Roman" w:hAnsi="Times New Roman" w:eastAsia="宋体" w:cs="Times New Roman"/>
          <w:b w:val="0"/>
          <w:bCs w:val="0"/>
          <w:color w:val="auto"/>
          <w:sz w:val="28"/>
          <w:szCs w:val="28"/>
          <w:highlight w:val="none"/>
          <w:lang w:eastAsia="zh-CN"/>
        </w:rPr>
        <w:t>：</w:t>
      </w:r>
    </w:p>
    <w:p w14:paraId="43576871">
      <w:pPr>
        <w:keepNext w:val="0"/>
        <w:keepLines w:val="0"/>
        <w:pageBreakBefore w:val="0"/>
        <w:widowControl w:val="0"/>
        <w:tabs>
          <w:tab w:val="left" w:pos="1852"/>
        </w:tabs>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宋体" w:cs="Times New Roman"/>
          <w:b w:val="0"/>
          <w:bCs w:val="0"/>
          <w:color w:val="auto"/>
          <w:sz w:val="28"/>
          <w:szCs w:val="28"/>
          <w:highlight w:val="none"/>
          <w:lang w:eastAsia="zh-CN"/>
        </w:rPr>
      </w:pPr>
      <w:r>
        <w:rPr>
          <w:rFonts w:hint="default" w:ascii="Times New Roman" w:hAnsi="Times New Roman" w:eastAsia="宋体" w:cs="Times New Roman"/>
          <w:b w:val="0"/>
          <w:bCs w:val="0"/>
          <w:color w:val="auto"/>
          <w:sz w:val="28"/>
          <w:szCs w:val="28"/>
          <w:highlight w:val="none"/>
        </w:rPr>
        <w:t>我单位</w:t>
      </w:r>
      <w:r>
        <w:rPr>
          <w:rFonts w:hint="default" w:ascii="Times New Roman" w:hAnsi="Times New Roman" w:eastAsia="宋体" w:cs="Times New Roman"/>
          <w:b w:val="0"/>
          <w:bCs w:val="0"/>
          <w:color w:val="auto"/>
          <w:sz w:val="28"/>
          <w:szCs w:val="28"/>
          <w:highlight w:val="none"/>
          <w:lang w:eastAsia="zh-CN"/>
        </w:rPr>
        <w:t>申请的</w:t>
      </w:r>
      <w:r>
        <w:rPr>
          <w:rFonts w:hint="default" w:ascii="Times New Roman" w:hAnsi="Times New Roman" w:cs="Times New Roman"/>
          <w:b w:val="0"/>
          <w:bCs w:val="0"/>
          <w:color w:val="auto"/>
          <w:sz w:val="28"/>
          <w:szCs w:val="28"/>
          <w:highlight w:val="none"/>
          <w:u w:val="single"/>
          <w:lang w:eastAsia="zh-CN"/>
        </w:rPr>
        <w:t>福州市福清亿树资源再生有限公司年回收加工输液瓶（袋）10400吨、年回收加工破碎生活塑料4000吨项目</w:t>
      </w:r>
      <w:r>
        <w:rPr>
          <w:rFonts w:hint="default" w:ascii="Times New Roman" w:hAnsi="Times New Roman" w:eastAsia="宋体" w:cs="Times New Roman"/>
          <w:b w:val="0"/>
          <w:bCs w:val="0"/>
          <w:color w:val="auto"/>
          <w:sz w:val="28"/>
          <w:szCs w:val="28"/>
          <w:highlight w:val="none"/>
          <w:lang w:eastAsia="zh-CN"/>
        </w:rPr>
        <w:t>建设项目环评</w:t>
      </w:r>
      <w:r>
        <w:rPr>
          <w:rFonts w:hint="default" w:ascii="Times New Roman" w:hAnsi="Times New Roman" w:eastAsia="宋体" w:cs="Times New Roman"/>
          <w:b w:val="0"/>
          <w:bCs w:val="0"/>
          <w:color w:val="auto"/>
          <w:sz w:val="28"/>
          <w:szCs w:val="28"/>
          <w:highlight w:val="none"/>
        </w:rPr>
        <w:t>文件审批，本项目选址在</w:t>
      </w:r>
      <w:r>
        <w:rPr>
          <w:rFonts w:hint="default" w:ascii="Times New Roman" w:hAnsi="Times New Roman" w:eastAsia="宋体" w:cs="Times New Roman"/>
          <w:b w:val="0"/>
          <w:bCs w:val="0"/>
          <w:color w:val="auto"/>
          <w:sz w:val="28"/>
          <w:szCs w:val="28"/>
          <w:highlight w:val="none"/>
          <w:u w:val="single"/>
        </w:rPr>
        <w:t>闽台（福州）蓝色经济产业园福建蓝谷海工装备产业综合体</w:t>
      </w:r>
      <w:r>
        <w:rPr>
          <w:rFonts w:hint="default" w:ascii="Times New Roman" w:hAnsi="Times New Roman" w:cs="Times New Roman"/>
          <w:b w:val="0"/>
          <w:bCs w:val="0"/>
          <w:color w:val="auto"/>
          <w:sz w:val="28"/>
          <w:szCs w:val="28"/>
          <w:highlight w:val="none"/>
          <w:u w:val="single"/>
          <w:lang w:eastAsia="zh-CN"/>
        </w:rPr>
        <w:t>B37厂房</w:t>
      </w:r>
      <w:r>
        <w:rPr>
          <w:rFonts w:hint="default" w:ascii="Times New Roman" w:hAnsi="Times New Roman" w:cs="Times New Roman"/>
          <w:b w:val="0"/>
          <w:bCs w:val="0"/>
          <w:color w:val="auto"/>
          <w:sz w:val="28"/>
          <w:szCs w:val="28"/>
          <w:highlight w:val="none"/>
          <w:u w:val="none"/>
          <w:lang w:eastAsia="zh-CN"/>
        </w:rPr>
        <w:t>，</w:t>
      </w:r>
      <w:r>
        <w:rPr>
          <w:rFonts w:hint="default" w:ascii="Times New Roman" w:hAnsi="Times New Roman" w:eastAsia="宋体" w:cs="Times New Roman"/>
          <w:b w:val="0"/>
          <w:bCs w:val="0"/>
          <w:color w:val="auto"/>
          <w:sz w:val="28"/>
          <w:szCs w:val="28"/>
          <w:highlight w:val="none"/>
        </w:rPr>
        <w:t>建设</w:t>
      </w:r>
      <w:r>
        <w:rPr>
          <w:rFonts w:hint="default" w:ascii="Times New Roman" w:hAnsi="Times New Roman" w:eastAsia="宋体" w:cs="Times New Roman"/>
          <w:b w:val="0"/>
          <w:bCs w:val="0"/>
          <w:color w:val="auto"/>
          <w:sz w:val="28"/>
          <w:szCs w:val="28"/>
          <w:highlight w:val="none"/>
          <w:lang w:eastAsia="zh-CN"/>
        </w:rPr>
        <w:t>规模</w:t>
      </w:r>
      <w:r>
        <w:rPr>
          <w:rFonts w:hint="default" w:ascii="Times New Roman" w:hAnsi="Times New Roman" w:cs="Times New Roman"/>
          <w:b w:val="0"/>
          <w:bCs w:val="0"/>
          <w:color w:val="auto"/>
          <w:sz w:val="28"/>
          <w:szCs w:val="28"/>
          <w:highlight w:val="none"/>
          <w:u w:val="single"/>
          <w:lang w:eastAsia="zh-CN"/>
        </w:rPr>
        <w:t>年回收加工输液瓶（袋）10400吨、年回收加工破碎生活塑料4000吨项目</w:t>
      </w:r>
      <w:r>
        <w:rPr>
          <w:rFonts w:hint="default" w:ascii="Times New Roman" w:hAnsi="Times New Roman" w:eastAsia="宋体" w:cs="Times New Roman"/>
          <w:b w:val="0"/>
          <w:bCs w:val="0"/>
          <w:color w:val="auto"/>
          <w:sz w:val="28"/>
          <w:szCs w:val="28"/>
          <w:highlight w:val="none"/>
          <w:u w:val="none"/>
          <w:lang w:eastAsia="zh-CN"/>
        </w:rPr>
        <w:t>。</w:t>
      </w:r>
      <w:r>
        <w:rPr>
          <w:rFonts w:hint="default" w:ascii="Times New Roman" w:hAnsi="Times New Roman" w:eastAsia="宋体" w:cs="Times New Roman"/>
          <w:b w:val="0"/>
          <w:bCs w:val="0"/>
          <w:color w:val="auto"/>
          <w:sz w:val="28"/>
          <w:szCs w:val="28"/>
          <w:highlight w:val="none"/>
          <w:lang w:eastAsia="zh-CN"/>
        </w:rPr>
        <w:t>根据</w:t>
      </w:r>
      <w:r>
        <w:rPr>
          <w:rFonts w:hint="default" w:ascii="Times New Roman" w:hAnsi="Times New Roman" w:eastAsia="宋体" w:cs="Times New Roman"/>
          <w:b w:val="0"/>
          <w:bCs w:val="0"/>
          <w:color w:val="auto"/>
          <w:sz w:val="28"/>
          <w:szCs w:val="28"/>
          <w:highlight w:val="none"/>
        </w:rPr>
        <w:t>《建设项目环境保护管理条例》等有关</w:t>
      </w:r>
      <w:r>
        <w:rPr>
          <w:rFonts w:hint="default" w:ascii="Times New Roman" w:hAnsi="Times New Roman" w:cs="Times New Roman"/>
          <w:b w:val="0"/>
          <w:bCs w:val="0"/>
          <w:color w:val="auto"/>
          <w:sz w:val="28"/>
          <w:szCs w:val="28"/>
          <w:highlight w:val="none"/>
          <w:lang w:eastAsia="zh-CN"/>
        </w:rPr>
        <w:t>法律法规</w:t>
      </w:r>
      <w:r>
        <w:rPr>
          <w:rFonts w:hint="default" w:ascii="Times New Roman" w:hAnsi="Times New Roman" w:eastAsia="宋体" w:cs="Times New Roman"/>
          <w:b w:val="0"/>
          <w:bCs w:val="0"/>
          <w:color w:val="auto"/>
          <w:sz w:val="28"/>
          <w:szCs w:val="28"/>
          <w:highlight w:val="none"/>
          <w:lang w:eastAsia="zh-CN"/>
        </w:rPr>
        <w:t>规定。</w:t>
      </w:r>
      <w:r>
        <w:rPr>
          <w:rFonts w:hint="default" w:ascii="Times New Roman" w:hAnsi="Times New Roman" w:eastAsia="宋体" w:cs="Times New Roman"/>
          <w:b w:val="0"/>
          <w:bCs w:val="0"/>
          <w:color w:val="auto"/>
          <w:sz w:val="28"/>
          <w:szCs w:val="28"/>
          <w:highlight w:val="none"/>
        </w:rPr>
        <w:t>本单位委托</w:t>
      </w:r>
      <w:r>
        <w:rPr>
          <w:rFonts w:hint="default" w:ascii="Times New Roman" w:hAnsi="Times New Roman" w:eastAsia="宋体" w:cs="Times New Roman"/>
          <w:b w:val="0"/>
          <w:bCs w:val="0"/>
          <w:color w:val="auto"/>
          <w:sz w:val="28"/>
          <w:szCs w:val="28"/>
          <w:highlight w:val="none"/>
          <w:u w:val="single"/>
          <w:lang w:eastAsia="zh-CN"/>
        </w:rPr>
        <w:t>福建中森亚环保科技有限公司</w:t>
      </w:r>
      <w:r>
        <w:rPr>
          <w:rFonts w:hint="default" w:ascii="Times New Roman" w:hAnsi="Times New Roman" w:cs="Times New Roman"/>
          <w:b w:val="0"/>
          <w:bCs w:val="0"/>
          <w:color w:val="auto"/>
          <w:sz w:val="28"/>
          <w:szCs w:val="28"/>
          <w:highlight w:val="none"/>
          <w:u w:val="single"/>
          <w:lang w:eastAsia="zh-CN"/>
        </w:rPr>
        <w:t>编制</w:t>
      </w:r>
      <w:r>
        <w:rPr>
          <w:rFonts w:hint="default" w:ascii="Times New Roman" w:hAnsi="Times New Roman" w:eastAsia="宋体" w:cs="Times New Roman"/>
          <w:b w:val="0"/>
          <w:bCs w:val="0"/>
          <w:color w:val="auto"/>
          <w:sz w:val="28"/>
          <w:szCs w:val="28"/>
          <w:highlight w:val="none"/>
        </w:rPr>
        <w:t>了</w:t>
      </w:r>
      <w:r>
        <w:rPr>
          <w:rFonts w:hint="default" w:ascii="Times New Roman" w:hAnsi="Times New Roman" w:eastAsia="宋体" w:cs="Times New Roman"/>
          <w:b w:val="0"/>
          <w:bCs w:val="0"/>
          <w:color w:val="auto"/>
          <w:sz w:val="28"/>
          <w:szCs w:val="28"/>
          <w:highlight w:val="none"/>
          <w:lang w:eastAsia="zh-CN"/>
        </w:rPr>
        <w:t>环境影响报告表</w:t>
      </w:r>
      <w:r>
        <w:rPr>
          <w:rFonts w:hint="default" w:ascii="Times New Roman" w:hAnsi="Times New Roman" w:eastAsia="宋体" w:cs="Times New Roman"/>
          <w:b w:val="0"/>
          <w:bCs w:val="0"/>
          <w:color w:val="auto"/>
          <w:sz w:val="28"/>
          <w:szCs w:val="28"/>
          <w:highlight w:val="none"/>
        </w:rPr>
        <w:t>。</w:t>
      </w:r>
      <w:r>
        <w:rPr>
          <w:rFonts w:hint="default" w:ascii="Times New Roman" w:hAnsi="Times New Roman" w:cs="Times New Roman"/>
          <w:b w:val="0"/>
          <w:bCs w:val="0"/>
          <w:color w:val="auto"/>
          <w:sz w:val="28"/>
          <w:szCs w:val="28"/>
          <w:highlight w:val="none"/>
          <w:lang w:eastAsia="zh-CN"/>
        </w:rPr>
        <w:t>现已</w:t>
      </w:r>
      <w:r>
        <w:rPr>
          <w:rFonts w:hint="default" w:ascii="Times New Roman" w:hAnsi="Times New Roman" w:eastAsia="宋体" w:cs="Times New Roman"/>
          <w:b w:val="0"/>
          <w:bCs w:val="0"/>
          <w:color w:val="auto"/>
          <w:sz w:val="28"/>
          <w:szCs w:val="28"/>
          <w:highlight w:val="none"/>
        </w:rPr>
        <w:t>完成并呈报贵局，</w:t>
      </w:r>
      <w:r>
        <w:rPr>
          <w:rFonts w:hint="default" w:ascii="Times New Roman" w:hAnsi="Times New Roman" w:eastAsia="宋体" w:cs="Times New Roman"/>
          <w:b w:val="0"/>
          <w:bCs w:val="0"/>
          <w:color w:val="auto"/>
          <w:sz w:val="28"/>
          <w:szCs w:val="28"/>
          <w:highlight w:val="none"/>
          <w:lang w:eastAsia="zh-CN"/>
        </w:rPr>
        <w:t>请</w:t>
      </w:r>
      <w:r>
        <w:rPr>
          <w:rFonts w:hint="default" w:ascii="Times New Roman" w:hAnsi="Times New Roman" w:eastAsia="宋体" w:cs="Times New Roman"/>
          <w:b w:val="0"/>
          <w:bCs w:val="0"/>
          <w:color w:val="auto"/>
          <w:sz w:val="28"/>
          <w:szCs w:val="28"/>
          <w:highlight w:val="none"/>
        </w:rPr>
        <w:t>及时给予批复</w:t>
      </w:r>
      <w:r>
        <w:rPr>
          <w:rFonts w:hint="default" w:ascii="Times New Roman" w:hAnsi="Times New Roman" w:eastAsia="宋体" w:cs="Times New Roman"/>
          <w:b w:val="0"/>
          <w:bCs w:val="0"/>
          <w:color w:val="auto"/>
          <w:sz w:val="28"/>
          <w:szCs w:val="28"/>
          <w:highlight w:val="none"/>
          <w:lang w:eastAsia="zh-CN"/>
        </w:rPr>
        <w:t>。</w:t>
      </w:r>
    </w:p>
    <w:p w14:paraId="51E1D0AC">
      <w:pPr>
        <w:keepNext w:val="0"/>
        <w:keepLines w:val="0"/>
        <w:pageBreakBefore w:val="0"/>
        <w:widowControl w:val="0"/>
        <w:tabs>
          <w:tab w:val="left" w:pos="1852"/>
        </w:tabs>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b w:val="0"/>
          <w:bCs w:val="0"/>
          <w:color w:val="auto"/>
          <w:sz w:val="28"/>
          <w:szCs w:val="28"/>
          <w:highlight w:val="none"/>
          <w:lang w:eastAsia="zh-CN"/>
        </w:rPr>
      </w:pPr>
      <w:r>
        <w:rPr>
          <w:rFonts w:hint="default" w:ascii="Times New Roman" w:hAnsi="Times New Roman" w:eastAsia="宋体" w:cs="Times New Roman"/>
          <w:b w:val="0"/>
          <w:bCs w:val="0"/>
          <w:color w:val="auto"/>
          <w:sz w:val="28"/>
          <w:szCs w:val="28"/>
          <w:highlight w:val="none"/>
        </w:rPr>
        <w:t>专此报告</w:t>
      </w:r>
      <w:r>
        <w:rPr>
          <w:rFonts w:hint="default" w:ascii="Times New Roman" w:hAnsi="Times New Roman" w:eastAsia="宋体" w:cs="Times New Roman"/>
          <w:b w:val="0"/>
          <w:bCs w:val="0"/>
          <w:color w:val="auto"/>
          <w:sz w:val="28"/>
          <w:szCs w:val="28"/>
          <w:highlight w:val="none"/>
          <w:lang w:eastAsia="zh-CN"/>
        </w:rPr>
        <w:t>！</w:t>
      </w:r>
    </w:p>
    <w:p w14:paraId="3CB71B68">
      <w:pPr>
        <w:jc w:val="right"/>
        <w:rPr>
          <w:rFonts w:hint="default" w:ascii="Times New Roman" w:hAnsi="Times New Roman" w:eastAsia="宋体" w:cs="Times New Roman"/>
          <w:bCs w:val="0"/>
          <w:color w:val="auto"/>
          <w:spacing w:val="0"/>
          <w:kern w:val="2"/>
          <w:sz w:val="28"/>
          <w:szCs w:val="36"/>
          <w:highlight w:val="none"/>
          <w:lang w:val="en-US" w:eastAsia="zh-CN" w:bidi="ar-SA"/>
        </w:rPr>
      </w:pPr>
    </w:p>
    <w:p w14:paraId="27CCF709">
      <w:pPr>
        <w:jc w:val="right"/>
        <w:rPr>
          <w:rFonts w:hint="default" w:ascii="Times New Roman" w:hAnsi="Times New Roman" w:eastAsia="宋体" w:cs="Times New Roman"/>
          <w:bCs w:val="0"/>
          <w:color w:val="auto"/>
          <w:spacing w:val="0"/>
          <w:kern w:val="2"/>
          <w:sz w:val="28"/>
          <w:szCs w:val="36"/>
          <w:highlight w:val="none"/>
          <w:lang w:val="en-US" w:eastAsia="zh-CN" w:bidi="ar-SA"/>
        </w:rPr>
      </w:pPr>
    </w:p>
    <w:p w14:paraId="5012E6C8">
      <w:pPr>
        <w:jc w:val="right"/>
        <w:rPr>
          <w:rFonts w:hint="default" w:ascii="Times New Roman" w:hAnsi="Times New Roman" w:eastAsia="宋体" w:cs="Times New Roman"/>
          <w:bCs w:val="0"/>
          <w:color w:val="auto"/>
          <w:spacing w:val="0"/>
          <w:kern w:val="2"/>
          <w:sz w:val="28"/>
          <w:szCs w:val="36"/>
          <w:highlight w:val="none"/>
          <w:lang w:val="en-US" w:eastAsia="zh-CN" w:bidi="ar-SA"/>
        </w:rPr>
      </w:pPr>
    </w:p>
    <w:p w14:paraId="7716E35B">
      <w:pPr>
        <w:jc w:val="right"/>
        <w:rPr>
          <w:rFonts w:hint="default" w:ascii="Times New Roman" w:hAnsi="Times New Roman" w:eastAsia="宋体" w:cs="Times New Roman"/>
          <w:bCs w:val="0"/>
          <w:color w:val="auto"/>
          <w:spacing w:val="0"/>
          <w:kern w:val="2"/>
          <w:sz w:val="28"/>
          <w:szCs w:val="36"/>
          <w:highlight w:val="none"/>
          <w:lang w:val="en-US" w:eastAsia="zh-CN" w:bidi="ar-SA"/>
        </w:rPr>
      </w:pPr>
    </w:p>
    <w:p w14:paraId="18EE0924">
      <w:pPr>
        <w:jc w:val="right"/>
        <w:rPr>
          <w:rFonts w:hint="default" w:ascii="Times New Roman" w:hAnsi="Times New Roman" w:eastAsia="宋体" w:cs="Times New Roman"/>
          <w:bCs w:val="0"/>
          <w:color w:val="auto"/>
          <w:spacing w:val="0"/>
          <w:kern w:val="2"/>
          <w:sz w:val="28"/>
          <w:szCs w:val="36"/>
          <w:highlight w:val="none"/>
          <w:lang w:val="en-US" w:eastAsia="zh-CN" w:bidi="ar-SA"/>
        </w:rPr>
      </w:pPr>
    </w:p>
    <w:p w14:paraId="00230813">
      <w:pPr>
        <w:jc w:val="right"/>
        <w:rPr>
          <w:rFonts w:hint="default" w:ascii="Times New Roman" w:hAnsi="Times New Roman" w:eastAsia="宋体" w:cs="Times New Roman"/>
          <w:bCs w:val="0"/>
          <w:color w:val="auto"/>
          <w:spacing w:val="0"/>
          <w:kern w:val="2"/>
          <w:sz w:val="28"/>
          <w:szCs w:val="36"/>
          <w:highlight w:val="none"/>
          <w:lang w:val="en-US" w:eastAsia="zh-CN" w:bidi="ar-SA"/>
        </w:rPr>
      </w:pPr>
    </w:p>
    <w:p w14:paraId="095B943C">
      <w:pPr>
        <w:keepNext w:val="0"/>
        <w:keepLines w:val="0"/>
        <w:pageBreakBefore w:val="0"/>
        <w:widowControl w:val="0"/>
        <w:kinsoku/>
        <w:wordWrap/>
        <w:overflowPunct/>
        <w:topLinePunct w:val="0"/>
        <w:autoSpaceDE/>
        <w:autoSpaceDN/>
        <w:bidi w:val="0"/>
        <w:adjustRightInd/>
        <w:snapToGrid/>
        <w:jc w:val="right"/>
        <w:textAlignment w:val="auto"/>
        <w:outlineLvl w:val="9"/>
        <w:rPr>
          <w:rFonts w:hint="default" w:ascii="Times New Roman" w:hAnsi="Times New Roman" w:cs="Times New Roman"/>
          <w:bCs w:val="0"/>
          <w:color w:val="auto"/>
          <w:spacing w:val="0"/>
          <w:kern w:val="2"/>
          <w:sz w:val="28"/>
          <w:szCs w:val="36"/>
          <w:highlight w:val="none"/>
          <w:lang w:val="en-US" w:eastAsia="zh-CN" w:bidi="ar-SA"/>
        </w:rPr>
      </w:pPr>
    </w:p>
    <w:p w14:paraId="7F57294C">
      <w:pPr>
        <w:keepNext w:val="0"/>
        <w:keepLines w:val="0"/>
        <w:pageBreakBefore w:val="0"/>
        <w:widowControl w:val="0"/>
        <w:kinsoku/>
        <w:wordWrap/>
        <w:overflowPunct/>
        <w:topLinePunct w:val="0"/>
        <w:autoSpaceDE/>
        <w:autoSpaceDN/>
        <w:bidi w:val="0"/>
        <w:adjustRightInd/>
        <w:snapToGrid/>
        <w:jc w:val="right"/>
        <w:textAlignment w:val="auto"/>
        <w:outlineLvl w:val="9"/>
        <w:rPr>
          <w:rFonts w:hint="default" w:ascii="Times New Roman" w:hAnsi="Times New Roman" w:cs="Times New Roman"/>
          <w:bCs w:val="0"/>
          <w:color w:val="auto"/>
          <w:spacing w:val="0"/>
          <w:kern w:val="2"/>
          <w:sz w:val="28"/>
          <w:szCs w:val="36"/>
          <w:highlight w:val="none"/>
          <w:lang w:val="en-US" w:eastAsia="zh-CN" w:bidi="ar-SA"/>
        </w:rPr>
      </w:pPr>
    </w:p>
    <w:p w14:paraId="330A8976">
      <w:pPr>
        <w:keepNext w:val="0"/>
        <w:keepLines w:val="0"/>
        <w:pageBreakBefore w:val="0"/>
        <w:widowControl w:val="0"/>
        <w:kinsoku/>
        <w:wordWrap/>
        <w:overflowPunct/>
        <w:topLinePunct w:val="0"/>
        <w:autoSpaceDE/>
        <w:autoSpaceDN/>
        <w:bidi w:val="0"/>
        <w:adjustRightInd/>
        <w:snapToGrid/>
        <w:jc w:val="right"/>
        <w:textAlignment w:val="auto"/>
        <w:outlineLvl w:val="9"/>
        <w:rPr>
          <w:rFonts w:hint="default" w:ascii="Times New Roman" w:hAnsi="Times New Roman" w:eastAsia="宋体" w:cs="Times New Roman"/>
          <w:bCs w:val="0"/>
          <w:color w:val="auto"/>
          <w:spacing w:val="0"/>
          <w:kern w:val="2"/>
          <w:sz w:val="28"/>
          <w:szCs w:val="36"/>
          <w:highlight w:val="none"/>
          <w:lang w:val="en-US" w:eastAsia="zh-CN" w:bidi="ar-SA"/>
        </w:rPr>
      </w:pPr>
      <w:r>
        <w:rPr>
          <w:rFonts w:hint="default" w:ascii="Times New Roman" w:hAnsi="Times New Roman" w:cs="Times New Roman"/>
          <w:bCs w:val="0"/>
          <w:color w:val="auto"/>
          <w:spacing w:val="0"/>
          <w:kern w:val="2"/>
          <w:sz w:val="28"/>
          <w:szCs w:val="36"/>
          <w:highlight w:val="none"/>
          <w:lang w:val="en-US" w:eastAsia="zh-CN" w:bidi="ar-SA"/>
        </w:rPr>
        <w:t>申请单位</w:t>
      </w:r>
      <w:r>
        <w:rPr>
          <w:rFonts w:hint="default" w:ascii="Times New Roman" w:hAnsi="Times New Roman" w:eastAsia="宋体" w:cs="Times New Roman"/>
          <w:bCs w:val="0"/>
          <w:color w:val="auto"/>
          <w:spacing w:val="0"/>
          <w:kern w:val="2"/>
          <w:sz w:val="28"/>
          <w:szCs w:val="36"/>
          <w:highlight w:val="none"/>
          <w:lang w:val="en-US" w:eastAsia="zh-CN" w:bidi="ar-SA"/>
        </w:rPr>
        <w:t>（盖章）：</w:t>
      </w:r>
      <w:r>
        <w:rPr>
          <w:rFonts w:hint="default" w:ascii="Times New Roman" w:hAnsi="Times New Roman" w:cs="Times New Roman"/>
          <w:bCs w:val="0"/>
          <w:color w:val="auto"/>
          <w:spacing w:val="0"/>
          <w:kern w:val="2"/>
          <w:sz w:val="28"/>
          <w:szCs w:val="36"/>
          <w:highlight w:val="none"/>
          <w:lang w:val="en-US" w:eastAsia="zh-CN" w:bidi="ar-SA"/>
        </w:rPr>
        <w:t>福州市福清亿树资源再生有限公司</w:t>
      </w:r>
    </w:p>
    <w:p w14:paraId="69E5BA2C">
      <w:pPr>
        <w:pStyle w:val="23"/>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val="0"/>
          <w:color w:val="auto"/>
          <w:spacing w:val="0"/>
          <w:kern w:val="2"/>
          <w:sz w:val="28"/>
          <w:szCs w:val="36"/>
          <w:highlight w:val="none"/>
          <w:lang w:val="en-US" w:eastAsia="zh-CN" w:bidi="ar-SA"/>
        </w:rPr>
      </w:pPr>
      <w:r>
        <w:rPr>
          <w:rFonts w:hint="default" w:ascii="Times New Roman" w:hAnsi="Times New Roman" w:eastAsia="宋体" w:cs="Times New Roman"/>
          <w:bCs w:val="0"/>
          <w:color w:val="auto"/>
          <w:spacing w:val="0"/>
          <w:kern w:val="2"/>
          <w:sz w:val="28"/>
          <w:szCs w:val="36"/>
          <w:highlight w:val="none"/>
          <w:lang w:val="en-US" w:eastAsia="zh-CN" w:bidi="ar-SA"/>
        </w:rPr>
        <w:t xml:space="preserve">   </w:t>
      </w:r>
      <w:bookmarkStart w:id="36" w:name="_Toc13963"/>
      <w:bookmarkStart w:id="37" w:name="_Toc25460"/>
      <w:bookmarkStart w:id="38" w:name="_Toc3050"/>
      <w:bookmarkStart w:id="39" w:name="_Toc14448"/>
      <w:bookmarkStart w:id="40" w:name="_Toc4523"/>
      <w:r>
        <w:rPr>
          <w:rFonts w:hint="default" w:ascii="Times New Roman" w:hAnsi="Times New Roman" w:eastAsia="宋体" w:cs="Times New Roman"/>
          <w:bCs w:val="0"/>
          <w:color w:val="auto"/>
          <w:spacing w:val="0"/>
          <w:kern w:val="2"/>
          <w:sz w:val="28"/>
          <w:szCs w:val="36"/>
          <w:highlight w:val="none"/>
          <w:lang w:val="en-US" w:eastAsia="zh-CN" w:bidi="ar-SA"/>
        </w:rPr>
        <w:t>法定代表人（签章）：</w:t>
      </w:r>
      <w:bookmarkEnd w:id="36"/>
      <w:bookmarkEnd w:id="37"/>
      <w:bookmarkEnd w:id="38"/>
      <w:bookmarkEnd w:id="39"/>
      <w:bookmarkEnd w:id="40"/>
    </w:p>
    <w:p w14:paraId="27EF0167">
      <w:pPr>
        <w:pStyle w:val="23"/>
        <w:keepNext w:val="0"/>
        <w:keepLines w:val="0"/>
        <w:pageBreakBefore w:val="0"/>
        <w:widowControl w:val="0"/>
        <w:kinsoku/>
        <w:wordWrap/>
        <w:overflowPunct/>
        <w:topLinePunct w:val="0"/>
        <w:autoSpaceDE/>
        <w:autoSpaceDN/>
        <w:bidi w:val="0"/>
        <w:adjustRightInd/>
        <w:snapToGrid/>
        <w:jc w:val="right"/>
        <w:textAlignment w:val="auto"/>
        <w:outlineLvl w:val="9"/>
        <w:rPr>
          <w:rFonts w:hint="default" w:ascii="Times New Roman" w:hAnsi="Times New Roman" w:eastAsia="宋体" w:cs="Times New Roman"/>
          <w:bCs w:val="0"/>
          <w:color w:val="auto"/>
          <w:spacing w:val="0"/>
          <w:kern w:val="2"/>
          <w:sz w:val="28"/>
          <w:szCs w:val="36"/>
          <w:highlight w:val="none"/>
          <w:lang w:val="en-US" w:eastAsia="zh-CN" w:bidi="ar-SA"/>
        </w:rPr>
      </w:pPr>
      <w:r>
        <w:rPr>
          <w:rFonts w:hint="eastAsia" w:ascii="Times New Roman" w:hAnsi="Times New Roman" w:eastAsia="宋体" w:cs="Times New Roman"/>
          <w:bCs w:val="0"/>
          <w:color w:val="auto"/>
          <w:spacing w:val="0"/>
          <w:kern w:val="2"/>
          <w:sz w:val="28"/>
          <w:szCs w:val="36"/>
          <w:highlight w:val="none"/>
          <w:lang w:val="en-US" w:eastAsia="zh-CN" w:bidi="ar-SA"/>
        </w:rPr>
        <w:t>2025年11月19日</w:t>
      </w:r>
    </w:p>
    <w:p w14:paraId="7BB0793D">
      <w:pPr>
        <w:tabs>
          <w:tab w:val="left" w:pos="1852"/>
        </w:tabs>
        <w:jc w:val="center"/>
        <w:rPr>
          <w:rFonts w:hint="default" w:ascii="Times New Roman" w:hAnsi="Times New Roman" w:cs="Times New Roman"/>
          <w:b w:val="0"/>
          <w:bCs w:val="0"/>
          <w:color w:val="auto"/>
          <w:sz w:val="44"/>
          <w:szCs w:val="52"/>
          <w:highlight w:val="none"/>
        </w:rPr>
        <w:sectPr>
          <w:headerReference r:id="rId13" w:type="default"/>
          <w:footerReference r:id="rId14"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BCC45FD">
      <w:pPr>
        <w:keepNext w:val="0"/>
        <w:keepLines w:val="0"/>
        <w:pageBreakBefore w:val="0"/>
        <w:widowControl w:val="0"/>
        <w:tabs>
          <w:tab w:val="left" w:pos="1852"/>
        </w:tabs>
        <w:kinsoku/>
        <w:wordWrap/>
        <w:overflowPunct/>
        <w:topLinePunct w:val="0"/>
        <w:autoSpaceDE/>
        <w:autoSpaceDN/>
        <w:bidi w:val="0"/>
        <w:adjustRightInd/>
        <w:snapToGrid/>
        <w:jc w:val="center"/>
        <w:textAlignment w:val="auto"/>
        <w:outlineLvl w:val="9"/>
        <w:rPr>
          <w:rFonts w:hint="default" w:ascii="Times New Roman" w:hAnsi="Times New Roman" w:cs="Times New Roman"/>
          <w:b/>
          <w:bCs/>
          <w:color w:val="auto"/>
          <w:sz w:val="44"/>
          <w:szCs w:val="52"/>
          <w:highlight w:val="none"/>
          <w:lang w:eastAsia="zh-CN"/>
        </w:rPr>
      </w:pPr>
      <w:r>
        <w:rPr>
          <w:rFonts w:hint="default" w:ascii="Times New Roman" w:hAnsi="Times New Roman" w:cs="Times New Roman"/>
          <w:b/>
          <w:bCs/>
          <w:color w:val="auto"/>
          <w:sz w:val="44"/>
          <w:szCs w:val="52"/>
          <w:highlight w:val="none"/>
          <w:lang w:eastAsia="zh-CN"/>
        </w:rPr>
        <w:drawing>
          <wp:anchor distT="0" distB="0" distL="114300" distR="114300" simplePos="0" relativeHeight="251671552" behindDoc="0" locked="0" layoutInCell="1" allowOverlap="1">
            <wp:simplePos x="0" y="0"/>
            <wp:positionH relativeFrom="column">
              <wp:posOffset>7620</wp:posOffset>
            </wp:positionH>
            <wp:positionV relativeFrom="paragraph">
              <wp:posOffset>0</wp:posOffset>
            </wp:positionV>
            <wp:extent cx="5589905" cy="8277860"/>
            <wp:effectExtent l="0" t="0" r="10795" b="2540"/>
            <wp:wrapNone/>
            <wp:docPr id="22" name="图片 22" descr="打印编号：1763548879000 (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打印编号：1763548879000 (1)_05"/>
                    <pic:cNvPicPr>
                      <a:picLocks noChangeAspect="1"/>
                    </pic:cNvPicPr>
                  </pic:nvPicPr>
                  <pic:blipFill>
                    <a:blip r:embed="rId34"/>
                    <a:stretch>
                      <a:fillRect/>
                    </a:stretch>
                  </pic:blipFill>
                  <pic:spPr>
                    <a:xfrm>
                      <a:off x="0" y="0"/>
                      <a:ext cx="5589905" cy="8277860"/>
                    </a:xfrm>
                    <a:prstGeom prst="rect">
                      <a:avLst/>
                    </a:prstGeom>
                  </pic:spPr>
                </pic:pic>
              </a:graphicData>
            </a:graphic>
          </wp:anchor>
        </w:drawing>
      </w:r>
    </w:p>
    <w:p w14:paraId="70BC9877">
      <w:pPr>
        <w:keepNext w:val="0"/>
        <w:keepLines w:val="0"/>
        <w:pageBreakBefore w:val="0"/>
        <w:widowControl w:val="0"/>
        <w:tabs>
          <w:tab w:val="left" w:pos="1852"/>
        </w:tabs>
        <w:kinsoku/>
        <w:wordWrap/>
        <w:overflowPunct/>
        <w:topLinePunct w:val="0"/>
        <w:autoSpaceDE/>
        <w:autoSpaceDN/>
        <w:bidi w:val="0"/>
        <w:adjustRightInd/>
        <w:snapToGrid/>
        <w:jc w:val="center"/>
        <w:textAlignment w:val="auto"/>
        <w:outlineLvl w:val="9"/>
        <w:rPr>
          <w:rFonts w:hint="default" w:ascii="Times New Roman" w:hAnsi="Times New Roman" w:cs="Times New Roman"/>
          <w:b/>
          <w:bCs/>
          <w:color w:val="auto"/>
          <w:sz w:val="44"/>
          <w:szCs w:val="52"/>
          <w:highlight w:val="none"/>
          <w:lang w:eastAsia="zh-CN"/>
        </w:rPr>
      </w:pPr>
      <w:r>
        <w:rPr>
          <w:rFonts w:hint="default" w:ascii="Times New Roman" w:hAnsi="Times New Roman" w:cs="Times New Roman"/>
          <w:b/>
          <w:bCs/>
          <w:color w:val="auto"/>
          <w:sz w:val="44"/>
          <w:szCs w:val="52"/>
          <w:highlight w:val="none"/>
          <w:lang w:eastAsia="zh-CN"/>
        </w:rPr>
        <w:t>公开建设项目环评信息情况的说明报告</w:t>
      </w:r>
      <w:bookmarkEnd w:id="33"/>
      <w:bookmarkEnd w:id="34"/>
      <w:bookmarkEnd w:id="35"/>
    </w:p>
    <w:p w14:paraId="7AB27CDF">
      <w:pPr>
        <w:pStyle w:val="23"/>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val="0"/>
          <w:bCs w:val="0"/>
          <w:color w:val="auto"/>
          <w:sz w:val="44"/>
          <w:szCs w:val="52"/>
          <w:highlight w:val="none"/>
          <w:lang w:eastAsia="zh-CN"/>
        </w:rPr>
      </w:pPr>
    </w:p>
    <w:p w14:paraId="3214793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val="0"/>
          <w:bCs w:val="0"/>
          <w:color w:val="auto"/>
          <w:sz w:val="28"/>
          <w:szCs w:val="28"/>
          <w:highlight w:val="none"/>
          <w:lang w:eastAsia="zh-CN"/>
        </w:rPr>
      </w:pPr>
      <w:r>
        <w:rPr>
          <w:rFonts w:hint="default" w:ascii="Times New Roman" w:hAnsi="Times New Roman" w:eastAsia="宋体" w:cs="Times New Roman"/>
          <w:b w:val="0"/>
          <w:bCs w:val="0"/>
          <w:color w:val="auto"/>
          <w:sz w:val="28"/>
          <w:szCs w:val="28"/>
          <w:highlight w:val="none"/>
        </w:rPr>
        <w:t>福州市福清生态环境局</w:t>
      </w:r>
      <w:r>
        <w:rPr>
          <w:rFonts w:hint="default" w:ascii="Times New Roman" w:hAnsi="Times New Roman" w:eastAsia="宋体" w:cs="Times New Roman"/>
          <w:b w:val="0"/>
          <w:bCs w:val="0"/>
          <w:color w:val="auto"/>
          <w:sz w:val="28"/>
          <w:szCs w:val="28"/>
          <w:highlight w:val="none"/>
          <w:lang w:eastAsia="zh-CN"/>
        </w:rPr>
        <w:t>：</w:t>
      </w:r>
    </w:p>
    <w:p w14:paraId="5156B8DC">
      <w:pPr>
        <w:pStyle w:val="23"/>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jc w:val="left"/>
        <w:textAlignment w:val="auto"/>
        <w:outlineLvl w:val="9"/>
        <w:rPr>
          <w:rFonts w:hint="default" w:ascii="Times New Roman" w:hAnsi="Times New Roman" w:eastAsia="宋体" w:cs="Times New Roman"/>
          <w:color w:val="auto"/>
          <w:sz w:val="28"/>
          <w:szCs w:val="28"/>
          <w:lang w:eastAsia="zh-CN"/>
        </w:rPr>
      </w:pPr>
      <w:bookmarkStart w:id="41" w:name="_Toc16316"/>
      <w:bookmarkStart w:id="42" w:name="_Toc23207"/>
      <w:bookmarkStart w:id="43" w:name="_Toc10793"/>
      <w:bookmarkStart w:id="44" w:name="_Toc5910"/>
      <w:bookmarkStart w:id="45" w:name="_Toc20384"/>
      <w:r>
        <w:rPr>
          <w:rFonts w:hint="default" w:ascii="Times New Roman" w:hAnsi="Times New Roman" w:eastAsia="宋体" w:cs="Times New Roman"/>
          <w:b w:val="0"/>
          <w:bCs w:val="0"/>
          <w:color w:val="auto"/>
          <w:sz w:val="28"/>
          <w:szCs w:val="28"/>
          <w:highlight w:val="none"/>
          <w:lang w:eastAsia="zh-CN"/>
        </w:rPr>
        <w:t>我单位已按照《环境保护法》《建设项目环境影响评价信息公开机制方案》</w:t>
      </w:r>
      <w:r>
        <w:rPr>
          <w:rFonts w:hint="default" w:ascii="Times New Roman" w:hAnsi="Times New Roman" w:eastAsia="宋体" w:cs="Times New Roman"/>
          <w:color w:val="auto"/>
          <w:sz w:val="28"/>
          <w:szCs w:val="28"/>
          <w:lang w:eastAsia="zh-CN"/>
        </w:rPr>
        <w:t>（环发</w:t>
      </w:r>
      <w:r>
        <w:rPr>
          <w:rFonts w:hint="default" w:ascii="Times New Roman" w:hAnsi="Times New Roman" w:eastAsia="宋体" w:cs="Times New Roman"/>
          <w:color w:val="auto"/>
          <w:sz w:val="28"/>
          <w:szCs w:val="28"/>
          <w:lang w:val="en-US" w:eastAsia="zh-CN"/>
        </w:rPr>
        <w:t>[2015]162号</w:t>
      </w:r>
      <w:r>
        <w:rPr>
          <w:rFonts w:hint="default" w:ascii="Times New Roman" w:hAnsi="Times New Roman" w:eastAsia="宋体" w:cs="Times New Roman"/>
          <w:color w:val="auto"/>
          <w:sz w:val="28"/>
          <w:szCs w:val="28"/>
          <w:lang w:eastAsia="zh-CN"/>
        </w:rPr>
        <w:t>）等相关规定，通过生态环境公示网站（https://gongshi.qsyhbgj.com/h5public-detail?id=486626）对建设项目环评公开信息（具体见下图）。</w:t>
      </w:r>
      <w:bookmarkEnd w:id="41"/>
      <w:bookmarkEnd w:id="42"/>
      <w:bookmarkEnd w:id="43"/>
      <w:bookmarkEnd w:id="44"/>
      <w:bookmarkEnd w:id="45"/>
    </w:p>
    <w:p w14:paraId="503F5BDE">
      <w:pPr>
        <w:pStyle w:val="23"/>
        <w:outlineLvl w:val="9"/>
        <w:rPr>
          <w:rFonts w:hint="default" w:ascii="Times New Roman" w:hAnsi="Times New Roman" w:eastAsia="宋体" w:cs="Times New Roman"/>
          <w:color w:val="auto"/>
          <w:sz w:val="28"/>
          <w:szCs w:val="28"/>
          <w:lang w:eastAsia="zh-CN"/>
        </w:rPr>
      </w:pPr>
      <w:r>
        <w:rPr>
          <w:color w:val="auto"/>
        </w:rPr>
        <w:drawing>
          <wp:inline distT="0" distB="0" distL="114300" distR="114300">
            <wp:extent cx="5612130" cy="2976880"/>
            <wp:effectExtent l="0" t="0" r="7620" b="13970"/>
            <wp:docPr id="2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6"/>
                    <pic:cNvPicPr>
                      <a:picLocks noChangeAspect="1"/>
                    </pic:cNvPicPr>
                  </pic:nvPicPr>
                  <pic:blipFill>
                    <a:blip r:embed="rId35"/>
                    <a:stretch>
                      <a:fillRect/>
                    </a:stretch>
                  </pic:blipFill>
                  <pic:spPr>
                    <a:xfrm>
                      <a:off x="0" y="0"/>
                      <a:ext cx="5612130" cy="2976880"/>
                    </a:xfrm>
                    <a:prstGeom prst="rect">
                      <a:avLst/>
                    </a:prstGeom>
                    <a:noFill/>
                    <a:ln>
                      <a:noFill/>
                    </a:ln>
                  </pic:spPr>
                </pic:pic>
              </a:graphicData>
            </a:graphic>
          </wp:inline>
        </w:drawing>
      </w:r>
    </w:p>
    <w:p w14:paraId="0C15555F">
      <w:pPr>
        <w:pStyle w:val="23"/>
        <w:outlineLvl w:val="9"/>
        <w:rPr>
          <w:rFonts w:hint="default" w:ascii="Times New Roman" w:hAnsi="Times New Roman" w:eastAsia="宋体" w:cs="Times New Roman"/>
          <w:color w:val="auto"/>
          <w:sz w:val="28"/>
          <w:szCs w:val="28"/>
          <w:lang w:eastAsia="zh-CN"/>
        </w:rPr>
      </w:pPr>
    </w:p>
    <w:p w14:paraId="00D60701">
      <w:pPr>
        <w:rPr>
          <w:rFonts w:hint="default" w:ascii="Times New Roman" w:hAnsi="Times New Roman" w:eastAsia="宋体" w:cs="Times New Roman"/>
          <w:color w:val="auto"/>
          <w:sz w:val="28"/>
          <w:szCs w:val="28"/>
          <w:lang w:eastAsia="zh-CN"/>
        </w:rPr>
      </w:pPr>
    </w:p>
    <w:p w14:paraId="7EFBD288">
      <w:pPr>
        <w:jc w:val="right"/>
        <w:rPr>
          <w:rFonts w:hint="default" w:ascii="Times New Roman" w:hAnsi="Times New Roman" w:eastAsia="宋体" w:cs="Times New Roman"/>
          <w:bCs w:val="0"/>
          <w:color w:val="auto"/>
          <w:spacing w:val="0"/>
          <w:kern w:val="2"/>
          <w:sz w:val="28"/>
          <w:szCs w:val="36"/>
          <w:highlight w:val="none"/>
          <w:lang w:val="en-US" w:eastAsia="zh-CN" w:bidi="ar-SA"/>
        </w:rPr>
      </w:pPr>
      <w:r>
        <w:rPr>
          <w:rFonts w:hint="default" w:ascii="Times New Roman" w:hAnsi="Times New Roman" w:eastAsia="宋体" w:cs="Times New Roman"/>
          <w:bCs w:val="0"/>
          <w:color w:val="auto"/>
          <w:spacing w:val="0"/>
          <w:kern w:val="2"/>
          <w:sz w:val="28"/>
          <w:szCs w:val="36"/>
          <w:highlight w:val="none"/>
          <w:lang w:val="en-US" w:eastAsia="zh-CN" w:bidi="ar-SA"/>
        </w:rPr>
        <w:t>建设单位（盖章）：</w:t>
      </w:r>
      <w:r>
        <w:rPr>
          <w:rFonts w:hint="default" w:ascii="Times New Roman" w:hAnsi="Times New Roman" w:cs="Times New Roman"/>
          <w:bCs w:val="0"/>
          <w:color w:val="auto"/>
          <w:spacing w:val="0"/>
          <w:kern w:val="2"/>
          <w:sz w:val="28"/>
          <w:szCs w:val="36"/>
          <w:highlight w:val="none"/>
          <w:lang w:val="en-US" w:eastAsia="zh-CN" w:bidi="ar-SA"/>
        </w:rPr>
        <w:t>福州市福清亿树资源再生有限公司</w:t>
      </w:r>
    </w:p>
    <w:p w14:paraId="27A4175D">
      <w:pPr>
        <w:pStyle w:val="23"/>
        <w:keepLines w:val="0"/>
        <w:pageBreakBefore w:val="0"/>
        <w:widowControl w:val="0"/>
        <w:kinsoku/>
        <w:wordWrap/>
        <w:topLinePunct w:val="0"/>
        <w:autoSpaceDE/>
        <w:autoSpaceDN/>
        <w:bidi w:val="0"/>
        <w:adjustRightInd/>
        <w:jc w:val="right"/>
        <w:textAlignment w:val="auto"/>
        <w:outlineLvl w:val="9"/>
        <w:rPr>
          <w:rFonts w:hint="default" w:ascii="Times New Roman" w:hAnsi="Times New Roman" w:eastAsia="宋体" w:cs="Times New Roman"/>
          <w:bCs w:val="0"/>
          <w:color w:val="auto"/>
          <w:spacing w:val="0"/>
          <w:kern w:val="2"/>
          <w:sz w:val="28"/>
          <w:szCs w:val="36"/>
          <w:highlight w:val="none"/>
          <w:lang w:val="en-US" w:eastAsia="zh-CN" w:bidi="ar-SA"/>
        </w:rPr>
      </w:pPr>
      <w:r>
        <w:rPr>
          <w:rFonts w:hint="eastAsia" w:ascii="Times New Roman" w:hAnsi="Times New Roman" w:eastAsia="宋体" w:cs="Times New Roman"/>
          <w:bCs w:val="0"/>
          <w:color w:val="auto"/>
          <w:spacing w:val="0"/>
          <w:kern w:val="2"/>
          <w:sz w:val="28"/>
          <w:szCs w:val="36"/>
          <w:highlight w:val="none"/>
          <w:lang w:val="en-US" w:eastAsia="zh-CN" w:bidi="ar-SA"/>
        </w:rPr>
        <w:t>2025年11月19日</w:t>
      </w:r>
    </w:p>
    <w:p w14:paraId="34E8E291">
      <w:pPr>
        <w:keepNext w:val="0"/>
        <w:keepLines w:val="0"/>
        <w:pageBreakBefore w:val="0"/>
        <w:widowControl w:val="0"/>
        <w:tabs>
          <w:tab w:val="left" w:pos="1852"/>
        </w:tabs>
        <w:kinsoku/>
        <w:wordWrap/>
        <w:overflowPunct/>
        <w:topLinePunct w:val="0"/>
        <w:autoSpaceDE/>
        <w:autoSpaceDN/>
        <w:bidi w:val="0"/>
        <w:adjustRightInd/>
        <w:snapToGrid/>
        <w:jc w:val="center"/>
        <w:textAlignment w:val="auto"/>
        <w:outlineLvl w:val="9"/>
        <w:rPr>
          <w:rFonts w:hint="default" w:ascii="Times New Roman" w:hAnsi="Times New Roman" w:cs="Times New Roman"/>
          <w:b/>
          <w:bCs/>
          <w:color w:val="auto"/>
          <w:sz w:val="44"/>
          <w:szCs w:val="52"/>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46" w:name="_Toc1056"/>
      <w:bookmarkStart w:id="47" w:name="_Toc32343"/>
      <w:bookmarkStart w:id="48" w:name="_Toc27026"/>
    </w:p>
    <w:p w14:paraId="35CBAA0D">
      <w:pPr>
        <w:keepNext w:val="0"/>
        <w:keepLines w:val="0"/>
        <w:pageBreakBefore w:val="0"/>
        <w:widowControl w:val="0"/>
        <w:tabs>
          <w:tab w:val="left" w:pos="1852"/>
        </w:tabs>
        <w:kinsoku/>
        <w:wordWrap/>
        <w:overflowPunct/>
        <w:topLinePunct w:val="0"/>
        <w:autoSpaceDE/>
        <w:autoSpaceDN/>
        <w:bidi w:val="0"/>
        <w:adjustRightInd/>
        <w:snapToGrid/>
        <w:jc w:val="center"/>
        <w:textAlignment w:val="auto"/>
        <w:outlineLvl w:val="9"/>
        <w:rPr>
          <w:rFonts w:hint="default" w:ascii="Times New Roman" w:hAnsi="Times New Roman" w:cs="Times New Roman"/>
          <w:b w:val="0"/>
          <w:bCs w:val="0"/>
          <w:color w:val="auto"/>
          <w:sz w:val="44"/>
          <w:szCs w:val="52"/>
          <w:highlight w:val="none"/>
        </w:rPr>
      </w:pPr>
      <w:r>
        <w:rPr>
          <w:rFonts w:hint="default" w:ascii="Times New Roman" w:hAnsi="Times New Roman" w:cs="Times New Roman"/>
          <w:b/>
          <w:bCs/>
          <w:color w:val="auto"/>
          <w:sz w:val="44"/>
          <w:szCs w:val="52"/>
          <w:highlight w:val="none"/>
        </w:rPr>
        <w:drawing>
          <wp:anchor distT="0" distB="0" distL="114300" distR="114300" simplePos="0" relativeHeight="251672576" behindDoc="0" locked="0" layoutInCell="1" allowOverlap="1">
            <wp:simplePos x="0" y="0"/>
            <wp:positionH relativeFrom="column">
              <wp:posOffset>1270</wp:posOffset>
            </wp:positionH>
            <wp:positionV relativeFrom="paragraph">
              <wp:posOffset>0</wp:posOffset>
            </wp:positionV>
            <wp:extent cx="5607050" cy="8145145"/>
            <wp:effectExtent l="0" t="0" r="6350" b="8255"/>
            <wp:wrapNone/>
            <wp:docPr id="32" name="图片 32" descr="打印编号：1763548879000 (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打印编号：1763548879000 (1)_06"/>
                    <pic:cNvPicPr>
                      <a:picLocks noChangeAspect="1"/>
                    </pic:cNvPicPr>
                  </pic:nvPicPr>
                  <pic:blipFill>
                    <a:blip r:embed="rId36"/>
                    <a:stretch>
                      <a:fillRect/>
                    </a:stretch>
                  </pic:blipFill>
                  <pic:spPr>
                    <a:xfrm>
                      <a:off x="0" y="0"/>
                      <a:ext cx="5607050" cy="8145145"/>
                    </a:xfrm>
                    <a:prstGeom prst="rect">
                      <a:avLst/>
                    </a:prstGeom>
                  </pic:spPr>
                </pic:pic>
              </a:graphicData>
            </a:graphic>
          </wp:anchor>
        </w:drawing>
      </w:r>
      <w:r>
        <w:rPr>
          <w:rFonts w:hint="default" w:ascii="Times New Roman" w:hAnsi="Times New Roman" w:cs="Times New Roman"/>
          <w:b/>
          <w:bCs/>
          <w:color w:val="auto"/>
          <w:sz w:val="44"/>
          <w:szCs w:val="52"/>
          <w:highlight w:val="none"/>
        </w:rPr>
        <w:t>信息删除理由说明报告</w:t>
      </w:r>
      <w:bookmarkEnd w:id="46"/>
      <w:bookmarkEnd w:id="47"/>
      <w:bookmarkEnd w:id="48"/>
    </w:p>
    <w:p w14:paraId="55A998C7">
      <w:pPr>
        <w:keepNext w:val="0"/>
        <w:keepLines w:val="0"/>
        <w:pageBreakBefore w:val="0"/>
        <w:widowControl w:val="0"/>
        <w:tabs>
          <w:tab w:val="left" w:pos="1852"/>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sz w:val="28"/>
          <w:szCs w:val="36"/>
          <w:highlight w:val="none"/>
        </w:rPr>
      </w:pPr>
    </w:p>
    <w:p w14:paraId="0CA47FB3">
      <w:pPr>
        <w:pStyle w:val="23"/>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rPr>
      </w:pPr>
    </w:p>
    <w:p w14:paraId="68B53329">
      <w:pPr>
        <w:keepNext w:val="0"/>
        <w:keepLines w:val="0"/>
        <w:pageBreakBefore w:val="0"/>
        <w:widowControl w:val="0"/>
        <w:tabs>
          <w:tab w:val="left" w:pos="1852"/>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rPr>
        <w:t>福州市福清生态环境局：</w:t>
      </w:r>
    </w:p>
    <w:p w14:paraId="0FD0027E">
      <w:pPr>
        <w:keepNext w:val="0"/>
        <w:keepLines w:val="0"/>
        <w:pageBreakBefore w:val="0"/>
        <w:widowControl w:val="0"/>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rPr>
        <w:t>我单位向你局申报的</w:t>
      </w:r>
      <w:r>
        <w:rPr>
          <w:rFonts w:hint="default" w:ascii="Times New Roman" w:hAnsi="Times New Roman" w:cs="Times New Roman"/>
          <w:color w:val="auto"/>
          <w:sz w:val="28"/>
          <w:szCs w:val="36"/>
          <w:highlight w:val="none"/>
          <w:u w:val="single"/>
          <w:lang w:val="en-US" w:eastAsia="zh-CN"/>
        </w:rPr>
        <w:t>福州市福清亿树资源再生有限公司年回收加工输液瓶（袋）10400吨、年回收加工破碎生活塑料4000吨项目</w:t>
      </w:r>
      <w:r>
        <w:rPr>
          <w:rFonts w:hint="default" w:ascii="Times New Roman" w:hAnsi="Times New Roman" w:cs="Times New Roman"/>
          <w:color w:val="auto"/>
          <w:sz w:val="28"/>
          <w:szCs w:val="36"/>
          <w:highlight w:val="none"/>
          <w:u w:val="none"/>
          <w:lang w:val="en-US" w:eastAsia="zh-CN"/>
        </w:rPr>
        <w:t>环境影响报告</w:t>
      </w:r>
      <w:r>
        <w:rPr>
          <w:rFonts w:hint="default" w:ascii="Times New Roman" w:hAnsi="Times New Roman" w:cs="Times New Roman"/>
          <w:color w:val="auto"/>
          <w:sz w:val="28"/>
          <w:szCs w:val="36"/>
          <w:highlight w:val="none"/>
          <w:lang w:eastAsia="zh-CN"/>
        </w:rPr>
        <w:t>表</w:t>
      </w:r>
      <w:r>
        <w:rPr>
          <w:rFonts w:hint="default" w:ascii="Times New Roman" w:hAnsi="Times New Roman" w:cs="Times New Roman"/>
          <w:color w:val="auto"/>
          <w:sz w:val="28"/>
          <w:szCs w:val="36"/>
          <w:highlight w:val="none"/>
        </w:rPr>
        <w:t>件中</w:t>
      </w:r>
      <w:r>
        <w:rPr>
          <w:rFonts w:hint="default" w:ascii="Times New Roman" w:hAnsi="Times New Roman" w:cs="Times New Roman"/>
          <w:color w:val="auto"/>
          <w:sz w:val="28"/>
          <w:szCs w:val="36"/>
          <w:highlight w:val="none"/>
          <w:lang w:eastAsia="zh-CN"/>
        </w:rPr>
        <w:t>有</w:t>
      </w:r>
      <w:r>
        <w:rPr>
          <w:rFonts w:hint="default" w:ascii="Times New Roman" w:hAnsi="Times New Roman" w:cs="Times New Roman"/>
          <w:color w:val="auto"/>
          <w:sz w:val="28"/>
          <w:szCs w:val="36"/>
          <w:highlight w:val="none"/>
        </w:rPr>
        <w:t>涉及国家秘密和商业秘密等内容</w:t>
      </w:r>
      <w:r>
        <w:rPr>
          <w:rFonts w:hint="default" w:ascii="Times New Roman" w:hAnsi="Times New Roman" w:cs="Times New Roman"/>
          <w:color w:val="auto"/>
          <w:sz w:val="28"/>
          <w:szCs w:val="36"/>
          <w:highlight w:val="none"/>
          <w:lang w:eastAsia="zh-CN"/>
        </w:rPr>
        <w:t>。</w:t>
      </w:r>
      <w:r>
        <w:rPr>
          <w:rFonts w:hint="default" w:ascii="Times New Roman" w:hAnsi="Times New Roman" w:cs="Times New Roman"/>
          <w:color w:val="auto"/>
          <w:sz w:val="28"/>
          <w:szCs w:val="36"/>
          <w:highlight w:val="none"/>
        </w:rPr>
        <w:t>按照</w:t>
      </w:r>
      <w:r>
        <w:rPr>
          <w:rFonts w:hint="default" w:ascii="Times New Roman" w:hAnsi="Times New Roman" w:cs="Times New Roman"/>
          <w:color w:val="auto"/>
          <w:sz w:val="28"/>
          <w:szCs w:val="36"/>
          <w:highlight w:val="none"/>
          <w:lang w:eastAsia="zh-CN"/>
        </w:rPr>
        <w:t>生态环境部</w:t>
      </w:r>
      <w:r>
        <w:rPr>
          <w:rFonts w:hint="default" w:ascii="Times New Roman" w:hAnsi="Times New Roman" w:cs="Times New Roman"/>
          <w:color w:val="auto"/>
          <w:sz w:val="28"/>
          <w:szCs w:val="36"/>
          <w:highlight w:val="none"/>
        </w:rPr>
        <w:t>《建设项目环境影响评价政府信息公开指南（试行）</w:t>
      </w:r>
      <w:r>
        <w:rPr>
          <w:rFonts w:hint="default" w:ascii="Times New Roman" w:hAnsi="Times New Roman" w:cs="Times New Roman"/>
          <w:color w:val="auto"/>
          <w:sz w:val="28"/>
          <w:szCs w:val="36"/>
          <w:highlight w:val="none"/>
          <w:lang w:eastAsia="zh-CN"/>
        </w:rPr>
        <w:t>》</w:t>
      </w:r>
      <w:r>
        <w:rPr>
          <w:rFonts w:hint="default" w:ascii="Times New Roman" w:hAnsi="Times New Roman" w:cs="Times New Roman"/>
          <w:color w:val="auto"/>
          <w:sz w:val="28"/>
          <w:szCs w:val="36"/>
          <w:highlight w:val="none"/>
        </w:rPr>
        <w:t>要求，我单位</w:t>
      </w:r>
      <w:r>
        <w:rPr>
          <w:rFonts w:hint="default" w:ascii="Times New Roman" w:hAnsi="Times New Roman" w:cs="Times New Roman"/>
          <w:color w:val="auto"/>
          <w:sz w:val="28"/>
          <w:szCs w:val="36"/>
          <w:highlight w:val="none"/>
          <w:lang w:eastAsia="zh-CN"/>
        </w:rPr>
        <w:t>已对“</w:t>
      </w:r>
      <w:r>
        <w:rPr>
          <w:rFonts w:hint="default" w:ascii="Times New Roman" w:hAnsi="Times New Roman" w:cs="Times New Roman"/>
          <w:color w:val="auto"/>
          <w:sz w:val="28"/>
          <w:szCs w:val="36"/>
          <w:highlight w:val="none"/>
        </w:rPr>
        <w:t>供生态环境部门信息公开使用</w:t>
      </w:r>
      <w:r>
        <w:rPr>
          <w:rFonts w:hint="default" w:ascii="Times New Roman" w:hAnsi="Times New Roman" w:cs="Times New Roman"/>
          <w:color w:val="auto"/>
          <w:sz w:val="28"/>
          <w:szCs w:val="36"/>
          <w:highlight w:val="none"/>
          <w:lang w:eastAsia="zh-CN"/>
        </w:rPr>
        <w:t>”</w:t>
      </w:r>
      <w:r>
        <w:rPr>
          <w:rFonts w:hint="default" w:ascii="Times New Roman" w:hAnsi="Times New Roman" w:cs="Times New Roman"/>
          <w:color w:val="auto"/>
          <w:sz w:val="28"/>
          <w:szCs w:val="36"/>
          <w:highlight w:val="none"/>
        </w:rPr>
        <w:t>的环评文件中涉及国家秘密和商业秘密等内容进行删除，现将所</w:t>
      </w:r>
      <w:r>
        <w:rPr>
          <w:rFonts w:hint="default" w:ascii="Times New Roman" w:hAnsi="Times New Roman" w:cs="Times New Roman"/>
          <w:color w:val="auto"/>
          <w:sz w:val="28"/>
          <w:szCs w:val="36"/>
          <w:highlight w:val="none"/>
          <w:lang w:eastAsia="zh-CN"/>
        </w:rPr>
        <w:t>删</w:t>
      </w:r>
      <w:r>
        <w:rPr>
          <w:rFonts w:hint="default" w:ascii="Times New Roman" w:hAnsi="Times New Roman" w:cs="Times New Roman"/>
          <w:color w:val="auto"/>
          <w:sz w:val="28"/>
          <w:szCs w:val="36"/>
          <w:highlight w:val="none"/>
        </w:rPr>
        <w:t>除内容、依据及理由说明</w:t>
      </w:r>
      <w:r>
        <w:rPr>
          <w:rFonts w:hint="default" w:ascii="Times New Roman" w:hAnsi="Times New Roman" w:cs="Times New Roman"/>
          <w:color w:val="auto"/>
          <w:sz w:val="28"/>
          <w:szCs w:val="36"/>
          <w:highlight w:val="none"/>
          <w:lang w:eastAsia="zh-CN"/>
        </w:rPr>
        <w:t>报告</w:t>
      </w:r>
      <w:r>
        <w:rPr>
          <w:rFonts w:hint="default" w:ascii="Times New Roman" w:hAnsi="Times New Roman" w:cs="Times New Roman"/>
          <w:color w:val="auto"/>
          <w:sz w:val="28"/>
          <w:szCs w:val="36"/>
          <w:highlight w:val="none"/>
        </w:rPr>
        <w:t>如下：</w:t>
      </w:r>
    </w:p>
    <w:p w14:paraId="72252765">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宋体" w:cs="Times New Roman"/>
          <w:color w:val="auto"/>
          <w:sz w:val="28"/>
          <w:szCs w:val="36"/>
          <w:highlight w:val="none"/>
          <w:u w:val="single"/>
          <w:lang w:eastAsia="zh-CN"/>
        </w:rPr>
      </w:pPr>
      <w:r>
        <w:rPr>
          <w:rFonts w:hint="default" w:ascii="Times New Roman" w:hAnsi="Times New Roman" w:cs="Times New Roman"/>
          <w:color w:val="auto"/>
          <w:sz w:val="28"/>
          <w:szCs w:val="36"/>
          <w:highlight w:val="none"/>
          <w:u w:val="single"/>
          <w:lang w:val="en-US" w:eastAsia="zh-CN"/>
        </w:rPr>
        <w:t>1、删</w:t>
      </w:r>
      <w:r>
        <w:rPr>
          <w:rFonts w:hint="default" w:ascii="Times New Roman" w:hAnsi="Times New Roman" w:cs="Times New Roman"/>
          <w:color w:val="auto"/>
          <w:sz w:val="28"/>
          <w:szCs w:val="36"/>
          <w:highlight w:val="none"/>
          <w:u w:val="single"/>
        </w:rPr>
        <w:t>除企业工商信息及法人、联系人相关个人信息</w:t>
      </w:r>
      <w:r>
        <w:rPr>
          <w:rFonts w:hint="default" w:ascii="Times New Roman" w:hAnsi="Times New Roman" w:cs="Times New Roman"/>
          <w:color w:val="auto"/>
          <w:sz w:val="28"/>
          <w:szCs w:val="36"/>
          <w:highlight w:val="none"/>
          <w:u w:val="single"/>
          <w:lang w:eastAsia="zh-CN"/>
        </w:rPr>
        <w:t>，</w:t>
      </w:r>
      <w:r>
        <w:rPr>
          <w:rFonts w:hint="default" w:ascii="Times New Roman" w:hAnsi="Times New Roman" w:cs="Times New Roman"/>
          <w:color w:val="auto"/>
          <w:sz w:val="28"/>
          <w:szCs w:val="36"/>
          <w:highlight w:val="none"/>
          <w:u w:val="single"/>
        </w:rPr>
        <w:t>因涉及企业商业秘密和个人</w:t>
      </w:r>
      <w:r>
        <w:rPr>
          <w:rFonts w:hint="default" w:ascii="Times New Roman" w:hAnsi="Times New Roman" w:cs="Times New Roman"/>
          <w:color w:val="auto"/>
          <w:sz w:val="28"/>
          <w:szCs w:val="36"/>
          <w:highlight w:val="none"/>
          <w:u w:val="single"/>
          <w:lang w:eastAsia="zh-CN"/>
        </w:rPr>
        <w:t>隐私；</w:t>
      </w:r>
    </w:p>
    <w:p w14:paraId="61D2880D">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宋体" w:cs="Times New Roman"/>
          <w:color w:val="auto"/>
          <w:sz w:val="28"/>
          <w:szCs w:val="36"/>
          <w:highlight w:val="none"/>
          <w:u w:val="single"/>
          <w:lang w:eastAsia="zh-CN"/>
        </w:rPr>
      </w:pPr>
      <w:r>
        <w:rPr>
          <w:rFonts w:hint="default" w:ascii="Times New Roman" w:hAnsi="Times New Roman" w:cs="Times New Roman"/>
          <w:color w:val="auto"/>
          <w:sz w:val="28"/>
          <w:szCs w:val="36"/>
          <w:highlight w:val="none"/>
          <w:u w:val="single"/>
        </w:rPr>
        <w:t>2、</w:t>
      </w:r>
      <w:r>
        <w:rPr>
          <w:rFonts w:hint="default" w:ascii="Times New Roman" w:hAnsi="Times New Roman" w:cs="Times New Roman"/>
          <w:color w:val="auto"/>
          <w:sz w:val="28"/>
          <w:szCs w:val="36"/>
          <w:highlight w:val="none"/>
          <w:u w:val="single"/>
          <w:lang w:eastAsia="zh-CN"/>
        </w:rPr>
        <w:t>删除</w:t>
      </w:r>
      <w:r>
        <w:rPr>
          <w:rFonts w:hint="default" w:ascii="Times New Roman" w:hAnsi="Times New Roman" w:cs="Times New Roman"/>
          <w:color w:val="auto"/>
          <w:sz w:val="28"/>
          <w:szCs w:val="36"/>
          <w:highlight w:val="none"/>
          <w:u w:val="single"/>
        </w:rPr>
        <w:t>编制单位和编制人员情况表</w:t>
      </w:r>
      <w:r>
        <w:rPr>
          <w:rFonts w:hint="default" w:ascii="Times New Roman" w:hAnsi="Times New Roman" w:cs="Times New Roman"/>
          <w:color w:val="auto"/>
          <w:sz w:val="28"/>
          <w:szCs w:val="36"/>
          <w:highlight w:val="none"/>
          <w:u w:val="single"/>
          <w:lang w:eastAsia="zh-CN"/>
        </w:rPr>
        <w:t>，</w:t>
      </w:r>
      <w:r>
        <w:rPr>
          <w:rFonts w:hint="default" w:ascii="Times New Roman" w:hAnsi="Times New Roman" w:cs="Times New Roman"/>
          <w:color w:val="auto"/>
          <w:sz w:val="28"/>
          <w:szCs w:val="36"/>
          <w:highlight w:val="none"/>
          <w:u w:val="single"/>
        </w:rPr>
        <w:t>因涉及企业和个人</w:t>
      </w:r>
      <w:r>
        <w:rPr>
          <w:rFonts w:hint="default" w:ascii="Times New Roman" w:hAnsi="Times New Roman" w:cs="Times New Roman"/>
          <w:color w:val="auto"/>
          <w:sz w:val="28"/>
          <w:szCs w:val="36"/>
          <w:highlight w:val="none"/>
          <w:u w:val="single"/>
          <w:lang w:eastAsia="zh-CN"/>
        </w:rPr>
        <w:t>隐私；</w:t>
      </w:r>
    </w:p>
    <w:p w14:paraId="3A1814F6">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auto"/>
          <w:sz w:val="28"/>
          <w:szCs w:val="36"/>
          <w:highlight w:val="none"/>
          <w:u w:val="single"/>
          <w:lang w:val="en-US" w:eastAsia="zh-CN"/>
        </w:rPr>
      </w:pPr>
      <w:r>
        <w:rPr>
          <w:rFonts w:hint="default" w:ascii="Times New Roman" w:hAnsi="Times New Roman" w:cs="Times New Roman"/>
          <w:color w:val="auto"/>
          <w:sz w:val="28"/>
          <w:szCs w:val="36"/>
          <w:highlight w:val="none"/>
          <w:u w:val="single"/>
          <w:lang w:val="en-US" w:eastAsia="zh-CN"/>
        </w:rPr>
        <w:t>3、删除原辅材料、生产设备、生产工艺信息，因涉及企业商业秘密；</w:t>
      </w:r>
    </w:p>
    <w:p w14:paraId="44576895">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auto"/>
          <w:sz w:val="28"/>
          <w:szCs w:val="36"/>
          <w:highlight w:val="none"/>
          <w:u w:val="single"/>
          <w:lang w:eastAsia="zh-CN"/>
        </w:rPr>
      </w:pPr>
      <w:r>
        <w:rPr>
          <w:rFonts w:hint="default" w:ascii="Times New Roman" w:hAnsi="Times New Roman" w:cs="Times New Roman"/>
          <w:color w:val="auto"/>
          <w:sz w:val="28"/>
          <w:szCs w:val="36"/>
          <w:highlight w:val="none"/>
          <w:u w:val="single"/>
          <w:lang w:val="en-US" w:eastAsia="zh-CN"/>
        </w:rPr>
        <w:t>4</w:t>
      </w:r>
      <w:r>
        <w:rPr>
          <w:rFonts w:hint="default" w:ascii="Times New Roman" w:hAnsi="Times New Roman" w:cs="Times New Roman"/>
          <w:color w:val="auto"/>
          <w:sz w:val="28"/>
          <w:szCs w:val="36"/>
          <w:highlight w:val="none"/>
          <w:u w:val="single"/>
        </w:rPr>
        <w:t>、</w:t>
      </w:r>
      <w:r>
        <w:rPr>
          <w:rFonts w:hint="default" w:ascii="Times New Roman" w:hAnsi="Times New Roman" w:cs="Times New Roman"/>
          <w:color w:val="auto"/>
          <w:sz w:val="28"/>
          <w:szCs w:val="36"/>
          <w:highlight w:val="none"/>
          <w:u w:val="single"/>
          <w:lang w:eastAsia="zh-CN"/>
        </w:rPr>
        <w:t>删除</w:t>
      </w:r>
      <w:r>
        <w:rPr>
          <w:rFonts w:hint="eastAsia" w:ascii="Times New Roman" w:hAnsi="Times New Roman" w:cs="Times New Roman"/>
          <w:color w:val="auto"/>
          <w:sz w:val="28"/>
          <w:szCs w:val="36"/>
          <w:highlight w:val="none"/>
          <w:u w:val="single"/>
          <w:lang w:val="en-US" w:eastAsia="zh-CN"/>
        </w:rPr>
        <w:t>补</w:t>
      </w:r>
      <w:r>
        <w:rPr>
          <w:rFonts w:hint="default" w:ascii="Times New Roman" w:hAnsi="Times New Roman" w:cs="Times New Roman"/>
          <w:color w:val="auto"/>
          <w:sz w:val="28"/>
          <w:szCs w:val="36"/>
          <w:highlight w:val="none"/>
          <w:u w:val="single"/>
        </w:rPr>
        <w:t>充监测</w:t>
      </w:r>
      <w:r>
        <w:rPr>
          <w:rFonts w:hint="default" w:ascii="Times New Roman" w:hAnsi="Times New Roman" w:cs="Times New Roman"/>
          <w:color w:val="auto"/>
          <w:sz w:val="28"/>
          <w:szCs w:val="36"/>
          <w:highlight w:val="none"/>
          <w:u w:val="single"/>
          <w:lang w:eastAsia="zh-CN"/>
        </w:rPr>
        <w:t>数据，</w:t>
      </w:r>
      <w:r>
        <w:rPr>
          <w:rFonts w:hint="default" w:ascii="Times New Roman" w:hAnsi="Times New Roman" w:cs="Times New Roman"/>
          <w:color w:val="auto"/>
          <w:sz w:val="28"/>
          <w:szCs w:val="36"/>
          <w:highlight w:val="none"/>
          <w:u w:val="single"/>
        </w:rPr>
        <w:t>因涉及</w:t>
      </w:r>
      <w:r>
        <w:rPr>
          <w:rFonts w:hint="default" w:ascii="Times New Roman" w:hAnsi="Times New Roman" w:cs="Times New Roman"/>
          <w:color w:val="auto"/>
          <w:sz w:val="28"/>
          <w:szCs w:val="36"/>
          <w:highlight w:val="none"/>
          <w:u w:val="single"/>
          <w:lang w:eastAsia="zh-CN"/>
        </w:rPr>
        <w:t>商</w:t>
      </w:r>
      <w:r>
        <w:rPr>
          <w:rFonts w:hint="default" w:ascii="Times New Roman" w:hAnsi="Times New Roman" w:cs="Times New Roman"/>
          <w:color w:val="auto"/>
          <w:sz w:val="28"/>
          <w:szCs w:val="36"/>
          <w:highlight w:val="none"/>
          <w:u w:val="single"/>
        </w:rPr>
        <w:t>业秘密</w:t>
      </w:r>
      <w:r>
        <w:rPr>
          <w:rFonts w:hint="default" w:ascii="Times New Roman" w:hAnsi="Times New Roman" w:cs="Times New Roman"/>
          <w:color w:val="auto"/>
          <w:sz w:val="28"/>
          <w:szCs w:val="36"/>
          <w:highlight w:val="none"/>
          <w:u w:val="single"/>
          <w:lang w:eastAsia="zh-CN"/>
        </w:rPr>
        <w:t>；</w:t>
      </w:r>
    </w:p>
    <w:p w14:paraId="7EE6ED41">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auto"/>
          <w:sz w:val="28"/>
          <w:szCs w:val="36"/>
          <w:highlight w:val="none"/>
          <w:u w:val="single"/>
          <w:lang w:val="en-US" w:eastAsia="zh-CN"/>
        </w:rPr>
      </w:pPr>
      <w:r>
        <w:rPr>
          <w:rFonts w:hint="eastAsia" w:ascii="Times New Roman" w:hAnsi="Times New Roman" w:cs="Times New Roman"/>
          <w:color w:val="auto"/>
          <w:sz w:val="28"/>
          <w:szCs w:val="36"/>
          <w:highlight w:val="none"/>
          <w:u w:val="single"/>
          <w:lang w:val="en-US" w:eastAsia="zh-CN"/>
        </w:rPr>
        <w:t>5、报告所有附件、附图内容。</w:t>
      </w:r>
    </w:p>
    <w:p w14:paraId="7253C6A4">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auto"/>
          <w:sz w:val="28"/>
          <w:szCs w:val="36"/>
          <w:highlight w:val="none"/>
          <w:lang w:eastAsia="zh-CN"/>
        </w:rPr>
      </w:pPr>
      <w:r>
        <w:rPr>
          <w:rFonts w:hint="default" w:ascii="Times New Roman" w:hAnsi="Times New Roman" w:cs="Times New Roman"/>
          <w:color w:val="auto"/>
          <w:sz w:val="28"/>
          <w:szCs w:val="36"/>
          <w:highlight w:val="none"/>
        </w:rPr>
        <w:t>专此报告</w:t>
      </w:r>
      <w:r>
        <w:rPr>
          <w:rFonts w:hint="default" w:ascii="Times New Roman" w:hAnsi="Times New Roman" w:cs="Times New Roman"/>
          <w:color w:val="auto"/>
          <w:sz w:val="28"/>
          <w:szCs w:val="36"/>
          <w:highlight w:val="none"/>
          <w:lang w:eastAsia="zh-CN"/>
        </w:rPr>
        <w:t>！</w:t>
      </w:r>
    </w:p>
    <w:p w14:paraId="2C00E27D">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sz w:val="28"/>
          <w:szCs w:val="36"/>
          <w:highlight w:val="none"/>
          <w:lang w:eastAsia="zh-CN"/>
        </w:rPr>
      </w:pPr>
    </w:p>
    <w:p w14:paraId="68D6E5EA">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default" w:ascii="Times New Roman" w:hAnsi="Times New Roman" w:cs="Times New Roman"/>
          <w:color w:val="auto"/>
          <w:sz w:val="28"/>
          <w:szCs w:val="36"/>
          <w:highlight w:val="none"/>
          <w:lang w:eastAsia="zh-CN"/>
        </w:rPr>
      </w:pPr>
    </w:p>
    <w:p w14:paraId="75F6C81A">
      <w:pPr>
        <w:keepNext w:val="0"/>
        <w:keepLines w:val="0"/>
        <w:pageBreakBefore w:val="0"/>
        <w:widowControl w:val="0"/>
        <w:kinsoku/>
        <w:wordWrap/>
        <w:overflowPunct/>
        <w:topLinePunct w:val="0"/>
        <w:autoSpaceDE/>
        <w:autoSpaceDN/>
        <w:bidi w:val="0"/>
        <w:adjustRightInd/>
        <w:snapToGrid/>
        <w:spacing w:line="360" w:lineRule="auto"/>
        <w:ind w:left="0"/>
        <w:jc w:val="right"/>
        <w:textAlignment w:val="auto"/>
        <w:outlineLvl w:val="9"/>
        <w:rPr>
          <w:rFonts w:hint="default" w:ascii="Times New Roman" w:hAnsi="Times New Roman" w:eastAsia="宋体" w:cs="Times New Roman"/>
          <w:bCs w:val="0"/>
          <w:color w:val="auto"/>
          <w:spacing w:val="0"/>
          <w:kern w:val="2"/>
          <w:sz w:val="28"/>
          <w:szCs w:val="36"/>
          <w:highlight w:val="none"/>
          <w:lang w:val="en-US" w:eastAsia="zh-CN" w:bidi="ar-SA"/>
        </w:rPr>
      </w:pPr>
    </w:p>
    <w:p w14:paraId="466588FB">
      <w:pPr>
        <w:keepNext w:val="0"/>
        <w:keepLines w:val="0"/>
        <w:pageBreakBefore w:val="0"/>
        <w:widowControl w:val="0"/>
        <w:kinsoku/>
        <w:wordWrap/>
        <w:overflowPunct/>
        <w:topLinePunct w:val="0"/>
        <w:autoSpaceDE/>
        <w:autoSpaceDN/>
        <w:bidi w:val="0"/>
        <w:adjustRightInd/>
        <w:snapToGrid/>
        <w:spacing w:line="360" w:lineRule="auto"/>
        <w:ind w:left="0"/>
        <w:jc w:val="right"/>
        <w:textAlignment w:val="auto"/>
        <w:outlineLvl w:val="9"/>
        <w:rPr>
          <w:rFonts w:hint="default" w:ascii="Times New Roman" w:hAnsi="Times New Roman" w:eastAsia="宋体" w:cs="Times New Roman"/>
          <w:bCs w:val="0"/>
          <w:color w:val="auto"/>
          <w:spacing w:val="0"/>
          <w:kern w:val="2"/>
          <w:sz w:val="28"/>
          <w:szCs w:val="36"/>
          <w:highlight w:val="none"/>
          <w:lang w:val="en-US" w:eastAsia="zh-CN" w:bidi="ar-SA"/>
        </w:rPr>
      </w:pPr>
      <w:r>
        <w:rPr>
          <w:rFonts w:hint="default" w:ascii="Times New Roman" w:hAnsi="Times New Roman" w:eastAsia="宋体" w:cs="Times New Roman"/>
          <w:bCs w:val="0"/>
          <w:color w:val="auto"/>
          <w:spacing w:val="0"/>
          <w:kern w:val="2"/>
          <w:sz w:val="28"/>
          <w:szCs w:val="36"/>
          <w:highlight w:val="none"/>
          <w:lang w:val="en-US" w:eastAsia="zh-CN" w:bidi="ar-SA"/>
        </w:rPr>
        <w:t>建设单位（盖章）：</w:t>
      </w:r>
      <w:r>
        <w:rPr>
          <w:rFonts w:hint="default" w:ascii="Times New Roman" w:hAnsi="Times New Roman" w:cs="Times New Roman"/>
          <w:bCs w:val="0"/>
          <w:color w:val="auto"/>
          <w:spacing w:val="0"/>
          <w:kern w:val="2"/>
          <w:sz w:val="28"/>
          <w:szCs w:val="36"/>
          <w:highlight w:val="none"/>
          <w:lang w:val="en-US" w:eastAsia="zh-CN" w:bidi="ar-SA"/>
        </w:rPr>
        <w:t>福州市福清亿树资源再生有限公司</w:t>
      </w:r>
    </w:p>
    <w:p w14:paraId="0E1B3312">
      <w:pPr>
        <w:keepLines w:val="0"/>
        <w:pageBreakBefore w:val="0"/>
        <w:widowControl w:val="0"/>
        <w:kinsoku/>
        <w:wordWrap/>
        <w:topLinePunct w:val="0"/>
        <w:autoSpaceDE/>
        <w:autoSpaceDN/>
        <w:bidi w:val="0"/>
        <w:adjustRightInd/>
        <w:spacing w:before="0" w:after="0" w:line="360" w:lineRule="auto"/>
        <w:ind w:left="0"/>
        <w:jc w:val="right"/>
        <w:textAlignment w:val="auto"/>
        <w:outlineLvl w:val="9"/>
        <w:rPr>
          <w:rFonts w:hint="default" w:ascii="Times New Roman" w:hAnsi="Times New Roman" w:eastAsia="黑体" w:cs="Times New Roman"/>
          <w:color w:val="auto"/>
          <w:lang w:val="en-US" w:eastAsia="zh-CN"/>
        </w:rPr>
      </w:pPr>
      <w:r>
        <w:rPr>
          <w:rFonts w:hint="eastAsia" w:ascii="Times New Roman" w:hAnsi="Times New Roman" w:eastAsia="宋体" w:cs="Times New Roman"/>
          <w:b w:val="0"/>
          <w:bCs w:val="0"/>
          <w:color w:val="auto"/>
          <w:spacing w:val="0"/>
          <w:kern w:val="2"/>
          <w:sz w:val="28"/>
          <w:szCs w:val="36"/>
          <w:highlight w:val="none"/>
          <w:lang w:val="en-US" w:eastAsia="zh-CN" w:bidi="ar-SA"/>
        </w:rPr>
        <w:t>2025年11月19日</w:t>
      </w:r>
    </w:p>
    <w:p w14:paraId="08B34FF5">
      <w:pPr>
        <w:pStyle w:val="2"/>
        <w:outlineLvl w:val="9"/>
        <w:rPr>
          <w:rFonts w:hint="default" w:ascii="Times New Roman" w:hAnsi="Times New Roman" w:eastAsia="宋体" w:cs="Times New Roman"/>
          <w:color w:val="auto"/>
          <w:lang w:eastAsia="zh-CN"/>
        </w:rPr>
      </w:pPr>
    </w:p>
    <w:sectPr>
      <w:headerReference r:id="rId15" w:type="default"/>
      <w:footerReference r:id="rId1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小标宋简体">
    <w:altName w:val="黑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方正小标宋_GBK">
    <w:altName w:val="微软雅黑"/>
    <w:panose1 w:val="02000000000000000000"/>
    <w:charset w:val="86"/>
    <w:family w:val="script"/>
    <w:pitch w:val="default"/>
    <w:sig w:usb0="00000000" w:usb1="00000000" w:usb2="00082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E9F5E">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86C80">
    <w:pPr>
      <w:framePr w:wrap="around" w:vAnchor="text" w:hAnchor="margin" w:xAlign="center" w:y="1"/>
      <w:tabs>
        <w:tab w:val="center" w:pos="4153"/>
        <w:tab w:val="right" w:pos="8306"/>
      </w:tabs>
    </w:pPr>
    <w:r>
      <w:fldChar w:fldCharType="begin"/>
    </w:r>
    <w:r>
      <w:instrText xml:space="preserve">PAGE  </w:instrText>
    </w:r>
    <w:r>
      <w:fldChar w:fldCharType="end"/>
    </w:r>
  </w:p>
  <w:p w14:paraId="43CD2125">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A211B">
    <w:pPr>
      <w:pStyle w:val="1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62485">
    <w:pPr>
      <w:pStyle w:val="1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952CD">
    <w:pPr>
      <w:pStyle w:val="18"/>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D7496F">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8DU4uIBAADDAwAADgAA&#10;AAAAAAABACAAAAAeAQAAZHJzL2Uyb0RvYy54bWxQSwUGAAAAAAYABgBZAQAAcgUAAAAA&#10;">
              <v:fill on="f" focussize="0,0"/>
              <v:stroke on="f"/>
              <v:imagedata o:title=""/>
              <o:lock v:ext="edit" aspectratio="f"/>
              <v:textbox inset="0mm,0mm,0mm,0mm" style="mso-fit-shape-to-text:t;">
                <w:txbxContent>
                  <w:p w14:paraId="64D7496F">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E760C">
    <w:pPr>
      <w:pStyle w:val="18"/>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E3E60">
    <w:pPr>
      <w:pStyle w:val="18"/>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D049F">
    <w:pPr>
      <w:pStyle w:val="18"/>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65C17">
    <w:pPr>
      <w:pStyle w:val="1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FE752">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17BF3">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7A2C6">
    <w:pPr>
      <w:pStyle w:val="1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1B597">
    <w:pPr>
      <w:pStyle w:val="1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CEC2B">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A1181"/>
    <w:multiLevelType w:val="singleLevel"/>
    <w:tmpl w:val="86EA1181"/>
    <w:lvl w:ilvl="0" w:tentative="0">
      <w:start w:val="1"/>
      <w:numFmt w:val="decimal"/>
      <w:suff w:val="nothing"/>
      <w:lvlText w:val="%1、"/>
      <w:lvlJc w:val="left"/>
    </w:lvl>
  </w:abstractNum>
  <w:abstractNum w:abstractNumId="1">
    <w:nsid w:val="8D77941E"/>
    <w:multiLevelType w:val="singleLevel"/>
    <w:tmpl w:val="8D77941E"/>
    <w:lvl w:ilvl="0" w:tentative="0">
      <w:start w:val="1"/>
      <w:numFmt w:val="decimal"/>
      <w:suff w:val="nothing"/>
      <w:lvlText w:val="%1、"/>
      <w:lvlJc w:val="left"/>
    </w:lvl>
  </w:abstractNum>
  <w:abstractNum w:abstractNumId="2">
    <w:nsid w:val="905AB63A"/>
    <w:multiLevelType w:val="singleLevel"/>
    <w:tmpl w:val="905AB63A"/>
    <w:lvl w:ilvl="0" w:tentative="0">
      <w:start w:val="1"/>
      <w:numFmt w:val="decimal"/>
      <w:suff w:val="nothing"/>
      <w:lvlText w:val="%1、"/>
      <w:lvlJc w:val="left"/>
    </w:lvl>
  </w:abstractNum>
  <w:abstractNum w:abstractNumId="3">
    <w:nsid w:val="D045C0CE"/>
    <w:multiLevelType w:val="singleLevel"/>
    <w:tmpl w:val="D045C0CE"/>
    <w:lvl w:ilvl="0" w:tentative="0">
      <w:start w:val="1"/>
      <w:numFmt w:val="decimal"/>
      <w:suff w:val="nothing"/>
      <w:lvlText w:val="%1、"/>
      <w:lvlJc w:val="left"/>
    </w:lvl>
  </w:abstractNum>
  <w:abstractNum w:abstractNumId="4">
    <w:nsid w:val="D69083D0"/>
    <w:multiLevelType w:val="singleLevel"/>
    <w:tmpl w:val="D69083D0"/>
    <w:lvl w:ilvl="0" w:tentative="0">
      <w:start w:val="1"/>
      <w:numFmt w:val="decimal"/>
      <w:suff w:val="nothing"/>
      <w:lvlText w:val="%1、"/>
      <w:lvlJc w:val="left"/>
    </w:lvl>
  </w:abstractNum>
  <w:abstractNum w:abstractNumId="5">
    <w:nsid w:val="F2BF04CF"/>
    <w:multiLevelType w:val="singleLevel"/>
    <w:tmpl w:val="F2BF04CF"/>
    <w:lvl w:ilvl="0" w:tentative="0">
      <w:start w:val="1"/>
      <w:numFmt w:val="decimal"/>
      <w:lvlText w:val="(%1)"/>
      <w:lvlJc w:val="left"/>
      <w:pPr>
        <w:tabs>
          <w:tab w:val="left" w:pos="312"/>
        </w:tabs>
      </w:pPr>
    </w:lvl>
  </w:abstractNum>
  <w:abstractNum w:abstractNumId="6">
    <w:nsid w:val="FE8317E2"/>
    <w:multiLevelType w:val="singleLevel"/>
    <w:tmpl w:val="FE8317E2"/>
    <w:lvl w:ilvl="0" w:tentative="0">
      <w:start w:val="1"/>
      <w:numFmt w:val="decimal"/>
      <w:suff w:val="nothing"/>
      <w:lvlText w:val="%1、"/>
      <w:lvlJc w:val="left"/>
    </w:lvl>
  </w:abstractNum>
  <w:abstractNum w:abstractNumId="7">
    <w:nsid w:val="1C937EDB"/>
    <w:multiLevelType w:val="singleLevel"/>
    <w:tmpl w:val="1C937EDB"/>
    <w:lvl w:ilvl="0" w:tentative="0">
      <w:start w:val="2"/>
      <w:numFmt w:val="decimal"/>
      <w:suff w:val="nothing"/>
      <w:lvlText w:val="（%1）"/>
      <w:lvlJc w:val="left"/>
    </w:lvl>
  </w:abstractNum>
  <w:abstractNum w:abstractNumId="8">
    <w:nsid w:val="391F5E33"/>
    <w:multiLevelType w:val="singleLevel"/>
    <w:tmpl w:val="391F5E33"/>
    <w:lvl w:ilvl="0" w:tentative="0">
      <w:start w:val="1"/>
      <w:numFmt w:val="decimal"/>
      <w:suff w:val="nothing"/>
      <w:lvlText w:val="%1、"/>
      <w:lvlJc w:val="left"/>
    </w:lvl>
  </w:abstractNum>
  <w:abstractNum w:abstractNumId="9">
    <w:nsid w:val="46CBB6C0"/>
    <w:multiLevelType w:val="singleLevel"/>
    <w:tmpl w:val="46CBB6C0"/>
    <w:lvl w:ilvl="0" w:tentative="0">
      <w:start w:val="1"/>
      <w:numFmt w:val="decimal"/>
      <w:suff w:val="nothing"/>
      <w:lvlText w:val="%1、"/>
      <w:lvlJc w:val="left"/>
    </w:lvl>
  </w:abstractNum>
  <w:abstractNum w:abstractNumId="10">
    <w:nsid w:val="4B459EC9"/>
    <w:multiLevelType w:val="singleLevel"/>
    <w:tmpl w:val="4B459EC9"/>
    <w:lvl w:ilvl="0" w:tentative="0">
      <w:start w:val="1"/>
      <w:numFmt w:val="upperLetter"/>
      <w:lvlText w:val="%1."/>
      <w:lvlJc w:val="left"/>
      <w:pPr>
        <w:tabs>
          <w:tab w:val="left" w:pos="312"/>
        </w:tabs>
      </w:pPr>
    </w:lvl>
  </w:abstractNum>
  <w:abstractNum w:abstractNumId="11">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
    <w:nsid w:val="5A9F3175"/>
    <w:multiLevelType w:val="singleLevel"/>
    <w:tmpl w:val="5A9F3175"/>
    <w:lvl w:ilvl="0" w:tentative="0">
      <w:start w:val="1"/>
      <w:numFmt w:val="decimal"/>
      <w:suff w:val="nothing"/>
      <w:lvlText w:val="%1、"/>
      <w:lvlJc w:val="left"/>
    </w:lvl>
  </w:abstractNum>
  <w:abstractNum w:abstractNumId="13">
    <w:nsid w:val="6B873479"/>
    <w:multiLevelType w:val="singleLevel"/>
    <w:tmpl w:val="6B873479"/>
    <w:lvl w:ilvl="0" w:tentative="0">
      <w:start w:val="3"/>
      <w:numFmt w:val="decimal"/>
      <w:suff w:val="nothing"/>
      <w:lvlText w:val="%1、"/>
      <w:lvlJc w:val="left"/>
    </w:lvl>
  </w:abstractNum>
  <w:abstractNum w:abstractNumId="14">
    <w:nsid w:val="7B937F15"/>
    <w:multiLevelType w:val="multilevel"/>
    <w:tmpl w:val="7B937F15"/>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425"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5">
    <w:nsid w:val="7F0C3E49"/>
    <w:multiLevelType w:val="multilevel"/>
    <w:tmpl w:val="7F0C3E49"/>
    <w:lvl w:ilvl="0" w:tentative="0">
      <w:start w:val="1"/>
      <w:numFmt w:val="decimal"/>
      <w:pStyle w:val="66"/>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14"/>
  </w:num>
  <w:num w:numId="3">
    <w:abstractNumId w:val="15"/>
  </w:num>
  <w:num w:numId="4">
    <w:abstractNumId w:val="8"/>
  </w:num>
  <w:num w:numId="5">
    <w:abstractNumId w:val="1"/>
  </w:num>
  <w:num w:numId="6">
    <w:abstractNumId w:val="2"/>
  </w:num>
  <w:num w:numId="7">
    <w:abstractNumId w:val="0"/>
  </w:num>
  <w:num w:numId="8">
    <w:abstractNumId w:val="12"/>
  </w:num>
  <w:num w:numId="9">
    <w:abstractNumId w:val="9"/>
  </w:num>
  <w:num w:numId="10">
    <w:abstractNumId w:val="4"/>
  </w:num>
  <w:num w:numId="11">
    <w:abstractNumId w:val="6"/>
  </w:num>
  <w:num w:numId="12">
    <w:abstractNumId w:val="5"/>
  </w:num>
  <w:num w:numId="13">
    <w:abstractNumId w:val="7"/>
  </w:num>
  <w:num w:numId="14">
    <w:abstractNumId w:val="10"/>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mMDFlZTA3MzEwNjk3MDI4MzNhYzI0OTdmZmUyZjM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1F7669"/>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3F6A"/>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2D5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9A573A"/>
    <w:rsid w:val="019D6E86"/>
    <w:rsid w:val="022706BE"/>
    <w:rsid w:val="024855A5"/>
    <w:rsid w:val="02697903"/>
    <w:rsid w:val="02F96569"/>
    <w:rsid w:val="03262463"/>
    <w:rsid w:val="03464898"/>
    <w:rsid w:val="03732C56"/>
    <w:rsid w:val="03EA7B21"/>
    <w:rsid w:val="042F3C3B"/>
    <w:rsid w:val="04626F5F"/>
    <w:rsid w:val="049C3FD3"/>
    <w:rsid w:val="04AE40DF"/>
    <w:rsid w:val="04FF7D02"/>
    <w:rsid w:val="052B0596"/>
    <w:rsid w:val="054233E8"/>
    <w:rsid w:val="05816019"/>
    <w:rsid w:val="05E546EC"/>
    <w:rsid w:val="05F83EAE"/>
    <w:rsid w:val="063A77AB"/>
    <w:rsid w:val="063E7D85"/>
    <w:rsid w:val="06A32969"/>
    <w:rsid w:val="070177D8"/>
    <w:rsid w:val="07293586"/>
    <w:rsid w:val="07295285"/>
    <w:rsid w:val="07357FAB"/>
    <w:rsid w:val="075C087E"/>
    <w:rsid w:val="07636392"/>
    <w:rsid w:val="07770C56"/>
    <w:rsid w:val="07866E17"/>
    <w:rsid w:val="078D3A1F"/>
    <w:rsid w:val="07A858F5"/>
    <w:rsid w:val="07D87480"/>
    <w:rsid w:val="08072FC2"/>
    <w:rsid w:val="08D4742C"/>
    <w:rsid w:val="090962DE"/>
    <w:rsid w:val="092217DD"/>
    <w:rsid w:val="09294C09"/>
    <w:rsid w:val="093410DD"/>
    <w:rsid w:val="093A7294"/>
    <w:rsid w:val="09551934"/>
    <w:rsid w:val="09713712"/>
    <w:rsid w:val="09D1170E"/>
    <w:rsid w:val="0A263993"/>
    <w:rsid w:val="0A2D3AC2"/>
    <w:rsid w:val="0A3D2CD6"/>
    <w:rsid w:val="0A5F50C5"/>
    <w:rsid w:val="0AA755DF"/>
    <w:rsid w:val="0AB4355E"/>
    <w:rsid w:val="0B0E4E77"/>
    <w:rsid w:val="0B120D44"/>
    <w:rsid w:val="0B2A4D91"/>
    <w:rsid w:val="0BC451DB"/>
    <w:rsid w:val="0BD27BF6"/>
    <w:rsid w:val="0BE337B7"/>
    <w:rsid w:val="0C1E62ED"/>
    <w:rsid w:val="0C2C437D"/>
    <w:rsid w:val="0C3B3C7D"/>
    <w:rsid w:val="0CAB2EAE"/>
    <w:rsid w:val="0CC55A09"/>
    <w:rsid w:val="0CE51C08"/>
    <w:rsid w:val="0D366B93"/>
    <w:rsid w:val="0D3A544D"/>
    <w:rsid w:val="0D621C7D"/>
    <w:rsid w:val="0D894112"/>
    <w:rsid w:val="0D901076"/>
    <w:rsid w:val="0DC108C7"/>
    <w:rsid w:val="0E73034D"/>
    <w:rsid w:val="0F13775A"/>
    <w:rsid w:val="0F3D0A31"/>
    <w:rsid w:val="0F5F45FE"/>
    <w:rsid w:val="0F9A112B"/>
    <w:rsid w:val="0FF23090"/>
    <w:rsid w:val="1066305F"/>
    <w:rsid w:val="106D2F64"/>
    <w:rsid w:val="108A59B6"/>
    <w:rsid w:val="108B7F7B"/>
    <w:rsid w:val="10B63710"/>
    <w:rsid w:val="10F10820"/>
    <w:rsid w:val="11165B0E"/>
    <w:rsid w:val="111C2F7A"/>
    <w:rsid w:val="11665CA1"/>
    <w:rsid w:val="117C347B"/>
    <w:rsid w:val="119C71DD"/>
    <w:rsid w:val="11D927A3"/>
    <w:rsid w:val="11EC6535"/>
    <w:rsid w:val="120976C0"/>
    <w:rsid w:val="1348173E"/>
    <w:rsid w:val="1374556B"/>
    <w:rsid w:val="1389559C"/>
    <w:rsid w:val="13951726"/>
    <w:rsid w:val="1396451F"/>
    <w:rsid w:val="13BC4712"/>
    <w:rsid w:val="14260D10"/>
    <w:rsid w:val="14396509"/>
    <w:rsid w:val="14BA53E4"/>
    <w:rsid w:val="14CE5B1C"/>
    <w:rsid w:val="14DD2C3C"/>
    <w:rsid w:val="15396B7A"/>
    <w:rsid w:val="15B4117A"/>
    <w:rsid w:val="16087E1D"/>
    <w:rsid w:val="16561996"/>
    <w:rsid w:val="169D391B"/>
    <w:rsid w:val="170B3D8E"/>
    <w:rsid w:val="17263548"/>
    <w:rsid w:val="1759695E"/>
    <w:rsid w:val="17701D14"/>
    <w:rsid w:val="17735226"/>
    <w:rsid w:val="17BB42D2"/>
    <w:rsid w:val="1818740F"/>
    <w:rsid w:val="189F624C"/>
    <w:rsid w:val="18D71EA5"/>
    <w:rsid w:val="19264976"/>
    <w:rsid w:val="19D10B45"/>
    <w:rsid w:val="19FE6DC9"/>
    <w:rsid w:val="1A1C66C0"/>
    <w:rsid w:val="1A42393B"/>
    <w:rsid w:val="1A922CFB"/>
    <w:rsid w:val="1AAD45DE"/>
    <w:rsid w:val="1AB943B7"/>
    <w:rsid w:val="1ADF7AA2"/>
    <w:rsid w:val="1B046F80"/>
    <w:rsid w:val="1B247258"/>
    <w:rsid w:val="1B3267B5"/>
    <w:rsid w:val="1B40161D"/>
    <w:rsid w:val="1B441859"/>
    <w:rsid w:val="1B52167A"/>
    <w:rsid w:val="1B6606B1"/>
    <w:rsid w:val="1C4A1E0A"/>
    <w:rsid w:val="1C5E7925"/>
    <w:rsid w:val="1CFD070F"/>
    <w:rsid w:val="1D2624F4"/>
    <w:rsid w:val="1D2A5847"/>
    <w:rsid w:val="1D3E00F2"/>
    <w:rsid w:val="1D5F6196"/>
    <w:rsid w:val="1D6132A5"/>
    <w:rsid w:val="1D67608B"/>
    <w:rsid w:val="1D8E56D5"/>
    <w:rsid w:val="1E7A43DA"/>
    <w:rsid w:val="1F14304B"/>
    <w:rsid w:val="1F936BE1"/>
    <w:rsid w:val="1FE7539E"/>
    <w:rsid w:val="20671BE0"/>
    <w:rsid w:val="20755A2E"/>
    <w:rsid w:val="20963CB8"/>
    <w:rsid w:val="20A41DB2"/>
    <w:rsid w:val="20A81A1B"/>
    <w:rsid w:val="20A847C3"/>
    <w:rsid w:val="20B07FB6"/>
    <w:rsid w:val="20B646FB"/>
    <w:rsid w:val="213B74B1"/>
    <w:rsid w:val="213C722F"/>
    <w:rsid w:val="214116AB"/>
    <w:rsid w:val="215A2310"/>
    <w:rsid w:val="21902632"/>
    <w:rsid w:val="21D536EA"/>
    <w:rsid w:val="21DE318A"/>
    <w:rsid w:val="21EF5B80"/>
    <w:rsid w:val="220003F6"/>
    <w:rsid w:val="223B5EEF"/>
    <w:rsid w:val="22576990"/>
    <w:rsid w:val="226B28D3"/>
    <w:rsid w:val="2279239E"/>
    <w:rsid w:val="22862622"/>
    <w:rsid w:val="22F47480"/>
    <w:rsid w:val="23AF316F"/>
    <w:rsid w:val="23B46872"/>
    <w:rsid w:val="23DE1C48"/>
    <w:rsid w:val="240210CD"/>
    <w:rsid w:val="24100CF6"/>
    <w:rsid w:val="24BF09F7"/>
    <w:rsid w:val="24DB20EE"/>
    <w:rsid w:val="252D53FE"/>
    <w:rsid w:val="25EC2D81"/>
    <w:rsid w:val="26010D90"/>
    <w:rsid w:val="2618776F"/>
    <w:rsid w:val="262504A9"/>
    <w:rsid w:val="268A204B"/>
    <w:rsid w:val="26B84AC6"/>
    <w:rsid w:val="26DF03CD"/>
    <w:rsid w:val="27234119"/>
    <w:rsid w:val="27421CD9"/>
    <w:rsid w:val="277057A2"/>
    <w:rsid w:val="27AE586F"/>
    <w:rsid w:val="27D33279"/>
    <w:rsid w:val="284169E9"/>
    <w:rsid w:val="28946C0E"/>
    <w:rsid w:val="290B1A10"/>
    <w:rsid w:val="29206EB8"/>
    <w:rsid w:val="29595666"/>
    <w:rsid w:val="29874881"/>
    <w:rsid w:val="29E325E0"/>
    <w:rsid w:val="2A24494E"/>
    <w:rsid w:val="2A452503"/>
    <w:rsid w:val="2A7F1C4E"/>
    <w:rsid w:val="2A8510F8"/>
    <w:rsid w:val="2B86318B"/>
    <w:rsid w:val="2BA936A8"/>
    <w:rsid w:val="2BB860CA"/>
    <w:rsid w:val="2C230B79"/>
    <w:rsid w:val="2C315A5A"/>
    <w:rsid w:val="2C4B1C25"/>
    <w:rsid w:val="2C56507C"/>
    <w:rsid w:val="2CC3423A"/>
    <w:rsid w:val="2CEA07E5"/>
    <w:rsid w:val="2D0B750F"/>
    <w:rsid w:val="2D2F098C"/>
    <w:rsid w:val="2D9E56F5"/>
    <w:rsid w:val="2DD40208"/>
    <w:rsid w:val="2E61176C"/>
    <w:rsid w:val="2E667F96"/>
    <w:rsid w:val="2E8226AB"/>
    <w:rsid w:val="2EEE6964"/>
    <w:rsid w:val="2EFD0F56"/>
    <w:rsid w:val="2F3445FD"/>
    <w:rsid w:val="2FD065E6"/>
    <w:rsid w:val="2FD96870"/>
    <w:rsid w:val="30580BC9"/>
    <w:rsid w:val="311E2ED7"/>
    <w:rsid w:val="315619EE"/>
    <w:rsid w:val="315C449C"/>
    <w:rsid w:val="317346CE"/>
    <w:rsid w:val="31B82709"/>
    <w:rsid w:val="31D05482"/>
    <w:rsid w:val="31FB2BAF"/>
    <w:rsid w:val="32400B34"/>
    <w:rsid w:val="329E6876"/>
    <w:rsid w:val="32A658FC"/>
    <w:rsid w:val="32AA034D"/>
    <w:rsid w:val="32D73147"/>
    <w:rsid w:val="32EA1FE4"/>
    <w:rsid w:val="333015F2"/>
    <w:rsid w:val="334B6320"/>
    <w:rsid w:val="33613E2E"/>
    <w:rsid w:val="33D934D4"/>
    <w:rsid w:val="33FE2F6A"/>
    <w:rsid w:val="34022683"/>
    <w:rsid w:val="340E07E5"/>
    <w:rsid w:val="34235BF7"/>
    <w:rsid w:val="34915D87"/>
    <w:rsid w:val="34A209D7"/>
    <w:rsid w:val="35084922"/>
    <w:rsid w:val="35111378"/>
    <w:rsid w:val="35527ED3"/>
    <w:rsid w:val="358C5FA8"/>
    <w:rsid w:val="35A579D6"/>
    <w:rsid w:val="35C15DF1"/>
    <w:rsid w:val="35F112E9"/>
    <w:rsid w:val="36074A7F"/>
    <w:rsid w:val="361502FC"/>
    <w:rsid w:val="366651BC"/>
    <w:rsid w:val="36923549"/>
    <w:rsid w:val="36B75FBF"/>
    <w:rsid w:val="36BD0C45"/>
    <w:rsid w:val="371C36EF"/>
    <w:rsid w:val="37A0171A"/>
    <w:rsid w:val="37E00298"/>
    <w:rsid w:val="38623B09"/>
    <w:rsid w:val="38B302F9"/>
    <w:rsid w:val="38F12CD3"/>
    <w:rsid w:val="38F94775"/>
    <w:rsid w:val="39253877"/>
    <w:rsid w:val="392971ED"/>
    <w:rsid w:val="39325651"/>
    <w:rsid w:val="39CA792A"/>
    <w:rsid w:val="39E62997"/>
    <w:rsid w:val="3A223A67"/>
    <w:rsid w:val="3A872856"/>
    <w:rsid w:val="3ADE5C5A"/>
    <w:rsid w:val="3B3763D1"/>
    <w:rsid w:val="3B5A0CE0"/>
    <w:rsid w:val="3C2F6E1E"/>
    <w:rsid w:val="3C4F64BA"/>
    <w:rsid w:val="3CDA245A"/>
    <w:rsid w:val="3D1E06B7"/>
    <w:rsid w:val="3D651D55"/>
    <w:rsid w:val="3DDA7F49"/>
    <w:rsid w:val="3E3F5C2E"/>
    <w:rsid w:val="3E4A6F89"/>
    <w:rsid w:val="3E5829AA"/>
    <w:rsid w:val="3E6D5765"/>
    <w:rsid w:val="3E8F55F3"/>
    <w:rsid w:val="3ED03950"/>
    <w:rsid w:val="3EDA0523"/>
    <w:rsid w:val="3FE041A9"/>
    <w:rsid w:val="40363F4D"/>
    <w:rsid w:val="407A6407"/>
    <w:rsid w:val="40AA6712"/>
    <w:rsid w:val="40D1079E"/>
    <w:rsid w:val="40FD402C"/>
    <w:rsid w:val="4101599A"/>
    <w:rsid w:val="4200449D"/>
    <w:rsid w:val="422957B3"/>
    <w:rsid w:val="423A3BCC"/>
    <w:rsid w:val="424E57D2"/>
    <w:rsid w:val="428B1868"/>
    <w:rsid w:val="42B26C49"/>
    <w:rsid w:val="42C334F8"/>
    <w:rsid w:val="43313725"/>
    <w:rsid w:val="433A6FE6"/>
    <w:rsid w:val="434765EB"/>
    <w:rsid w:val="43480868"/>
    <w:rsid w:val="4350713C"/>
    <w:rsid w:val="436653E0"/>
    <w:rsid w:val="4377323B"/>
    <w:rsid w:val="43C4431A"/>
    <w:rsid w:val="43F51B21"/>
    <w:rsid w:val="442036C1"/>
    <w:rsid w:val="44B951CC"/>
    <w:rsid w:val="44CD14E0"/>
    <w:rsid w:val="44F20B0B"/>
    <w:rsid w:val="452E5F4C"/>
    <w:rsid w:val="45612018"/>
    <w:rsid w:val="458946E9"/>
    <w:rsid w:val="45A47C0E"/>
    <w:rsid w:val="462B4CA6"/>
    <w:rsid w:val="46334861"/>
    <w:rsid w:val="46577FD6"/>
    <w:rsid w:val="46D955A7"/>
    <w:rsid w:val="47133957"/>
    <w:rsid w:val="473F0613"/>
    <w:rsid w:val="4772729A"/>
    <w:rsid w:val="477E6BB4"/>
    <w:rsid w:val="478F48B9"/>
    <w:rsid w:val="47A07E0C"/>
    <w:rsid w:val="480D6AF9"/>
    <w:rsid w:val="4870272E"/>
    <w:rsid w:val="488C32A4"/>
    <w:rsid w:val="48D74EFD"/>
    <w:rsid w:val="494F70BE"/>
    <w:rsid w:val="49C4785C"/>
    <w:rsid w:val="49CE6740"/>
    <w:rsid w:val="49DC7715"/>
    <w:rsid w:val="49E92744"/>
    <w:rsid w:val="4A023139"/>
    <w:rsid w:val="4A0561F8"/>
    <w:rsid w:val="4A0D74B7"/>
    <w:rsid w:val="4A7B576F"/>
    <w:rsid w:val="4AB42C01"/>
    <w:rsid w:val="4ACA0103"/>
    <w:rsid w:val="4AE72633"/>
    <w:rsid w:val="4AF561A9"/>
    <w:rsid w:val="4B49547C"/>
    <w:rsid w:val="4B561EAD"/>
    <w:rsid w:val="4B7268F1"/>
    <w:rsid w:val="4B784609"/>
    <w:rsid w:val="4C491E88"/>
    <w:rsid w:val="4C4A0649"/>
    <w:rsid w:val="4C7E5ECA"/>
    <w:rsid w:val="4C8258F6"/>
    <w:rsid w:val="4C876AA5"/>
    <w:rsid w:val="4D0E00FB"/>
    <w:rsid w:val="4D176606"/>
    <w:rsid w:val="4D9A1372"/>
    <w:rsid w:val="4DC13B4C"/>
    <w:rsid w:val="4DEC4FB0"/>
    <w:rsid w:val="4DF25957"/>
    <w:rsid w:val="4E075D8A"/>
    <w:rsid w:val="4EC00FAD"/>
    <w:rsid w:val="4ECD5572"/>
    <w:rsid w:val="4ED9158A"/>
    <w:rsid w:val="4F0C2A48"/>
    <w:rsid w:val="4F3D3856"/>
    <w:rsid w:val="4F5D14F6"/>
    <w:rsid w:val="4F9843DC"/>
    <w:rsid w:val="4FC62A8C"/>
    <w:rsid w:val="4FE20F0D"/>
    <w:rsid w:val="4FE51552"/>
    <w:rsid w:val="50237609"/>
    <w:rsid w:val="5030457C"/>
    <w:rsid w:val="50504C4B"/>
    <w:rsid w:val="50724B2D"/>
    <w:rsid w:val="507C775A"/>
    <w:rsid w:val="509C6E7C"/>
    <w:rsid w:val="5162104E"/>
    <w:rsid w:val="516F4D50"/>
    <w:rsid w:val="51ED53B0"/>
    <w:rsid w:val="521E6538"/>
    <w:rsid w:val="527E4AAC"/>
    <w:rsid w:val="52A03BD4"/>
    <w:rsid w:val="530F3714"/>
    <w:rsid w:val="53472D9D"/>
    <w:rsid w:val="539C5617"/>
    <w:rsid w:val="53A039CC"/>
    <w:rsid w:val="53A1505A"/>
    <w:rsid w:val="53DF6E8F"/>
    <w:rsid w:val="54063E08"/>
    <w:rsid w:val="542C78A0"/>
    <w:rsid w:val="542F203B"/>
    <w:rsid w:val="543437E8"/>
    <w:rsid w:val="54BA0ADA"/>
    <w:rsid w:val="54BA3040"/>
    <w:rsid w:val="54F73313"/>
    <w:rsid w:val="54F80955"/>
    <w:rsid w:val="54FF7ED7"/>
    <w:rsid w:val="555170A7"/>
    <w:rsid w:val="55616596"/>
    <w:rsid w:val="556D4D3B"/>
    <w:rsid w:val="5587536D"/>
    <w:rsid w:val="559B174B"/>
    <w:rsid w:val="55CA6733"/>
    <w:rsid w:val="55CE0CF4"/>
    <w:rsid w:val="56B22A9C"/>
    <w:rsid w:val="57050C81"/>
    <w:rsid w:val="57B72A76"/>
    <w:rsid w:val="57BD2B55"/>
    <w:rsid w:val="57C3426C"/>
    <w:rsid w:val="57CE1F93"/>
    <w:rsid w:val="587873A1"/>
    <w:rsid w:val="58850761"/>
    <w:rsid w:val="588743D1"/>
    <w:rsid w:val="5887701A"/>
    <w:rsid w:val="589715D5"/>
    <w:rsid w:val="58F159DB"/>
    <w:rsid w:val="5919429B"/>
    <w:rsid w:val="599C3DFC"/>
    <w:rsid w:val="59A805FB"/>
    <w:rsid w:val="59C0439F"/>
    <w:rsid w:val="59C66DD1"/>
    <w:rsid w:val="59CD7278"/>
    <w:rsid w:val="59ED056C"/>
    <w:rsid w:val="5A525CD9"/>
    <w:rsid w:val="5A7B0F3E"/>
    <w:rsid w:val="5A98746F"/>
    <w:rsid w:val="5ABE2233"/>
    <w:rsid w:val="5B273B99"/>
    <w:rsid w:val="5B8D3F77"/>
    <w:rsid w:val="5BDF5D95"/>
    <w:rsid w:val="5BFE7528"/>
    <w:rsid w:val="5C0167C5"/>
    <w:rsid w:val="5C084598"/>
    <w:rsid w:val="5C266BAE"/>
    <w:rsid w:val="5CAB6287"/>
    <w:rsid w:val="5CC514F3"/>
    <w:rsid w:val="5D691DF0"/>
    <w:rsid w:val="5DCB348A"/>
    <w:rsid w:val="5DFC632F"/>
    <w:rsid w:val="5E2467F1"/>
    <w:rsid w:val="5E3D4525"/>
    <w:rsid w:val="5E6261E1"/>
    <w:rsid w:val="5F1A2B43"/>
    <w:rsid w:val="5F8F4BB7"/>
    <w:rsid w:val="5FB4430B"/>
    <w:rsid w:val="5FB837BB"/>
    <w:rsid w:val="5FEF3DA8"/>
    <w:rsid w:val="603A69C2"/>
    <w:rsid w:val="60CC405A"/>
    <w:rsid w:val="60D050F4"/>
    <w:rsid w:val="60FD08C3"/>
    <w:rsid w:val="615114E2"/>
    <w:rsid w:val="618B3D19"/>
    <w:rsid w:val="619D3CFC"/>
    <w:rsid w:val="61C944BC"/>
    <w:rsid w:val="61CA3E75"/>
    <w:rsid w:val="61E215D8"/>
    <w:rsid w:val="621908D4"/>
    <w:rsid w:val="621B3775"/>
    <w:rsid w:val="62364782"/>
    <w:rsid w:val="62773F76"/>
    <w:rsid w:val="628302CE"/>
    <w:rsid w:val="62CE3801"/>
    <w:rsid w:val="6313098B"/>
    <w:rsid w:val="636522D0"/>
    <w:rsid w:val="6394356A"/>
    <w:rsid w:val="639A6376"/>
    <w:rsid w:val="63B3128D"/>
    <w:rsid w:val="63C61B2C"/>
    <w:rsid w:val="63D40BE9"/>
    <w:rsid w:val="64102431"/>
    <w:rsid w:val="64A5243A"/>
    <w:rsid w:val="64F531DE"/>
    <w:rsid w:val="65363F2C"/>
    <w:rsid w:val="65373578"/>
    <w:rsid w:val="65A6487D"/>
    <w:rsid w:val="65E67728"/>
    <w:rsid w:val="66B524C1"/>
    <w:rsid w:val="66DF1DFC"/>
    <w:rsid w:val="66FF66E4"/>
    <w:rsid w:val="670F297B"/>
    <w:rsid w:val="671F124A"/>
    <w:rsid w:val="677A33C6"/>
    <w:rsid w:val="678A632D"/>
    <w:rsid w:val="681F6961"/>
    <w:rsid w:val="682E559E"/>
    <w:rsid w:val="68434E21"/>
    <w:rsid w:val="68610A2F"/>
    <w:rsid w:val="68805514"/>
    <w:rsid w:val="69316E2F"/>
    <w:rsid w:val="694E2071"/>
    <w:rsid w:val="69766163"/>
    <w:rsid w:val="697A3B33"/>
    <w:rsid w:val="699527B5"/>
    <w:rsid w:val="699B1E2F"/>
    <w:rsid w:val="69B43CCD"/>
    <w:rsid w:val="69D44760"/>
    <w:rsid w:val="69D837FB"/>
    <w:rsid w:val="69EA78F3"/>
    <w:rsid w:val="6A4932B7"/>
    <w:rsid w:val="6A520EC7"/>
    <w:rsid w:val="6A7B12F8"/>
    <w:rsid w:val="6ACC6693"/>
    <w:rsid w:val="6AE33665"/>
    <w:rsid w:val="6AF87E20"/>
    <w:rsid w:val="6B322639"/>
    <w:rsid w:val="6B5A1265"/>
    <w:rsid w:val="6B867C48"/>
    <w:rsid w:val="6BAD68E6"/>
    <w:rsid w:val="6C2B555E"/>
    <w:rsid w:val="6C2E1E34"/>
    <w:rsid w:val="6C36516A"/>
    <w:rsid w:val="6C421FDB"/>
    <w:rsid w:val="6C636C38"/>
    <w:rsid w:val="6C840371"/>
    <w:rsid w:val="6D4C3CA3"/>
    <w:rsid w:val="6D89223B"/>
    <w:rsid w:val="6D8A6AD6"/>
    <w:rsid w:val="6DB34098"/>
    <w:rsid w:val="6DB545B6"/>
    <w:rsid w:val="6DE02FB4"/>
    <w:rsid w:val="6E514CED"/>
    <w:rsid w:val="6E7704E4"/>
    <w:rsid w:val="6E907F65"/>
    <w:rsid w:val="6EB563D5"/>
    <w:rsid w:val="6ED92677"/>
    <w:rsid w:val="6F225983"/>
    <w:rsid w:val="6FDA49FF"/>
    <w:rsid w:val="6FF46C0C"/>
    <w:rsid w:val="6FFC5590"/>
    <w:rsid w:val="70531612"/>
    <w:rsid w:val="706D1DD0"/>
    <w:rsid w:val="70856B87"/>
    <w:rsid w:val="708C5CB6"/>
    <w:rsid w:val="70BB79D3"/>
    <w:rsid w:val="70D527EE"/>
    <w:rsid w:val="70E95A76"/>
    <w:rsid w:val="71097952"/>
    <w:rsid w:val="715B5300"/>
    <w:rsid w:val="71D27F8A"/>
    <w:rsid w:val="71D31398"/>
    <w:rsid w:val="722F54CB"/>
    <w:rsid w:val="72553024"/>
    <w:rsid w:val="730E1CB1"/>
    <w:rsid w:val="73122968"/>
    <w:rsid w:val="731F5D5E"/>
    <w:rsid w:val="732945ED"/>
    <w:rsid w:val="73C51AD5"/>
    <w:rsid w:val="73D47729"/>
    <w:rsid w:val="73EF4DC8"/>
    <w:rsid w:val="74004EB4"/>
    <w:rsid w:val="741A24D8"/>
    <w:rsid w:val="741E793C"/>
    <w:rsid w:val="74360825"/>
    <w:rsid w:val="745E3944"/>
    <w:rsid w:val="747868FE"/>
    <w:rsid w:val="747A48F2"/>
    <w:rsid w:val="74AE1553"/>
    <w:rsid w:val="74CA5A70"/>
    <w:rsid w:val="7537580E"/>
    <w:rsid w:val="75546D59"/>
    <w:rsid w:val="755936B8"/>
    <w:rsid w:val="7561642C"/>
    <w:rsid w:val="75F010E9"/>
    <w:rsid w:val="7635099D"/>
    <w:rsid w:val="766E26E9"/>
    <w:rsid w:val="76F11890"/>
    <w:rsid w:val="77140B2C"/>
    <w:rsid w:val="7748289E"/>
    <w:rsid w:val="77762421"/>
    <w:rsid w:val="778F230D"/>
    <w:rsid w:val="77B56B1F"/>
    <w:rsid w:val="780F09F4"/>
    <w:rsid w:val="78544995"/>
    <w:rsid w:val="78A90480"/>
    <w:rsid w:val="78C81FFA"/>
    <w:rsid w:val="7982370D"/>
    <w:rsid w:val="799F56F3"/>
    <w:rsid w:val="7A364017"/>
    <w:rsid w:val="7A3D5092"/>
    <w:rsid w:val="7A625323"/>
    <w:rsid w:val="7A8265E1"/>
    <w:rsid w:val="7B13767A"/>
    <w:rsid w:val="7B501290"/>
    <w:rsid w:val="7B686D42"/>
    <w:rsid w:val="7B841746"/>
    <w:rsid w:val="7C2E532D"/>
    <w:rsid w:val="7C6C5AC7"/>
    <w:rsid w:val="7CC6544B"/>
    <w:rsid w:val="7D0239FF"/>
    <w:rsid w:val="7D1C734F"/>
    <w:rsid w:val="7D575C62"/>
    <w:rsid w:val="7D5E40CD"/>
    <w:rsid w:val="7DCD56F2"/>
    <w:rsid w:val="7E271525"/>
    <w:rsid w:val="7E8E4A25"/>
    <w:rsid w:val="7EC94EA3"/>
    <w:rsid w:val="7EFA54C4"/>
    <w:rsid w:val="7F001CE7"/>
    <w:rsid w:val="7F266A80"/>
    <w:rsid w:val="7F466FB7"/>
    <w:rsid w:val="7FA20F73"/>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numPr>
        <w:ilvl w:val="1"/>
        <w:numId w:val="1"/>
      </w:numPr>
      <w:spacing w:line="360" w:lineRule="auto"/>
      <w:outlineLvl w:val="1"/>
    </w:pPr>
    <w:rPr>
      <w:b/>
      <w:bCs/>
      <w:kern w:val="0"/>
      <w:sz w:val="28"/>
      <w:szCs w:val="28"/>
    </w:rPr>
  </w:style>
  <w:style w:type="paragraph" w:styleId="4">
    <w:name w:val="heading 3"/>
    <w:basedOn w:val="1"/>
    <w:next w:val="1"/>
    <w:autoRedefine/>
    <w:qFormat/>
    <w:locked/>
    <w:uiPriority w:val="0"/>
    <w:pPr>
      <w:keepNext/>
      <w:keepLines/>
      <w:ind w:firstLine="0"/>
      <w:outlineLvl w:val="2"/>
    </w:pPr>
  </w:style>
  <w:style w:type="paragraph" w:styleId="5">
    <w:name w:val="heading 4"/>
    <w:basedOn w:val="1"/>
    <w:next w:val="1"/>
    <w:autoRedefine/>
    <w:qFormat/>
    <w:locked/>
    <w:uiPriority w:val="0"/>
    <w:pPr>
      <w:keepNext/>
      <w:keepLines/>
      <w:numPr>
        <w:ilvl w:val="3"/>
        <w:numId w:val="2"/>
      </w:numPr>
      <w:spacing w:line="360" w:lineRule="auto"/>
      <w:jc w:val="left"/>
      <w:outlineLvl w:val="3"/>
    </w:pPr>
    <w:rPr>
      <w:rFonts w:ascii="Times New Roman" w:hAnsi="Times New Roman"/>
      <w:bCs/>
      <w:sz w:val="24"/>
    </w:rPr>
  </w:style>
  <w:style w:type="character" w:default="1" w:styleId="29">
    <w:name w:val="Default Paragraph Font"/>
    <w:link w:val="30"/>
    <w:autoRedefine/>
    <w:semiHidden/>
    <w:qFormat/>
    <w:uiPriority w:val="0"/>
    <w:rPr>
      <w:rFonts w:ascii="宋体" w:hAnsi="宋体" w:eastAsia="宋体" w:cs="Courier New"/>
      <w:sz w:val="32"/>
      <w:szCs w:val="32"/>
    </w:rPr>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6">
    <w:name w:val="List 3"/>
    <w:basedOn w:val="1"/>
    <w:autoRedefine/>
    <w:qFormat/>
    <w:locked/>
    <w:uiPriority w:val="0"/>
    <w:pPr>
      <w:ind w:left="100" w:leftChars="400" w:hanging="200" w:hangingChars="200"/>
      <w:contextualSpacing/>
    </w:pPr>
  </w:style>
  <w:style w:type="paragraph" w:styleId="7">
    <w:name w:val="Note Heading"/>
    <w:basedOn w:val="1"/>
    <w:next w:val="1"/>
    <w:autoRedefine/>
    <w:qFormat/>
    <w:locked/>
    <w:uiPriority w:val="0"/>
    <w:pPr>
      <w:widowControl w:val="0"/>
      <w:jc w:val="left"/>
    </w:pPr>
    <w:rPr>
      <w:rFonts w:ascii="Times New Roman" w:hAnsi="Times New Roman" w:eastAsia="宋体" w:cs="Times New Roman"/>
      <w:kern w:val="2"/>
      <w:sz w:val="21"/>
      <w:szCs w:val="24"/>
      <w:lang w:val="en-US" w:eastAsia="zh-CN" w:bidi="ar-SA"/>
    </w:rPr>
  </w:style>
  <w:style w:type="paragraph" w:styleId="8">
    <w:name w:val="Normal Indent"/>
    <w:basedOn w:val="1"/>
    <w:next w:val="1"/>
    <w:autoRedefine/>
    <w:qFormat/>
    <w:locked/>
    <w:uiPriority w:val="0"/>
    <w:pPr>
      <w:ind w:firstLine="420"/>
    </w:pPr>
  </w:style>
  <w:style w:type="paragraph" w:styleId="9">
    <w:name w:val="caption"/>
    <w:basedOn w:val="1"/>
    <w:next w:val="1"/>
    <w:autoRedefine/>
    <w:qFormat/>
    <w:locked/>
    <w:uiPriority w:val="0"/>
    <w:pPr>
      <w:spacing w:before="152" w:after="160" w:line="460" w:lineRule="exact"/>
      <w:ind w:firstLine="561" w:firstLineChars="200"/>
    </w:pPr>
    <w:rPr>
      <w:rFonts w:ascii="宋体" w:hAnsi="宋体" w:eastAsia="宋体"/>
      <w:b/>
      <w:bCs/>
    </w:rPr>
  </w:style>
  <w:style w:type="paragraph" w:styleId="10">
    <w:name w:val="annotation text"/>
    <w:basedOn w:val="1"/>
    <w:link w:val="36"/>
    <w:autoRedefine/>
    <w:semiHidden/>
    <w:qFormat/>
    <w:uiPriority w:val="0"/>
    <w:pPr>
      <w:jc w:val="left"/>
    </w:pPr>
    <w:rPr>
      <w:kern w:val="0"/>
      <w:sz w:val="24"/>
      <w:szCs w:val="20"/>
    </w:rPr>
  </w:style>
  <w:style w:type="paragraph" w:styleId="11">
    <w:name w:val="Salutation"/>
    <w:next w:val="1"/>
    <w:autoRedefine/>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2">
    <w:name w:val="Body Text"/>
    <w:basedOn w:val="1"/>
    <w:link w:val="37"/>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link w:val="38"/>
    <w:autoRedefine/>
    <w:qFormat/>
    <w:uiPriority w:val="0"/>
    <w:pPr>
      <w:spacing w:after="120"/>
      <w:ind w:left="420" w:leftChars="200"/>
    </w:pPr>
    <w:rPr>
      <w:kern w:val="0"/>
      <w:sz w:val="24"/>
      <w:szCs w:val="20"/>
    </w:rPr>
  </w:style>
  <w:style w:type="paragraph" w:styleId="14">
    <w:name w:val="index 4"/>
    <w:basedOn w:val="1"/>
    <w:next w:val="1"/>
    <w:autoRedefine/>
    <w:qFormat/>
    <w:locked/>
    <w:uiPriority w:val="0"/>
    <w:pPr>
      <w:ind w:left="600" w:leftChars="600"/>
    </w:pPr>
    <w:rPr>
      <w:sz w:val="21"/>
    </w:rPr>
  </w:style>
  <w:style w:type="paragraph" w:styleId="15">
    <w:name w:val="Plain Text"/>
    <w:basedOn w:val="1"/>
    <w:autoRedefine/>
    <w:qFormat/>
    <w:locked/>
    <w:uiPriority w:val="0"/>
    <w:pPr>
      <w:ind w:firstLine="0"/>
    </w:pPr>
    <w:rPr>
      <w:rFonts w:ascii="宋体" w:hAnsi="Courier New"/>
      <w:sz w:val="24"/>
    </w:rPr>
  </w:style>
  <w:style w:type="paragraph" w:styleId="16">
    <w:name w:val="Date"/>
    <w:basedOn w:val="1"/>
    <w:next w:val="1"/>
    <w:link w:val="40"/>
    <w:autoRedefine/>
    <w:qFormat/>
    <w:uiPriority w:val="0"/>
    <w:pPr>
      <w:ind w:left="100" w:leftChars="2500"/>
    </w:pPr>
    <w:rPr>
      <w:kern w:val="0"/>
      <w:sz w:val="24"/>
      <w:szCs w:val="20"/>
    </w:rPr>
  </w:style>
  <w:style w:type="paragraph" w:styleId="17">
    <w:name w:val="Balloon Text"/>
    <w:basedOn w:val="1"/>
    <w:link w:val="41"/>
    <w:autoRedefine/>
    <w:semiHidden/>
    <w:qFormat/>
    <w:uiPriority w:val="0"/>
    <w:rPr>
      <w:kern w:val="0"/>
      <w:sz w:val="18"/>
      <w:szCs w:val="20"/>
    </w:rPr>
  </w:style>
  <w:style w:type="paragraph" w:styleId="18">
    <w:name w:val="footer"/>
    <w:basedOn w:val="1"/>
    <w:link w:val="42"/>
    <w:autoRedefine/>
    <w:qFormat/>
    <w:uiPriority w:val="99"/>
    <w:pPr>
      <w:tabs>
        <w:tab w:val="center" w:pos="4153"/>
        <w:tab w:val="right" w:pos="8306"/>
      </w:tabs>
      <w:snapToGrid w:val="0"/>
      <w:jc w:val="left"/>
    </w:pPr>
    <w:rPr>
      <w:kern w:val="0"/>
      <w:sz w:val="18"/>
      <w:szCs w:val="20"/>
    </w:rPr>
  </w:style>
  <w:style w:type="paragraph" w:styleId="19">
    <w:name w:val="header"/>
    <w:basedOn w:val="1"/>
    <w:link w:val="39"/>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qFormat/>
    <w:locked/>
    <w:uiPriority w:val="0"/>
  </w:style>
  <w:style w:type="paragraph" w:styleId="21">
    <w:name w:val="List"/>
    <w:basedOn w:val="1"/>
    <w:autoRedefine/>
    <w:qFormat/>
    <w:locked/>
    <w:uiPriority w:val="0"/>
    <w:pPr>
      <w:ind w:left="200" w:hanging="200" w:hangingChars="200"/>
    </w:pPr>
  </w:style>
  <w:style w:type="paragraph" w:styleId="22">
    <w:name w:val="Normal (Web)"/>
    <w:basedOn w:val="1"/>
    <w:link w:val="43"/>
    <w:autoRedefine/>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next w:val="1"/>
    <w:autoRedefine/>
    <w:qFormat/>
    <w:locked/>
    <w:uiPriority w:val="0"/>
    <w:pPr>
      <w:spacing w:before="240" w:after="60"/>
      <w:jc w:val="center"/>
      <w:outlineLvl w:val="0"/>
    </w:pPr>
    <w:rPr>
      <w:rFonts w:ascii="Cambria" w:hAnsi="Cambria" w:eastAsia="方正小标宋简体"/>
      <w:bCs/>
      <w:spacing w:val="0"/>
      <w:kern w:val="0"/>
      <w:sz w:val="36"/>
      <w:szCs w:val="32"/>
    </w:rPr>
  </w:style>
  <w:style w:type="paragraph" w:styleId="24">
    <w:name w:val="annotation subject"/>
    <w:basedOn w:val="10"/>
    <w:next w:val="10"/>
    <w:link w:val="44"/>
    <w:autoRedefine/>
    <w:semiHidden/>
    <w:qFormat/>
    <w:uiPriority w:val="0"/>
    <w:rPr>
      <w:b/>
      <w:sz w:val="24"/>
      <w:szCs w:val="20"/>
    </w:rPr>
  </w:style>
  <w:style w:type="paragraph" w:styleId="25">
    <w:name w:val="Body Text First Indent"/>
    <w:basedOn w:val="12"/>
    <w:next w:val="1"/>
    <w:autoRedefine/>
    <w:qFormat/>
    <w:locked/>
    <w:uiPriority w:val="0"/>
    <w:pPr>
      <w:ind w:firstLine="640" w:firstLineChars="200"/>
    </w:pPr>
    <w:rPr>
      <w:rFonts w:ascii="Times New Roman" w:hAnsi="Times New Roman" w:eastAsia="宋体"/>
    </w:rPr>
  </w:style>
  <w:style w:type="paragraph" w:styleId="26">
    <w:name w:val="Body Text First Indent 2"/>
    <w:basedOn w:val="13"/>
    <w:next w:val="1"/>
    <w:autoRedefine/>
    <w:qFormat/>
    <w:locked/>
    <w:uiPriority w:val="0"/>
    <w:pPr>
      <w:ind w:firstLine="420" w:firstLineChars="200"/>
    </w:pPr>
  </w:style>
  <w:style w:type="table" w:styleId="28">
    <w:name w:val="Table Grid"/>
    <w:basedOn w:val="27"/>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 Char Char Char Char Char Char Char Char Char1 Char"/>
    <w:basedOn w:val="1"/>
    <w:link w:val="29"/>
    <w:autoRedefine/>
    <w:semiHidden/>
    <w:qFormat/>
    <w:uiPriority w:val="0"/>
    <w:pPr>
      <w:ind w:firstLine="0"/>
    </w:pPr>
    <w:rPr>
      <w:rFonts w:ascii="宋体" w:hAnsi="宋体" w:eastAsia="宋体" w:cs="Courier New"/>
      <w:sz w:val="32"/>
      <w:szCs w:val="32"/>
    </w:rPr>
  </w:style>
  <w:style w:type="character" w:styleId="31">
    <w:name w:val="page number"/>
    <w:basedOn w:val="29"/>
    <w:autoRedefine/>
    <w:qFormat/>
    <w:locked/>
    <w:uiPriority w:val="0"/>
  </w:style>
  <w:style w:type="character" w:styleId="32">
    <w:name w:val="Hyperlink"/>
    <w:basedOn w:val="29"/>
    <w:autoRedefine/>
    <w:qFormat/>
    <w:locked/>
    <w:uiPriority w:val="0"/>
    <w:rPr>
      <w:color w:val="0000FF"/>
      <w:u w:val="single"/>
    </w:rPr>
  </w:style>
  <w:style w:type="character" w:styleId="33">
    <w:name w:val="annotation reference"/>
    <w:basedOn w:val="29"/>
    <w:autoRedefine/>
    <w:semiHidden/>
    <w:qFormat/>
    <w:uiPriority w:val="0"/>
    <w:rPr>
      <w:sz w:val="21"/>
    </w:rPr>
  </w:style>
  <w:style w:type="paragraph" w:customStyle="1" w:styleId="34">
    <w:name w:val="样式 正文文本 + 首行缩进:  2 字符"/>
    <w:basedOn w:val="12"/>
    <w:qFormat/>
    <w:uiPriority w:val="0"/>
    <w:pPr>
      <w:widowControl w:val="0"/>
      <w:snapToGrid/>
      <w:spacing w:before="0" w:after="0" w:line="540" w:lineRule="exact"/>
      <w:ind w:right="0"/>
      <w:jc w:val="center"/>
    </w:pPr>
    <w:rPr>
      <w:rFonts w:ascii="黑体" w:hAnsi="黑体" w:eastAsia="黑体"/>
      <w:b/>
      <w:kern w:val="2"/>
      <w:sz w:val="24"/>
      <w:szCs w:val="22"/>
    </w:rPr>
  </w:style>
  <w:style w:type="paragraph" w:customStyle="1" w:styleId="35">
    <w:name w:val="样式2"/>
    <w:basedOn w:val="14"/>
    <w:next w:val="5"/>
    <w:autoRedefine/>
    <w:qFormat/>
    <w:uiPriority w:val="0"/>
    <w:pPr>
      <w:spacing w:line="360" w:lineRule="auto"/>
      <w:ind w:firstLine="482" w:firstLineChars="200"/>
    </w:pPr>
    <w:rPr>
      <w:b/>
      <w:sz w:val="24"/>
    </w:rPr>
  </w:style>
  <w:style w:type="character" w:customStyle="1" w:styleId="36">
    <w:name w:val="批注文字 Char"/>
    <w:link w:val="10"/>
    <w:autoRedefine/>
    <w:qFormat/>
    <w:locked/>
    <w:uiPriority w:val="0"/>
    <w:rPr>
      <w:rFonts w:ascii="Times New Roman" w:hAnsi="Times New Roman" w:eastAsia="宋体"/>
      <w:sz w:val="24"/>
    </w:rPr>
  </w:style>
  <w:style w:type="character" w:customStyle="1" w:styleId="37">
    <w:name w:val="正文文本 Char"/>
    <w:link w:val="12"/>
    <w:autoRedefine/>
    <w:qFormat/>
    <w:locked/>
    <w:uiPriority w:val="0"/>
    <w:rPr>
      <w:sz w:val="18"/>
    </w:rPr>
  </w:style>
  <w:style w:type="character" w:customStyle="1" w:styleId="38">
    <w:name w:val="正文文本缩进 Char1"/>
    <w:basedOn w:val="29"/>
    <w:link w:val="13"/>
    <w:autoRedefine/>
    <w:qFormat/>
    <w:uiPriority w:val="0"/>
    <w:rPr>
      <w:rFonts w:ascii="宋体" w:hAnsi="宋体" w:eastAsia="仿宋_GB2312" w:cs="Courier New"/>
      <w:kern w:val="2"/>
      <w:sz w:val="28"/>
      <w:szCs w:val="32"/>
      <w:lang w:val="en-US" w:eastAsia="zh-CN" w:bidi="ar-SA"/>
    </w:rPr>
  </w:style>
  <w:style w:type="character" w:customStyle="1" w:styleId="39">
    <w:name w:val="页眉 Char"/>
    <w:link w:val="19"/>
    <w:autoRedefine/>
    <w:qFormat/>
    <w:locked/>
    <w:uiPriority w:val="0"/>
    <w:rPr>
      <w:sz w:val="18"/>
    </w:rPr>
  </w:style>
  <w:style w:type="character" w:customStyle="1" w:styleId="40">
    <w:name w:val="日期 Char"/>
    <w:link w:val="16"/>
    <w:autoRedefine/>
    <w:qFormat/>
    <w:locked/>
    <w:uiPriority w:val="0"/>
    <w:rPr>
      <w:rFonts w:ascii="Times New Roman" w:hAnsi="Times New Roman" w:eastAsia="宋体"/>
      <w:sz w:val="24"/>
    </w:rPr>
  </w:style>
  <w:style w:type="character" w:customStyle="1" w:styleId="41">
    <w:name w:val="批注框文本 Char"/>
    <w:link w:val="17"/>
    <w:autoRedefine/>
    <w:semiHidden/>
    <w:qFormat/>
    <w:locked/>
    <w:uiPriority w:val="0"/>
    <w:rPr>
      <w:rFonts w:ascii="Times New Roman" w:hAnsi="Times New Roman" w:eastAsia="宋体"/>
      <w:sz w:val="18"/>
    </w:rPr>
  </w:style>
  <w:style w:type="character" w:customStyle="1" w:styleId="42">
    <w:name w:val="页脚 Char"/>
    <w:link w:val="18"/>
    <w:autoRedefine/>
    <w:qFormat/>
    <w:locked/>
    <w:uiPriority w:val="99"/>
    <w:rPr>
      <w:sz w:val="18"/>
    </w:rPr>
  </w:style>
  <w:style w:type="character" w:customStyle="1" w:styleId="43">
    <w:name w:val="普通(网站) Char"/>
    <w:link w:val="22"/>
    <w:autoRedefine/>
    <w:qFormat/>
    <w:locked/>
    <w:uiPriority w:val="0"/>
    <w:rPr>
      <w:rFonts w:ascii="宋体" w:hAnsi="宋体" w:eastAsia="宋体"/>
      <w:sz w:val="24"/>
    </w:rPr>
  </w:style>
  <w:style w:type="character" w:customStyle="1" w:styleId="44">
    <w:name w:val="批注主题 Char"/>
    <w:link w:val="24"/>
    <w:autoRedefine/>
    <w:semiHidden/>
    <w:qFormat/>
    <w:locked/>
    <w:uiPriority w:val="0"/>
    <w:rPr>
      <w:rFonts w:ascii="Times New Roman" w:hAnsi="Times New Roman" w:eastAsia="宋体"/>
      <w:b/>
      <w:kern w:val="2"/>
      <w:sz w:val="24"/>
    </w:rPr>
  </w:style>
  <w:style w:type="paragraph" w:customStyle="1" w:styleId="45">
    <w:name w:val="样式 正文文本缩进 + 行距: 1.5 倍行距"/>
    <w:basedOn w:val="1"/>
    <w:autoRedefine/>
    <w:qFormat/>
    <w:uiPriority w:val="0"/>
    <w:pPr>
      <w:spacing w:after="120" w:line="360" w:lineRule="auto"/>
      <w:ind w:left="90" w:leftChars="32" w:firstLine="560" w:firstLineChars="200"/>
    </w:pPr>
    <w:rPr>
      <w:rFonts w:cs="宋体"/>
      <w:sz w:val="24"/>
    </w:rPr>
  </w:style>
  <w:style w:type="character" w:customStyle="1" w:styleId="46">
    <w:name w:val="样式 zhang正文 + 宋体 小四 Char"/>
    <w:basedOn w:val="47"/>
    <w:link w:val="49"/>
    <w:autoRedefine/>
    <w:qFormat/>
    <w:uiPriority w:val="0"/>
    <w:rPr>
      <w:rFonts w:ascii="宋体" w:hAnsi="宋体" w:eastAsia="宋体"/>
      <w:sz w:val="24"/>
    </w:rPr>
  </w:style>
  <w:style w:type="character" w:customStyle="1" w:styleId="47">
    <w:name w:val="zhang正文 Char1"/>
    <w:basedOn w:val="38"/>
    <w:link w:val="48"/>
    <w:autoRedefine/>
    <w:qFormat/>
    <w:uiPriority w:val="0"/>
    <w:rPr>
      <w:rFonts w:eastAsia="楷体_GB2312"/>
      <w:kern w:val="0"/>
    </w:rPr>
  </w:style>
  <w:style w:type="paragraph" w:customStyle="1" w:styleId="48">
    <w:name w:val="zhang正文"/>
    <w:basedOn w:val="13"/>
    <w:next w:val="1"/>
    <w:link w:val="47"/>
    <w:autoRedefine/>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49">
    <w:name w:val="样式 zhang正文 + 宋体 小四"/>
    <w:basedOn w:val="48"/>
    <w:link w:val="46"/>
    <w:autoRedefine/>
    <w:qFormat/>
    <w:uiPriority w:val="0"/>
    <w:rPr>
      <w:rFonts w:ascii="宋体" w:hAnsi="宋体" w:eastAsia="宋体"/>
      <w:sz w:val="24"/>
    </w:rPr>
  </w:style>
  <w:style w:type="character" w:customStyle="1" w:styleId="50">
    <w:name w:val="正文文本 字符1"/>
    <w:autoRedefine/>
    <w:semiHidden/>
    <w:qFormat/>
    <w:uiPriority w:val="0"/>
    <w:rPr>
      <w:rFonts w:ascii="Times New Roman" w:hAnsi="Times New Roman" w:eastAsia="宋体"/>
      <w:sz w:val="24"/>
    </w:rPr>
  </w:style>
  <w:style w:type="character" w:customStyle="1" w:styleId="51">
    <w:name w:val="font51"/>
    <w:basedOn w:val="29"/>
    <w:autoRedefine/>
    <w:qFormat/>
    <w:uiPriority w:val="0"/>
    <w:rPr>
      <w:rFonts w:hint="eastAsia" w:ascii="微软雅黑" w:hAnsi="微软雅黑" w:eastAsia="微软雅黑" w:cs="微软雅黑"/>
      <w:color w:val="333333"/>
      <w:sz w:val="24"/>
      <w:szCs w:val="24"/>
      <w:u w:val="none"/>
    </w:rPr>
  </w:style>
  <w:style w:type="character" w:customStyle="1" w:styleId="52">
    <w:name w:val="5文章(治) Char1"/>
    <w:autoRedefine/>
    <w:qFormat/>
    <w:uiPriority w:val="0"/>
    <w:rPr>
      <w:rFonts w:ascii="Arial" w:hAnsi="Arial" w:eastAsia="宋体" w:cs="Tahoma"/>
      <w:snapToGrid w:val="0"/>
      <w:sz w:val="24"/>
      <w:szCs w:val="21"/>
      <w:lang w:val="en-US" w:eastAsia="zh-CN" w:bidi="ar-SA"/>
    </w:rPr>
  </w:style>
  <w:style w:type="character" w:customStyle="1" w:styleId="53">
    <w:name w:val="正文文本缩进 Char"/>
    <w:basedOn w:val="29"/>
    <w:autoRedefine/>
    <w:semiHidden/>
    <w:qFormat/>
    <w:locked/>
    <w:uiPriority w:val="0"/>
    <w:rPr>
      <w:rFonts w:ascii="Times New Roman" w:hAnsi="Times New Roman" w:eastAsia="宋体"/>
      <w:sz w:val="24"/>
    </w:rPr>
  </w:style>
  <w:style w:type="character" w:customStyle="1" w:styleId="54">
    <w:name w:val="批注文字 字符1"/>
    <w:autoRedefine/>
    <w:semiHidden/>
    <w:qFormat/>
    <w:uiPriority w:val="0"/>
    <w:rPr>
      <w:rFonts w:ascii="Times New Roman" w:hAnsi="Times New Roman" w:eastAsia="宋体"/>
      <w:sz w:val="24"/>
    </w:rPr>
  </w:style>
  <w:style w:type="character" w:customStyle="1" w:styleId="55">
    <w:name w:val="日期 字符"/>
    <w:autoRedefine/>
    <w:semiHidden/>
    <w:qFormat/>
    <w:uiPriority w:val="0"/>
    <w:rPr>
      <w:rFonts w:ascii="Times New Roman" w:hAnsi="Times New Roman" w:eastAsia="宋体"/>
      <w:sz w:val="24"/>
    </w:rPr>
  </w:style>
  <w:style w:type="character" w:customStyle="1" w:styleId="56">
    <w:name w:val="页脚 字符"/>
    <w:basedOn w:val="29"/>
    <w:autoRedefine/>
    <w:qFormat/>
    <w:uiPriority w:val="99"/>
  </w:style>
  <w:style w:type="character" w:customStyle="1" w:styleId="57">
    <w:name w:val="表格 Char"/>
    <w:link w:val="58"/>
    <w:autoRedefine/>
    <w:qFormat/>
    <w:locked/>
    <w:uiPriority w:val="0"/>
    <w:rPr>
      <w:rFonts w:ascii="宋体"/>
      <w:sz w:val="21"/>
    </w:rPr>
  </w:style>
  <w:style w:type="paragraph" w:customStyle="1" w:styleId="58">
    <w:name w:val="表格"/>
    <w:basedOn w:val="59"/>
    <w:next w:val="1"/>
    <w:link w:val="57"/>
    <w:autoRedefine/>
    <w:qFormat/>
    <w:uiPriority w:val="0"/>
    <w:pPr>
      <w:adjustRightInd w:val="0"/>
      <w:snapToGrid w:val="0"/>
      <w:spacing w:beforeLines="10" w:afterLines="10" w:line="259" w:lineRule="auto"/>
      <w:jc w:val="center"/>
    </w:pPr>
    <w:rPr>
      <w:rFonts w:ascii="宋体"/>
      <w:kern w:val="0"/>
      <w:szCs w:val="20"/>
    </w:rPr>
  </w:style>
  <w:style w:type="paragraph" w:customStyle="1" w:styleId="59">
    <w:name w:val="三化正文文本"/>
    <w:autoRedefine/>
    <w:qFormat/>
    <w:uiPriority w:val="0"/>
    <w:pPr>
      <w:widowControl w:val="0"/>
      <w:adjustRightInd w:val="0"/>
      <w:snapToGrid w:val="0"/>
      <w:spacing w:line="42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60">
    <w:name w:val="font61"/>
    <w:basedOn w:val="29"/>
    <w:autoRedefine/>
    <w:qFormat/>
    <w:uiPriority w:val="0"/>
    <w:rPr>
      <w:rFonts w:hint="eastAsia" w:ascii="宋体" w:hAnsi="宋体" w:eastAsia="宋体" w:cs="宋体"/>
      <w:color w:val="333333"/>
      <w:sz w:val="24"/>
      <w:szCs w:val="24"/>
      <w:u w:val="none"/>
    </w:rPr>
  </w:style>
  <w:style w:type="character" w:customStyle="1" w:styleId="61">
    <w:name w:val="Font Style92"/>
    <w:autoRedefine/>
    <w:qFormat/>
    <w:uiPriority w:val="0"/>
    <w:rPr>
      <w:rFonts w:ascii="宋体" w:eastAsia="宋体" w:cs="宋体"/>
      <w:spacing w:val="10"/>
      <w:sz w:val="26"/>
      <w:szCs w:val="26"/>
    </w:rPr>
  </w:style>
  <w:style w:type="paragraph" w:customStyle="1" w:styleId="62">
    <w:name w:val="表格名称"/>
    <w:basedOn w:val="1"/>
    <w:autoRedefine/>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63">
    <w:name w:val="环评 表格"/>
    <w:basedOn w:val="64"/>
    <w:autoRedefine/>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64">
    <w:name w:val="无间隔1"/>
    <w:autoRedefine/>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65">
    <w:name w:val="表格内正文1"/>
    <w:basedOn w:val="1"/>
    <w:next w:val="1"/>
    <w:autoRedefine/>
    <w:qFormat/>
    <w:uiPriority w:val="0"/>
    <w:pPr>
      <w:adjustRightInd w:val="0"/>
      <w:snapToGrid w:val="0"/>
      <w:jc w:val="center"/>
    </w:pPr>
    <w:rPr>
      <w:rFonts w:ascii="Times New Roman" w:hAnsi="Times New Roman"/>
      <w:sz w:val="21"/>
    </w:rPr>
  </w:style>
  <w:style w:type="paragraph" w:customStyle="1" w:styleId="66">
    <w:name w:val="表格标题"/>
    <w:basedOn w:val="1"/>
    <w:next w:val="1"/>
    <w:autoRedefine/>
    <w:qFormat/>
    <w:uiPriority w:val="0"/>
    <w:pPr>
      <w:numPr>
        <w:ilvl w:val="0"/>
        <w:numId w:val="3"/>
      </w:numPr>
      <w:spacing w:line="360" w:lineRule="auto"/>
      <w:ind w:left="0" w:firstLine="0"/>
      <w:jc w:val="center"/>
      <w:outlineLvl w:val="4"/>
    </w:pPr>
    <w:rPr>
      <w:b/>
      <w:kern w:val="0"/>
      <w:sz w:val="24"/>
    </w:rPr>
  </w:style>
  <w:style w:type="paragraph" w:customStyle="1" w:styleId="67">
    <w:name w:val="表格文字"/>
    <w:basedOn w:val="8"/>
    <w:autoRedefine/>
    <w:qFormat/>
    <w:uiPriority w:val="0"/>
    <w:pPr>
      <w:ind w:firstLine="0"/>
      <w:jc w:val="center"/>
    </w:pPr>
    <w:rPr>
      <w:rFonts w:eastAsia="宋体"/>
      <w:sz w:val="18"/>
      <w:szCs w:val="18"/>
    </w:rPr>
  </w:style>
  <w:style w:type="paragraph" w:customStyle="1" w:styleId="68">
    <w:name w:val="Default"/>
    <w:basedOn w:val="69"/>
    <w:next w:val="6"/>
    <w:autoRedefine/>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69">
    <w:name w:val="纯文本1"/>
    <w:basedOn w:val="1"/>
    <w:next w:val="15"/>
    <w:autoRedefine/>
    <w:qFormat/>
    <w:uiPriority w:val="99"/>
    <w:rPr>
      <w:rFonts w:ascii="宋体" w:hAnsi="Courier New" w:eastAsia="宋体" w:cs="黑体"/>
      <w:szCs w:val="21"/>
    </w:rPr>
  </w:style>
  <w:style w:type="paragraph" w:customStyle="1" w:styleId="70">
    <w:name w:val="图表标题"/>
    <w:basedOn w:val="1"/>
    <w:autoRedefine/>
    <w:qFormat/>
    <w:uiPriority w:val="0"/>
    <w:pPr>
      <w:spacing w:line="240" w:lineRule="auto"/>
      <w:ind w:firstLine="0" w:firstLineChars="0"/>
      <w:jc w:val="center"/>
    </w:pPr>
    <w:rPr>
      <w:b/>
      <w:bCs/>
      <w:szCs w:val="24"/>
    </w:rPr>
  </w:style>
  <w:style w:type="paragraph" w:customStyle="1" w:styleId="71">
    <w:name w:val="BGZX"/>
    <w:next w:val="1"/>
    <w:autoRedefine/>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72">
    <w:name w:val="正文（无网格）"/>
    <w:basedOn w:val="1"/>
    <w:autoRedefine/>
    <w:qFormat/>
    <w:uiPriority w:val="0"/>
    <w:pPr>
      <w:adjustRightInd w:val="0"/>
      <w:snapToGrid w:val="0"/>
      <w:spacing w:line="360" w:lineRule="auto"/>
      <w:ind w:firstLine="480" w:firstLineChars="200"/>
    </w:pPr>
    <w:rPr>
      <w:rFonts w:cs="宋体"/>
      <w:sz w:val="24"/>
      <w:szCs w:val="20"/>
    </w:rPr>
  </w:style>
  <w:style w:type="paragraph" w:customStyle="1" w:styleId="73">
    <w:name w:val="表中正文"/>
    <w:basedOn w:val="1"/>
    <w:autoRedefine/>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74">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5">
    <w:name w:val="样式 宋体 两端对齐 首行缩进:  2 字符"/>
    <w:basedOn w:val="1"/>
    <w:autoRedefine/>
    <w:qFormat/>
    <w:uiPriority w:val="0"/>
    <w:pPr>
      <w:spacing w:line="360" w:lineRule="auto"/>
      <w:ind w:firstLine="480" w:firstLineChars="200"/>
    </w:pPr>
    <w:rPr>
      <w:rFonts w:ascii="宋体" w:hAnsi="宋体" w:eastAsia="宋体" w:cs="宋体"/>
      <w:sz w:val="24"/>
    </w:rPr>
  </w:style>
  <w:style w:type="paragraph" w:customStyle="1" w:styleId="76">
    <w:name w:val="Normal (Web)"/>
    <w:basedOn w:val="1"/>
    <w:autoRedefine/>
    <w:qFormat/>
    <w:uiPriority w:val="0"/>
    <w:pPr>
      <w:keepNext w:val="0"/>
      <w:keepLines w:val="0"/>
      <w:widowControl/>
      <w:suppressLineNumbers w:val="0"/>
      <w:spacing w:before="100" w:beforeAutospacing="1" w:after="100" w:afterAutospacing="1"/>
      <w:ind w:left="0" w:right="0"/>
      <w:jc w:val="left"/>
    </w:pPr>
    <w:rPr>
      <w:rFonts w:hint="eastAsia" w:ascii="宋体" w:hAnsi="宋体" w:eastAsia="宋体" w:cs="Times New Roman"/>
      <w:kern w:val="2"/>
      <w:sz w:val="24"/>
      <w:szCs w:val="20"/>
      <w:lang w:val="en-US" w:eastAsia="zh-CN" w:bidi="ar"/>
    </w:rPr>
  </w:style>
  <w:style w:type="paragraph" w:customStyle="1" w:styleId="77">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8">
    <w:name w:val="表的标题"/>
    <w:basedOn w:val="1"/>
    <w:next w:val="73"/>
    <w:autoRedefine/>
    <w:qFormat/>
    <w:uiPriority w:val="0"/>
    <w:pPr>
      <w:adjustRightInd w:val="0"/>
      <w:snapToGrid w:val="0"/>
      <w:spacing w:before="50" w:beforeLines="50"/>
      <w:jc w:val="center"/>
    </w:pPr>
    <w:rPr>
      <w:rFonts w:eastAsia="黑体" w:cs="宋体"/>
      <w:sz w:val="24"/>
      <w:szCs w:val="20"/>
    </w:rPr>
  </w:style>
  <w:style w:type="paragraph" w:customStyle="1" w:styleId="79">
    <w:name w:val="5文章(治)"/>
    <w:basedOn w:val="1"/>
    <w:autoRedefine/>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80">
    <w:name w:val="金皇-表格内文字"/>
    <w:basedOn w:val="1"/>
    <w:autoRedefine/>
    <w:qFormat/>
    <w:uiPriority w:val="0"/>
    <w:pPr>
      <w:tabs>
        <w:tab w:val="left" w:pos="0"/>
      </w:tabs>
      <w:adjustRightInd w:val="0"/>
      <w:snapToGrid w:val="0"/>
      <w:jc w:val="center"/>
    </w:pPr>
    <w:rPr>
      <w:snapToGrid w:val="0"/>
      <w:szCs w:val="21"/>
    </w:rPr>
  </w:style>
  <w:style w:type="paragraph" w:customStyle="1" w:styleId="81">
    <w:name w:val="样式 首行缩进:  2 字符1"/>
    <w:basedOn w:val="1"/>
    <w:autoRedefine/>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82">
    <w:name w:val="缩进"/>
    <w:basedOn w:val="1"/>
    <w:autoRedefine/>
    <w:qFormat/>
    <w:uiPriority w:val="0"/>
    <w:pPr>
      <w:autoSpaceDE w:val="0"/>
      <w:autoSpaceDN w:val="0"/>
      <w:adjustRightInd w:val="0"/>
      <w:spacing w:line="400" w:lineRule="atLeast"/>
      <w:ind w:firstLine="425"/>
      <w:textAlignment w:val="baseline"/>
    </w:pPr>
    <w:rPr>
      <w:kern w:val="0"/>
      <w:sz w:val="24"/>
      <w:szCs w:val="20"/>
    </w:rPr>
  </w:style>
  <w:style w:type="paragraph" w:customStyle="1" w:styleId="83">
    <w:name w:val="常用"/>
    <w:basedOn w:val="1"/>
    <w:autoRedefine/>
    <w:qFormat/>
    <w:uiPriority w:val="0"/>
    <w:pPr>
      <w:widowControl/>
      <w:spacing w:line="360" w:lineRule="auto"/>
      <w:ind w:firstLine="200" w:firstLineChars="200"/>
      <w:jc w:val="left"/>
    </w:pPr>
    <w:rPr>
      <w:rFonts w:ascii="宋体" w:hAnsi="宋体" w:eastAsia="宋体"/>
      <w:kern w:val="0"/>
      <w:szCs w:val="28"/>
    </w:rPr>
  </w:style>
  <w:style w:type="paragraph" w:customStyle="1" w:styleId="84">
    <w:name w:val="2表内正文CM"/>
    <w:basedOn w:val="1"/>
    <w:next w:val="1"/>
    <w:autoRedefine/>
    <w:qFormat/>
    <w:uiPriority w:val="0"/>
    <w:pPr>
      <w:adjustRightInd w:val="0"/>
      <w:snapToGrid w:val="0"/>
      <w:jc w:val="center"/>
    </w:pPr>
    <w:rPr>
      <w:rFonts w:ascii="Times New Roman" w:hAnsi="Times New Roman"/>
      <w:kern w:val="2"/>
      <w:sz w:val="21"/>
      <w:szCs w:val="24"/>
    </w:rPr>
  </w:style>
  <w:style w:type="paragraph" w:customStyle="1" w:styleId="85">
    <w:name w:val="1.表格标题CM"/>
    <w:basedOn w:val="1"/>
    <w:autoRedefine/>
    <w:qFormat/>
    <w:uiPriority w:val="0"/>
    <w:pPr>
      <w:widowControl w:val="0"/>
      <w:adjustRightInd w:val="0"/>
      <w:snapToGrid w:val="0"/>
      <w:spacing w:before="30" w:beforeLines="30" w:line="360" w:lineRule="auto"/>
      <w:jc w:val="center"/>
      <w:outlineLvl w:val="6"/>
    </w:pPr>
    <w:rPr>
      <w:rFonts w:ascii="Times New Roman" w:hAnsi="Times New Roman" w:eastAsia="黑体"/>
      <w:b/>
      <w:kern w:val="2"/>
      <w:sz w:val="24"/>
      <w:szCs w:val="24"/>
      <w:lang w:val="zh-CN" w:eastAsia="zh-CN"/>
    </w:rPr>
  </w:style>
  <w:style w:type="paragraph" w:customStyle="1" w:styleId="86">
    <w:name w:val="CM11"/>
    <w:basedOn w:val="1"/>
    <w:next w:val="1"/>
    <w:autoRedefine/>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87">
    <w:name w:val="7表格(治)"/>
    <w:autoRedefine/>
    <w:qFormat/>
    <w:uiPriority w:val="0"/>
    <w:pPr>
      <w:jc w:val="center"/>
    </w:pPr>
    <w:rPr>
      <w:rFonts w:ascii="Calibri" w:hAnsi="Calibri" w:eastAsia="宋体" w:cs="Times New Roman"/>
      <w:sz w:val="21"/>
      <w:lang w:val="en-US" w:eastAsia="zh-CN" w:bidi="ar-SA"/>
    </w:rPr>
  </w:style>
  <w:style w:type="paragraph" w:customStyle="1" w:styleId="88">
    <w:name w:val="样式 样式 样式 首行缩进:  2 字符 + 居中 + 行距: 固定值 17 磅"/>
    <w:basedOn w:val="1"/>
    <w:autoRedefine/>
    <w:qFormat/>
    <w:uiPriority w:val="0"/>
    <w:pPr>
      <w:adjustRightInd w:val="0"/>
      <w:snapToGrid w:val="0"/>
      <w:spacing w:line="340" w:lineRule="exact"/>
      <w:ind w:firstLine="0"/>
      <w:jc w:val="center"/>
    </w:pPr>
    <w:rPr>
      <w:rFonts w:eastAsia="宋体" w:cs="宋体"/>
      <w:color w:val="000000"/>
      <w:sz w:val="21"/>
    </w:rPr>
  </w:style>
  <w:style w:type="paragraph" w:customStyle="1" w:styleId="89">
    <w:name w:val="a表格"/>
    <w:basedOn w:val="1"/>
    <w:autoRedefine/>
    <w:qFormat/>
    <w:uiPriority w:val="0"/>
    <w:pPr>
      <w:snapToGrid w:val="0"/>
      <w:ind w:firstLine="0"/>
      <w:jc w:val="center"/>
    </w:pPr>
    <w:rPr>
      <w:rFonts w:eastAsia="宋体"/>
      <w:sz w:val="21"/>
      <w:szCs w:val="24"/>
    </w:rPr>
  </w:style>
  <w:style w:type="paragraph" w:customStyle="1" w:styleId="90">
    <w:name w:val="表格内容"/>
    <w:basedOn w:val="21"/>
    <w:next w:val="1"/>
    <w:autoRedefine/>
    <w:qFormat/>
    <w:uiPriority w:val="0"/>
    <w:pPr>
      <w:autoSpaceDE w:val="0"/>
      <w:autoSpaceDN w:val="0"/>
      <w:ind w:firstLine="0"/>
      <w:jc w:val="center"/>
    </w:pPr>
    <w:rPr>
      <w:kern w:val="0"/>
      <w:sz w:val="24"/>
      <w:lang w:bidi="he-IL"/>
    </w:rPr>
  </w:style>
  <w:style w:type="paragraph" w:customStyle="1" w:styleId="91">
    <w:name w:val="表格表头"/>
    <w:basedOn w:val="48"/>
    <w:autoRedefine/>
    <w:qFormat/>
    <w:uiPriority w:val="0"/>
    <w:pPr>
      <w:spacing w:before="160" w:after="160"/>
      <w:jc w:val="center"/>
    </w:pPr>
    <w:rPr>
      <w:rFonts w:ascii="Times New Roman" w:hAnsi="Times New Roman" w:eastAsia="宋体" w:cs="Times New Roman"/>
      <w:b/>
      <w:kern w:val="2"/>
      <w:sz w:val="24"/>
      <w:szCs w:val="24"/>
      <w:lang w:val="en-US" w:eastAsia="zh-CN" w:bidi="ar-SA"/>
    </w:rPr>
  </w:style>
  <w:style w:type="paragraph" w:customStyle="1" w:styleId="92">
    <w:name w:val="正文1"/>
    <w:basedOn w:val="13"/>
    <w:autoRedefine/>
    <w:qFormat/>
    <w:uiPriority w:val="0"/>
    <w:pPr>
      <w:ind w:firstLine="200" w:firstLineChars="200"/>
    </w:pPr>
    <w:rPr>
      <w:rFonts w:eastAsia="宋体" w:cs="宋体"/>
      <w:sz w:val="24"/>
    </w:rPr>
  </w:style>
  <w:style w:type="paragraph" w:customStyle="1" w:styleId="9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表格固定文字"/>
    <w:basedOn w:val="1"/>
    <w:autoRedefine/>
    <w:qFormat/>
    <w:uiPriority w:val="0"/>
    <w:pPr>
      <w:ind w:firstLine="0"/>
    </w:pPr>
    <w:rPr>
      <w:rFonts w:eastAsia="宋体"/>
      <w:sz w:val="21"/>
      <w:szCs w:val="24"/>
    </w:rPr>
  </w:style>
  <w:style w:type="paragraph" w:customStyle="1" w:styleId="95">
    <w:name w:val="4正文"/>
    <w:basedOn w:val="1"/>
    <w:autoRedefine/>
    <w:qFormat/>
    <w:uiPriority w:val="0"/>
    <w:pPr>
      <w:adjustRightInd w:val="0"/>
      <w:snapToGrid w:val="0"/>
      <w:spacing w:line="360" w:lineRule="auto"/>
      <w:ind w:firstLine="480" w:firstLineChars="200"/>
    </w:pPr>
    <w:rPr>
      <w:rFonts w:eastAsia="宋体" w:cs="宋体"/>
      <w:sz w:val="24"/>
    </w:rPr>
  </w:style>
  <w:style w:type="paragraph" w:customStyle="1" w:styleId="96">
    <w:name w:val="表格字体"/>
    <w:autoRedefine/>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97">
    <w:name w:val="Table Paragraph"/>
    <w:basedOn w:val="1"/>
    <w:autoRedefine/>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98">
    <w:name w:val="正文小四"/>
    <w:basedOn w:val="1"/>
    <w:autoRedefine/>
    <w:qFormat/>
    <w:uiPriority w:val="0"/>
    <w:pPr>
      <w:spacing w:line="360" w:lineRule="auto"/>
      <w:ind w:firstLine="360" w:firstLineChars="150"/>
      <w:jc w:val="left"/>
    </w:pPr>
    <w:rPr>
      <w:rFonts w:eastAsia="Century Gothic"/>
      <w:sz w:val="24"/>
    </w:rPr>
  </w:style>
  <w:style w:type="table" w:customStyle="1" w:styleId="99">
    <w:name w:val="样式6"/>
    <w:basedOn w:val="27"/>
    <w:autoRedefine/>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00">
    <w:name w:val="C正文"/>
    <w:next w:val="19"/>
    <w:autoRedefine/>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01">
    <w:name w:val="表格内容（）"/>
    <w:basedOn w:val="1"/>
    <w:autoRedefine/>
    <w:qFormat/>
    <w:uiPriority w:val="0"/>
    <w:pPr>
      <w:widowControl w:val="0"/>
      <w:spacing w:line="240" w:lineRule="auto"/>
      <w:ind w:firstLine="0" w:firstLineChars="0"/>
      <w:jc w:val="center"/>
    </w:pPr>
    <w:rPr>
      <w:color w:val="00B0F0"/>
      <w:sz w:val="21"/>
      <w:szCs w:val="21"/>
    </w:rPr>
  </w:style>
  <w:style w:type="paragraph" w:customStyle="1" w:styleId="102">
    <w:name w:val="二级标题（）"/>
    <w:basedOn w:val="1"/>
    <w:autoRedefine/>
    <w:qFormat/>
    <w:uiPriority w:val="0"/>
    <w:pPr>
      <w:widowControl w:val="0"/>
      <w:ind w:firstLine="0" w:firstLineChars="0"/>
      <w:outlineLvl w:val="1"/>
    </w:pPr>
    <w:rPr>
      <w:rFonts w:eastAsia="黑体"/>
      <w:sz w:val="30"/>
      <w:szCs w:val="30"/>
    </w:rPr>
  </w:style>
  <w:style w:type="paragraph" w:customStyle="1" w:styleId="103">
    <w:name w:val="三级标题（）"/>
    <w:basedOn w:val="1"/>
    <w:autoRedefine/>
    <w:qFormat/>
    <w:uiPriority w:val="0"/>
    <w:pPr>
      <w:widowControl w:val="0"/>
      <w:tabs>
        <w:tab w:val="left" w:pos="3840"/>
      </w:tabs>
      <w:ind w:firstLine="0" w:firstLineChars="0"/>
      <w:outlineLvl w:val="2"/>
    </w:pPr>
    <w:rPr>
      <w:rFonts w:eastAsia="黑体"/>
      <w:sz w:val="28"/>
      <w:szCs w:val="30"/>
    </w:rPr>
  </w:style>
  <w:style w:type="paragraph" w:customStyle="1" w:styleId="104">
    <w:name w:val="正文（）"/>
    <w:basedOn w:val="1"/>
    <w:link w:val="105"/>
    <w:autoRedefine/>
    <w:qFormat/>
    <w:uiPriority w:val="0"/>
    <w:rPr>
      <w:rFonts w:ascii="宋体" w:hAnsi="宋体"/>
      <w:color w:val="4BACC6"/>
      <w:kern w:val="0"/>
    </w:rPr>
  </w:style>
  <w:style w:type="character" w:customStyle="1" w:styleId="105">
    <w:name w:val="正文（） Char"/>
    <w:link w:val="104"/>
    <w:autoRedefine/>
    <w:qFormat/>
    <w:uiPriority w:val="0"/>
    <w:rPr>
      <w:rFonts w:ascii="宋体" w:hAnsi="宋体"/>
      <w:color w:val="4BACC6"/>
      <w:kern w:val="0"/>
    </w:rPr>
  </w:style>
  <w:style w:type="paragraph" w:customStyle="1" w:styleId="106">
    <w:name w:val="表格标题（）"/>
    <w:basedOn w:val="1"/>
    <w:autoRedefine/>
    <w:qFormat/>
    <w:uiPriority w:val="0"/>
    <w:pPr>
      <w:widowControl w:val="0"/>
      <w:adjustRightInd/>
      <w:snapToGrid/>
      <w:spacing w:line="240" w:lineRule="auto"/>
      <w:ind w:firstLine="0" w:firstLineChars="0"/>
      <w:jc w:val="center"/>
    </w:pPr>
    <w:rPr>
      <w:rFonts w:eastAsia="黑体"/>
      <w:color w:val="000000"/>
      <w:lang w:val="zh-CN" w:bidi="he-IL"/>
    </w:rPr>
  </w:style>
  <w:style w:type="character" w:customStyle="1" w:styleId="107">
    <w:name w:val="15"/>
    <w:autoRedefine/>
    <w:qFormat/>
    <w:uiPriority w:val="0"/>
    <w:rPr>
      <w:rFonts w:hint="eastAsia" w:ascii="宋体" w:hAnsi="宋体" w:eastAsia="宋体"/>
      <w:color w:val="4BACC6"/>
      <w:sz w:val="24"/>
      <w:szCs w:val="24"/>
    </w:rPr>
  </w:style>
  <w:style w:type="paragraph" w:customStyle="1" w:styleId="108">
    <w:name w:val="四级标题（）"/>
    <w:basedOn w:val="1"/>
    <w:autoRedefine/>
    <w:qFormat/>
    <w:uiPriority w:val="0"/>
    <w:pPr>
      <w:keepNext/>
      <w:widowControl w:val="0"/>
      <w:suppressAutoHyphens/>
      <w:ind w:firstLine="0" w:firstLineChars="0"/>
      <w:textAlignment w:val="baseline"/>
      <w:outlineLvl w:val="3"/>
    </w:pPr>
    <w:rPr>
      <w:rFonts w:ascii="Calibri" w:hAnsi="Calibri" w:eastAsia="黑体"/>
      <w:bCs/>
      <w:kern w:val="28"/>
      <w:lang w:bidi="he-IL"/>
    </w:rPr>
  </w:style>
  <w:style w:type="paragraph" w:customStyle="1" w:styleId="109">
    <w:name w:val="表格内文字"/>
    <w:basedOn w:val="1"/>
    <w:autoRedefine/>
    <w:qFormat/>
    <w:uiPriority w:val="0"/>
    <w:pPr>
      <w:tabs>
        <w:tab w:val="left" w:pos="0"/>
      </w:tabs>
      <w:jc w:val="center"/>
    </w:pPr>
    <w:rPr>
      <w:rFonts w:eastAsia="仿宋_GB2312"/>
      <w:sz w:val="24"/>
      <w:szCs w:val="24"/>
    </w:rPr>
  </w:style>
  <w:style w:type="paragraph" w:customStyle="1" w:styleId="110">
    <w:name w:val="表头"/>
    <w:basedOn w:val="92"/>
    <w:autoRedefine/>
    <w:qFormat/>
    <w:uiPriority w:val="0"/>
    <w:pPr>
      <w:widowControl w:val="0"/>
      <w:adjustRightInd w:val="0"/>
      <w:spacing w:line="360" w:lineRule="auto"/>
    </w:pPr>
    <w:rPr>
      <w:rFonts w:eastAsia="黑体"/>
      <w:snapToGrid w:val="0"/>
      <w:sz w:val="28"/>
    </w:rPr>
  </w:style>
  <w:style w:type="paragraph" w:customStyle="1" w:styleId="111">
    <w:name w:val="正文（小四）"/>
    <w:autoRedefine/>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12">
    <w:name w:val="5段落"/>
    <w:basedOn w:val="1"/>
    <w:autoRedefine/>
    <w:qFormat/>
    <w:uiPriority w:val="0"/>
    <w:pPr>
      <w:spacing w:line="360" w:lineRule="auto"/>
      <w:ind w:firstLine="420" w:firstLineChars="200"/>
    </w:pPr>
  </w:style>
  <w:style w:type="paragraph" w:customStyle="1" w:styleId="113">
    <w:name w:val="6表格"/>
    <w:basedOn w:val="1"/>
    <w:autoRedefine/>
    <w:qFormat/>
    <w:uiPriority w:val="0"/>
    <w:pPr>
      <w:jc w:val="center"/>
    </w:pPr>
  </w:style>
  <w:style w:type="paragraph" w:customStyle="1" w:styleId="114">
    <w:name w:val="正文-yss"/>
    <w:basedOn w:val="1"/>
    <w:autoRedefine/>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character" w:customStyle="1" w:styleId="115">
    <w:name w:val="表格内容 Char1"/>
    <w:autoRedefine/>
    <w:qFormat/>
    <w:uiPriority w:val="0"/>
    <w:rPr>
      <w:rFonts w:ascii="宋体" w:hAnsi="宋体" w:eastAsia="宋体"/>
      <w:kern w:val="0"/>
      <w:sz w:val="21"/>
    </w:rPr>
  </w:style>
  <w:style w:type="paragraph" w:customStyle="1" w:styleId="116">
    <w:name w:val="表内容"/>
    <w:basedOn w:val="1"/>
    <w:autoRedefine/>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hint="default" w:ascii="Times New Roman" w:hAnsi="Times New Roman" w:cs="Times New Roman"/>
      <w:snapToGrid/>
      <w:kern w:val="2"/>
      <w:sz w:val="21"/>
      <w:szCs w:val="21"/>
      <w:lang w:val="en-US" w:eastAsia="zh-CN" w:bidi="ar"/>
    </w:rPr>
  </w:style>
  <w:style w:type="paragraph" w:customStyle="1" w:styleId="117">
    <w:name w:val="足乐正文"/>
    <w:basedOn w:val="1"/>
    <w:autoRedefine/>
    <w:qFormat/>
    <w:uiPriority w:val="0"/>
    <w:pPr>
      <w:spacing w:line="360" w:lineRule="auto"/>
      <w:ind w:firstLine="720" w:firstLineChars="200"/>
    </w:pPr>
    <w:rPr>
      <w:rFonts w:ascii="Times New Roman" w:hAnsi="Times New Roman"/>
    </w:rPr>
  </w:style>
  <w:style w:type="paragraph" w:customStyle="1" w:styleId="118">
    <w:name w:val="0正文"/>
    <w:basedOn w:val="1"/>
    <w:autoRedefine/>
    <w:semiHidden/>
    <w:qFormat/>
    <w:uiPriority w:val="0"/>
    <w:pPr>
      <w:spacing w:line="360" w:lineRule="auto"/>
      <w:ind w:firstLine="720" w:firstLineChars="200"/>
      <w:jc w:val="left"/>
    </w:pPr>
    <w:rPr>
      <w:kern w:val="0"/>
      <w:sz w:val="24"/>
      <w:szCs w:val="24"/>
    </w:rPr>
  </w:style>
  <w:style w:type="paragraph" w:customStyle="1" w:styleId="119">
    <w:name w:val="表格名称1"/>
    <w:basedOn w:val="1"/>
    <w:autoRedefine/>
    <w:qFormat/>
    <w:uiPriority w:val="0"/>
    <w:pPr>
      <w:adjustRightInd w:val="0"/>
      <w:snapToGrid w:val="0"/>
      <w:jc w:val="center"/>
    </w:pPr>
    <w:rPr>
      <w:b/>
    </w:rPr>
  </w:style>
  <w:style w:type="paragraph" w:customStyle="1" w:styleId="120">
    <w:name w:val="章1正文样式"/>
    <w:basedOn w:val="1"/>
    <w:autoRedefine/>
    <w:qFormat/>
    <w:uiPriority w:val="0"/>
    <w:pPr>
      <w:adjustRightInd w:val="0"/>
      <w:snapToGrid w:val="0"/>
      <w:spacing w:line="360" w:lineRule="auto"/>
      <w:ind w:firstLine="720" w:firstLineChars="200"/>
    </w:pPr>
    <w:rPr>
      <w:rFonts w:hint="eastAsia" w:ascii="Times New Roman" w:hAnsi="Times New Roman" w:eastAsia="宋体" w:cs="Times New Roman"/>
      <w:sz w:val="24"/>
      <w:szCs w:val="21"/>
    </w:rPr>
  </w:style>
  <w:style w:type="paragraph" w:customStyle="1" w:styleId="121">
    <w:name w:val="表格样式—zsy"/>
    <w:basedOn w:val="1"/>
    <w:autoRedefine/>
    <w:qFormat/>
    <w:uiPriority w:val="0"/>
    <w:pPr>
      <w:keepNext/>
      <w:keepLines/>
      <w:spacing w:line="340" w:lineRule="exact"/>
      <w:ind w:firstLine="0" w:firstLineChars="0"/>
      <w:jc w:val="center"/>
    </w:pPr>
    <w:rPr>
      <w:rFonts w:hint="eastAsia" w:ascii="Times New Roman" w:hAnsi="Times New Roman" w:eastAsia="宋体"/>
    </w:rPr>
  </w:style>
  <w:style w:type="paragraph" w:customStyle="1" w:styleId="122">
    <w:name w:val="表格内容Q"/>
    <w:basedOn w:val="1"/>
    <w:autoRedefine/>
    <w:qFormat/>
    <w:uiPriority w:val="0"/>
    <w:pPr>
      <w:spacing w:line="240" w:lineRule="auto"/>
      <w:ind w:firstLine="0" w:firstLineChars="0"/>
      <w:jc w:val="center"/>
    </w:pPr>
    <w:rPr>
      <w:sz w:val="21"/>
      <w:szCs w:val="21"/>
    </w:rPr>
  </w:style>
  <w:style w:type="paragraph" w:customStyle="1" w:styleId="123">
    <w:name w:val="表头样式"/>
    <w:basedOn w:val="1"/>
    <w:next w:val="1"/>
    <w:autoRedefine/>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paragraph" w:customStyle="1" w:styleId="124">
    <w:name w:val="正文样式-zsy"/>
    <w:basedOn w:val="125"/>
    <w:autoRedefine/>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125">
    <w:name w:val="正文样式"/>
    <w:basedOn w:val="1"/>
    <w:autoRedefine/>
    <w:qFormat/>
    <w:uiPriority w:val="0"/>
    <w:pPr>
      <w:adjustRightInd w:val="0"/>
      <w:snapToGrid w:val="0"/>
      <w:spacing w:line="360" w:lineRule="auto"/>
      <w:ind w:firstLine="720" w:firstLineChars="200"/>
      <w:jc w:val="both"/>
    </w:pPr>
    <w:rPr>
      <w:rFonts w:ascii="Times New Roman" w:hAnsi="Times New Roman" w:eastAsia="宋体" w:cs="Times New Roman"/>
      <w:sz w:val="24"/>
    </w:rPr>
  </w:style>
  <w:style w:type="paragraph" w:customStyle="1" w:styleId="126">
    <w:name w:val="表格样式"/>
    <w:basedOn w:val="1"/>
    <w:next w:val="1"/>
    <w:autoRedefine/>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127">
    <w:name w:val="附件附图样式"/>
    <w:basedOn w:val="1"/>
    <w:autoRedefine/>
    <w:qFormat/>
    <w:uiPriority w:val="0"/>
    <w:pPr>
      <w:spacing w:line="360" w:lineRule="auto"/>
      <w:jc w:val="right"/>
      <w:outlineLvl w:val="0"/>
    </w:pPr>
    <w:rPr>
      <w:rFonts w:ascii="Times New Roman" w:hAnsi="Times New Roman" w:eastAsia="黑体"/>
      <w:sz w:val="24"/>
      <w:szCs w:val="52"/>
    </w:rPr>
  </w:style>
  <w:style w:type="paragraph" w:customStyle="1" w:styleId="128">
    <w:name w:val="WPSOffice手动目录 1"/>
    <w:autoRedefine/>
    <w:qFormat/>
    <w:uiPriority w:val="0"/>
    <w:pPr>
      <w:ind w:leftChars="0"/>
    </w:pPr>
    <w:rPr>
      <w:rFonts w:ascii="Times New Roman" w:hAnsi="Times New Roman" w:eastAsia="宋体" w:cs="Times New Roman"/>
      <w:sz w:val="20"/>
      <w:szCs w:val="20"/>
    </w:rPr>
  </w:style>
  <w:style w:type="paragraph" w:customStyle="1" w:styleId="129">
    <w:name w:val=" Char Char Char Char Char Char"/>
    <w:basedOn w:val="1"/>
    <w:autoRedefine/>
    <w:qFormat/>
    <w:uiPriority w:val="0"/>
  </w:style>
  <w:style w:type="paragraph" w:customStyle="1" w:styleId="130">
    <w:name w:val="6表(图)头(治)"/>
    <w:next w:val="1"/>
    <w:autoRedefine/>
    <w:qFormat/>
    <w:uiPriority w:val="0"/>
    <w:pPr>
      <w:widowControl w:val="0"/>
      <w:jc w:val="center"/>
    </w:pPr>
    <w:rPr>
      <w:rFonts w:ascii="Times New Roman" w:hAnsi="Times New Roman" w:eastAsia="黑体" w:cs="Times New Roman"/>
      <w:b/>
      <w:bCs/>
      <w:sz w:val="28"/>
      <w:lang w:val="en-US" w:eastAsia="zh-CN" w:bidi="ar-SA"/>
    </w:rPr>
  </w:style>
  <w:style w:type="paragraph" w:customStyle="1" w:styleId="131">
    <w:name w:val="8说明(治)"/>
    <w:basedOn w:val="1"/>
    <w:next w:val="79"/>
    <w:autoRedefine/>
    <w:qFormat/>
    <w:uiPriority w:val="0"/>
    <w:pPr>
      <w:ind w:firstLine="435"/>
    </w:pPr>
    <w:rPr>
      <w:rFonts w:eastAsia="仿宋_GB2312"/>
      <w:sz w:val="21"/>
      <w:szCs w:val="24"/>
    </w:rPr>
  </w:style>
  <w:style w:type="paragraph" w:customStyle="1" w:styleId="132">
    <w:name w:val="5文章"/>
    <w:basedOn w:val="1"/>
    <w:autoRedefine/>
    <w:qFormat/>
    <w:uiPriority w:val="0"/>
    <w:pPr>
      <w:ind w:firstLine="560"/>
    </w:pPr>
    <w:rPr>
      <w:rFonts w:ascii="Calibri" w:hAnsi="Calibri" w:eastAsia="宋体" w:cs="Times New Roman"/>
      <w:szCs w:val="28"/>
    </w:rPr>
  </w:style>
  <w:style w:type="paragraph" w:customStyle="1" w:styleId="133">
    <w:name w:val="标题3"/>
    <w:basedOn w:val="1"/>
    <w:autoRedefine/>
    <w:qFormat/>
    <w:uiPriority w:val="0"/>
    <w:pPr>
      <w:widowControl/>
      <w:spacing w:line="360" w:lineRule="auto"/>
      <w:jc w:val="left"/>
      <w:outlineLvl w:val="2"/>
    </w:pPr>
    <w:rPr>
      <w:b/>
      <w:sz w:val="24"/>
    </w:rPr>
  </w:style>
  <w:style w:type="paragraph" w:customStyle="1" w:styleId="134">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font11"/>
    <w:basedOn w:val="29"/>
    <w:qFormat/>
    <w:uiPriority w:val="0"/>
    <w:rPr>
      <w:rFonts w:hint="eastAsia" w:ascii="宋体" w:hAnsi="宋体" w:eastAsia="宋体" w:cs="宋体"/>
      <w:color w:val="000000"/>
      <w:sz w:val="24"/>
      <w:szCs w:val="24"/>
      <w:u w:val="none"/>
    </w:rPr>
  </w:style>
  <w:style w:type="character" w:customStyle="1" w:styleId="137">
    <w:name w:val="font21"/>
    <w:basedOn w:val="29"/>
    <w:qFormat/>
    <w:uiPriority w:val="0"/>
    <w:rPr>
      <w:rFonts w:ascii="Arial" w:hAnsi="Arial" w:cs="Arial"/>
      <w:color w:val="000000"/>
      <w:sz w:val="24"/>
      <w:szCs w:val="24"/>
      <w:u w:val="none"/>
    </w:rPr>
  </w:style>
  <w:style w:type="character" w:customStyle="1" w:styleId="138">
    <w:name w:val="font31"/>
    <w:basedOn w:val="29"/>
    <w:qFormat/>
    <w:uiPriority w:val="0"/>
    <w:rPr>
      <w:rFonts w:hint="eastAsia" w:ascii="宋体" w:hAnsi="宋体" w:eastAsia="宋体" w:cs="宋体"/>
      <w:color w:val="000000"/>
      <w:sz w:val="24"/>
      <w:szCs w:val="24"/>
      <w:u w:val="none"/>
    </w:rPr>
  </w:style>
  <w:style w:type="character" w:customStyle="1" w:styleId="139">
    <w:name w:val="font41"/>
    <w:basedOn w:val="29"/>
    <w:qFormat/>
    <w:uiPriority w:val="0"/>
    <w:rPr>
      <w:rFonts w:ascii="Arial" w:hAnsi="Arial" w:cs="Arial"/>
      <w:color w:val="000000"/>
      <w:sz w:val="24"/>
      <w:szCs w:val="24"/>
      <w:u w:val="none"/>
    </w:rPr>
  </w:style>
  <w:style w:type="paragraph" w:customStyle="1" w:styleId="140">
    <w:name w:val="p0"/>
    <w:basedOn w:val="1"/>
    <w:autoRedefine/>
    <w:qFormat/>
    <w:uiPriority w:val="0"/>
    <w:pPr>
      <w:widowControl/>
    </w:pPr>
    <w:rPr>
      <w:kern w:val="0"/>
      <w:szCs w:val="21"/>
    </w:rPr>
  </w:style>
  <w:style w:type="paragraph" w:customStyle="1" w:styleId="141">
    <w:name w:val="②表格内文字"/>
    <w:basedOn w:val="1"/>
    <w:qFormat/>
    <w:uiPriority w:val="0"/>
    <w:pPr>
      <w:jc w:val="center"/>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jpeg"/><Relationship Id="rId35" Type="http://schemas.openxmlformats.org/officeDocument/2006/relationships/image" Target="media/image18.pn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emf"/><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image" Target="media/image8.wmf"/><Relationship Id="rId24" Type="http://schemas.openxmlformats.org/officeDocument/2006/relationships/image" Target="media/image7.wmf"/><Relationship Id="rId23" Type="http://schemas.openxmlformats.org/officeDocument/2006/relationships/image" Target="media/image6.wmf"/><Relationship Id="rId22" Type="http://schemas.openxmlformats.org/officeDocument/2006/relationships/image" Target="media/image5.wmf"/><Relationship Id="rId21" Type="http://schemas.openxmlformats.org/officeDocument/2006/relationships/image" Target="media/image4.jpeg"/><Relationship Id="rId20" Type="http://schemas.openxmlformats.org/officeDocument/2006/relationships/image" Target="media/image3.wmf"/><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81</Pages>
  <Words>8012</Words>
  <Characters>8548</Characters>
  <Lines>13</Lines>
  <Paragraphs>3</Paragraphs>
  <TotalTime>10</TotalTime>
  <ScaleCrop>false</ScaleCrop>
  <LinksUpToDate>false</LinksUpToDate>
  <CharactersWithSpaces>8719</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admin</cp:lastModifiedBy>
  <cp:lastPrinted>2024-04-25T07:19:00Z</cp:lastPrinted>
  <dcterms:modified xsi:type="dcterms:W3CDTF">2025-12-15T05:35:40Z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8DCB31D2BFA74DD38B5FF42B7CA73E0A_13</vt:lpwstr>
  </property>
  <property fmtid="{D5CDD505-2E9C-101B-9397-08002B2CF9AE}" pid="4" name="KSOTemplateDocerSaveRecord">
    <vt:lpwstr>eyJoZGlkIjoiYTQyYTI5Y2RjNDI1ODE0ZDU1OGQ1NjdkZDJlYjU1ZDkiLCJ1c2VySWQiOiIxNDk5NjcxMTQzIn0=</vt:lpwstr>
  </property>
</Properties>
</file>