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B036F">
      <w:pPr>
        <w:pStyle w:val="13"/>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75648" behindDoc="0" locked="0" layoutInCell="1" allowOverlap="1">
            <wp:simplePos x="0" y="0"/>
            <wp:positionH relativeFrom="column">
              <wp:posOffset>-256540</wp:posOffset>
            </wp:positionH>
            <wp:positionV relativeFrom="paragraph">
              <wp:posOffset>-346075</wp:posOffset>
            </wp:positionV>
            <wp:extent cx="6108700" cy="8639810"/>
            <wp:effectExtent l="0" t="0" r="2540" b="1270"/>
            <wp:wrapNone/>
            <wp:docPr id="30" name="图片 30" descr="service.information@grammer.com_20251217_14494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ervice.information@grammer.com_20251217_144941_05"/>
                    <pic:cNvPicPr>
                      <a:picLocks noChangeAspect="1"/>
                    </pic:cNvPicPr>
                  </pic:nvPicPr>
                  <pic:blipFill>
                    <a:blip r:embed="rId11"/>
                    <a:stretch>
                      <a:fillRect/>
                    </a:stretch>
                  </pic:blipFill>
                  <pic:spPr>
                    <a:xfrm>
                      <a:off x="0" y="0"/>
                      <a:ext cx="6108700" cy="8639810"/>
                    </a:xfrm>
                    <a:prstGeom prst="rect">
                      <a:avLst/>
                    </a:prstGeom>
                  </pic:spPr>
                </pic:pic>
              </a:graphicData>
            </a:graphic>
          </wp:anchor>
        </w:drawing>
      </w:r>
    </w:p>
    <w:p w14:paraId="7295FEB4">
      <w:pPr>
        <w:rPr>
          <w:rFonts w:hint="default" w:ascii="Times New Roman" w:hAnsi="Times New Roman" w:eastAsia="仿宋_GB2312" w:cs="Times New Roman"/>
          <w:sz w:val="36"/>
          <w:szCs w:val="36"/>
        </w:rPr>
      </w:pPr>
    </w:p>
    <w:p w14:paraId="64274E20">
      <w:pPr>
        <w:rPr>
          <w:rFonts w:hint="default" w:ascii="Times New Roman" w:hAnsi="Times New Roman" w:eastAsia="仿宋_GB2312" w:cs="Times New Roman"/>
          <w:sz w:val="36"/>
          <w:szCs w:val="36"/>
        </w:rPr>
      </w:pPr>
    </w:p>
    <w:p w14:paraId="1279E92F">
      <w:pPr>
        <w:rPr>
          <w:rFonts w:hint="default" w:ascii="Times New Roman" w:hAnsi="Times New Roman" w:eastAsia="仿宋_GB2312" w:cs="Times New Roman"/>
          <w:sz w:val="36"/>
          <w:szCs w:val="36"/>
        </w:rPr>
      </w:pPr>
    </w:p>
    <w:p w14:paraId="470187A7">
      <w:pPr>
        <w:rPr>
          <w:rFonts w:hint="default" w:ascii="Times New Roman" w:hAnsi="Times New Roman" w:eastAsia="仿宋_GB2312" w:cs="Times New Roman"/>
          <w:sz w:val="36"/>
          <w:szCs w:val="36"/>
        </w:rPr>
      </w:pPr>
    </w:p>
    <w:p w14:paraId="56944B25">
      <w:pPr>
        <w:adjustRightInd w:val="0"/>
        <w:snapToGrid w:val="0"/>
        <w:jc w:val="center"/>
        <w:outlineLvl w:val="0"/>
        <w:rPr>
          <w:rFonts w:hint="default" w:ascii="Times New Roman" w:hAnsi="Times New Roman" w:eastAsia="方正小标宋_GBK" w:cs="Times New Roman"/>
          <w:bCs/>
          <w:sz w:val="72"/>
          <w:szCs w:val="72"/>
        </w:rPr>
      </w:pPr>
      <w:bookmarkStart w:id="0" w:name="_Toc17895"/>
      <w:bookmarkStart w:id="1" w:name="_Toc22221"/>
      <w:bookmarkStart w:id="2" w:name="_Toc22823"/>
      <w:bookmarkStart w:id="3" w:name="_Toc2878"/>
      <w:bookmarkStart w:id="4" w:name="_Toc6729"/>
      <w:r>
        <w:rPr>
          <w:rFonts w:hint="default" w:ascii="Times New Roman" w:hAnsi="Times New Roman" w:eastAsia="方正小标宋_GBK" w:cs="Times New Roman"/>
          <w:bCs/>
          <w:sz w:val="72"/>
          <w:szCs w:val="72"/>
        </w:rPr>
        <w:t>建设项目环境影响报告表</w:t>
      </w:r>
      <w:bookmarkEnd w:id="0"/>
      <w:bookmarkEnd w:id="1"/>
      <w:bookmarkEnd w:id="2"/>
      <w:bookmarkEnd w:id="3"/>
      <w:bookmarkEnd w:id="4"/>
    </w:p>
    <w:p w14:paraId="1E30E056">
      <w:pPr>
        <w:adjustRightInd w:val="0"/>
        <w:snapToGrid w:val="0"/>
        <w:spacing w:before="192" w:beforeLines="80"/>
        <w:jc w:val="center"/>
        <w:rPr>
          <w:rFonts w:hint="eastAsia" w:ascii="Times New Roman" w:hAnsi="Times New Roman" w:eastAsia="楷体_GB2312" w:cs="Times New Roman"/>
          <w:bCs/>
          <w:sz w:val="48"/>
          <w:szCs w:val="48"/>
          <w:lang w:eastAsia="zh-CN"/>
        </w:rPr>
      </w:pPr>
      <w:r>
        <w:rPr>
          <w:rFonts w:hint="eastAsia" w:ascii="Times New Roman" w:hAnsi="Times New Roman" w:eastAsia="楷体_GB2312" w:cs="Times New Roman"/>
          <w:bCs/>
          <w:sz w:val="48"/>
          <w:szCs w:val="48"/>
          <w:lang w:eastAsia="zh-CN"/>
        </w:rPr>
        <w:t>(</w:t>
      </w:r>
      <w:r>
        <w:rPr>
          <w:rFonts w:hint="default" w:ascii="Times New Roman" w:hAnsi="Times New Roman" w:eastAsia="楷体_GB2312" w:cs="Times New Roman"/>
          <w:bCs/>
          <w:sz w:val="48"/>
          <w:szCs w:val="48"/>
        </w:rPr>
        <w:t>污染影响类</w:t>
      </w:r>
      <w:r>
        <w:rPr>
          <w:rFonts w:hint="eastAsia" w:ascii="Times New Roman" w:hAnsi="Times New Roman" w:eastAsia="楷体_GB2312" w:cs="Times New Roman"/>
          <w:bCs/>
          <w:sz w:val="48"/>
          <w:szCs w:val="48"/>
          <w:lang w:eastAsia="zh-CN"/>
        </w:rPr>
        <w:t>)</w:t>
      </w:r>
    </w:p>
    <w:p w14:paraId="51BA1A3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华文仿宋" w:cs="Times New Roman"/>
          <w:color w:val="000000"/>
          <w:kern w:val="44"/>
          <w:sz w:val="44"/>
          <w:szCs w:val="44"/>
        </w:rPr>
      </w:pPr>
    </w:p>
    <w:p w14:paraId="6A809CFB">
      <w:pPr>
        <w:jc w:val="center"/>
        <w:rPr>
          <w:rFonts w:hint="default" w:ascii="Times New Roman" w:hAnsi="Times New Roman" w:eastAsia="仿宋" w:cs="Times New Roman"/>
          <w:sz w:val="52"/>
          <w:szCs w:val="52"/>
          <w:lang w:val="en-US" w:eastAsia="zh-CN"/>
        </w:rPr>
      </w:pPr>
      <w:r>
        <w:rPr>
          <w:rFonts w:hint="eastAsia" w:eastAsia="仿宋" w:cs="Times New Roman"/>
          <w:sz w:val="52"/>
          <w:szCs w:val="52"/>
          <w:lang w:val="en-US" w:eastAsia="zh-CN"/>
        </w:rPr>
        <w:t xml:space="preserve">  </w:t>
      </w:r>
    </w:p>
    <w:p w14:paraId="4B9D0718">
      <w:pPr>
        <w:ind w:firstLine="1040"/>
        <w:rPr>
          <w:rFonts w:hint="default" w:ascii="Times New Roman" w:hAnsi="Times New Roman" w:eastAsia="仿宋" w:cs="Times New Roman"/>
          <w:sz w:val="44"/>
          <w:szCs w:val="44"/>
        </w:rPr>
      </w:pPr>
    </w:p>
    <w:p w14:paraId="3A00DF1C">
      <w:pPr>
        <w:ind w:firstLine="1040"/>
        <w:rPr>
          <w:rFonts w:hint="default" w:ascii="Times New Roman" w:hAnsi="Times New Roman" w:eastAsia="仿宋" w:cs="Times New Roman"/>
          <w:sz w:val="44"/>
          <w:szCs w:val="44"/>
        </w:rPr>
      </w:pPr>
    </w:p>
    <w:p w14:paraId="7326361F">
      <w:pPr>
        <w:ind w:firstLine="1040"/>
        <w:rPr>
          <w:rFonts w:hint="default" w:ascii="Times New Roman" w:hAnsi="Times New Roman" w:eastAsia="仿宋" w:cs="Times New Roman"/>
          <w:sz w:val="44"/>
          <w:szCs w:val="44"/>
        </w:rPr>
      </w:pPr>
    </w:p>
    <w:p w14:paraId="2BA49908">
      <w:pPr>
        <w:keepNext w:val="0"/>
        <w:keepLines w:val="0"/>
        <w:pageBreakBefore w:val="0"/>
        <w:widowControl w:val="0"/>
        <w:kinsoku/>
        <w:wordWrap/>
        <w:overflowPunct/>
        <w:topLinePunct w:val="0"/>
        <w:autoSpaceDE/>
        <w:autoSpaceDN/>
        <w:bidi w:val="0"/>
        <w:adjustRightInd w:val="0"/>
        <w:snapToGrid w:val="0"/>
        <w:spacing w:line="360" w:lineRule="auto"/>
        <w:ind w:left="840" w:leftChars="400" w:right="840" w:rightChars="400"/>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项目名称：</w:t>
      </w:r>
      <w:r>
        <w:rPr>
          <w:rFonts w:hint="default"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格拉默车辆内饰（合肥）有限公司福州分公司</w:t>
      </w:r>
      <w:r>
        <w:rPr>
          <w:rFonts w:hint="eastAsia" w:eastAsia="仿宋_GB2312" w:cs="Times New Roman"/>
          <w:sz w:val="36"/>
          <w:szCs w:val="36"/>
          <w:u w:val="single"/>
          <w:lang w:eastAsia="zh-CN"/>
        </w:rPr>
        <w:t>年加工汽车零部件20万套</w:t>
      </w:r>
      <w:r>
        <w:rPr>
          <w:rFonts w:hint="eastAsia"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rPr>
        <w:t>建设单位</w:t>
      </w:r>
      <w:r>
        <w:rPr>
          <w:rFonts w:hint="eastAsia" w:ascii="Times New Roman" w:hAnsi="Times New Roman" w:eastAsia="仿宋_GB2312" w:cs="Times New Roman"/>
          <w:sz w:val="36"/>
          <w:szCs w:val="36"/>
          <w:lang w:eastAsia="zh-CN"/>
        </w:rPr>
        <w:t>(</w:t>
      </w:r>
      <w:r>
        <w:rPr>
          <w:rFonts w:hint="default" w:ascii="Times New Roman" w:hAnsi="Times New Roman" w:eastAsia="仿宋_GB2312" w:cs="Times New Roman"/>
          <w:sz w:val="36"/>
          <w:szCs w:val="36"/>
        </w:rPr>
        <w:t>盖章</w:t>
      </w:r>
      <w:r>
        <w:rPr>
          <w:rFonts w:hint="eastAsia" w:ascii="Times New Roman" w:hAnsi="Times New Roman" w:eastAsia="仿宋_GB2312" w:cs="Times New Roman"/>
          <w:sz w:val="36"/>
          <w:szCs w:val="36"/>
          <w:lang w:eastAsia="zh-CN"/>
        </w:rPr>
        <w:t>)</w:t>
      </w:r>
      <w:r>
        <w:rPr>
          <w:rFonts w:hint="default" w:ascii="Times New Roman" w:hAnsi="Times New Roman" w:eastAsia="仿宋_GB2312" w:cs="Times New Roman"/>
          <w:sz w:val="36"/>
          <w:szCs w:val="36"/>
        </w:rPr>
        <w:t>：</w:t>
      </w:r>
      <w:r>
        <w:rPr>
          <w:rFonts w:hint="eastAsia"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格拉默车辆内饰（合肥）有限公司福州分公司</w:t>
      </w:r>
      <w:r>
        <w:rPr>
          <w:rFonts w:hint="eastAsia"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 xml:space="preserve">                    </w:t>
      </w:r>
      <w:r>
        <w:rPr>
          <w:rFonts w:hint="eastAsia" w:ascii="Times New Roman" w:hAnsi="Times New Roman" w:eastAsia="仿宋_GB2312" w:cs="Times New Roman"/>
          <w:sz w:val="36"/>
          <w:szCs w:val="36"/>
          <w:u w:val="single"/>
          <w:lang w:val="en-US" w:eastAsia="zh-CN"/>
        </w:rPr>
        <w:t xml:space="preserve">  </w:t>
      </w:r>
    </w:p>
    <w:p w14:paraId="77B9295F">
      <w:pPr>
        <w:keepNext w:val="0"/>
        <w:keepLines w:val="0"/>
        <w:pageBreakBefore w:val="0"/>
        <w:widowControl w:val="0"/>
        <w:kinsoku/>
        <w:wordWrap/>
        <w:overflowPunct/>
        <w:topLinePunct w:val="0"/>
        <w:autoSpaceDE/>
        <w:autoSpaceDN/>
        <w:bidi w:val="0"/>
        <w:adjustRightInd w:val="0"/>
        <w:snapToGrid w:val="0"/>
        <w:spacing w:line="360" w:lineRule="auto"/>
        <w:ind w:left="840" w:leftChars="400" w:right="840" w:rightChars="400"/>
        <w:textAlignment w:val="auto"/>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202</w:t>
      </w:r>
      <w:r>
        <w:rPr>
          <w:rFonts w:hint="eastAsia" w:ascii="Times New Roman" w:hAnsi="Times New Roman" w:eastAsia="仿宋_GB2312" w:cs="Times New Roman"/>
          <w:sz w:val="36"/>
          <w:szCs w:val="36"/>
          <w:u w:val="single"/>
          <w:lang w:val="en-US" w:eastAsia="zh-CN"/>
        </w:rPr>
        <w:t>5</w:t>
      </w:r>
      <w:r>
        <w:rPr>
          <w:rFonts w:hint="default" w:ascii="Times New Roman" w:hAnsi="Times New Roman" w:eastAsia="仿宋_GB2312" w:cs="Times New Roman"/>
          <w:sz w:val="36"/>
          <w:szCs w:val="36"/>
          <w:u w:val="single"/>
          <w:lang w:val="en-US" w:eastAsia="zh-CN"/>
        </w:rPr>
        <w:t>年</w:t>
      </w:r>
      <w:r>
        <w:rPr>
          <w:rFonts w:hint="eastAsia" w:eastAsia="仿宋_GB2312" w:cs="Times New Roman"/>
          <w:sz w:val="36"/>
          <w:szCs w:val="36"/>
          <w:u w:val="single"/>
          <w:lang w:val="en-US" w:eastAsia="zh-CN"/>
        </w:rPr>
        <w:t>12</w:t>
      </w:r>
      <w:r>
        <w:rPr>
          <w:rFonts w:hint="default" w:ascii="Times New Roman" w:hAnsi="Times New Roman" w:eastAsia="仿宋_GB2312" w:cs="Times New Roman"/>
          <w:sz w:val="36"/>
          <w:szCs w:val="36"/>
          <w:u w:val="single"/>
          <w:lang w:val="en-US" w:eastAsia="zh-CN"/>
        </w:rPr>
        <w:t>月</w:t>
      </w:r>
      <w:r>
        <w:rPr>
          <w:rFonts w:hint="default" w:ascii="Times New Roman" w:hAnsi="Times New Roman" w:eastAsia="仿宋_GB2312" w:cs="Times New Roman"/>
          <w:sz w:val="36"/>
          <w:szCs w:val="36"/>
          <w:u w:val="single"/>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p>
    <w:p w14:paraId="626C3B89">
      <w:pPr>
        <w:adjustRightInd w:val="0"/>
        <w:snapToGrid w:val="0"/>
        <w:spacing w:line="288" w:lineRule="auto"/>
        <w:ind w:firstLine="1040"/>
        <w:rPr>
          <w:rFonts w:hint="default" w:ascii="Times New Roman" w:hAnsi="Times New Roman" w:eastAsia="仿宋_GB2312" w:cs="Times New Roman"/>
          <w:sz w:val="36"/>
          <w:szCs w:val="36"/>
          <w:u w:val="single"/>
        </w:rPr>
      </w:pPr>
      <w:bookmarkStart w:id="5" w:name="_Hlk57884087"/>
    </w:p>
    <w:p w14:paraId="56ED42BB">
      <w:pPr>
        <w:adjustRightInd w:val="0"/>
        <w:snapToGrid w:val="0"/>
        <w:spacing w:line="288" w:lineRule="auto"/>
        <w:rPr>
          <w:rFonts w:hint="default" w:ascii="Times New Roman" w:hAnsi="Times New Roman" w:eastAsia="仿宋_GB2312" w:cs="Times New Roman"/>
          <w:sz w:val="36"/>
          <w:szCs w:val="36"/>
        </w:rPr>
      </w:pPr>
    </w:p>
    <w:p w14:paraId="0FF57148">
      <w:pPr>
        <w:adjustRightInd w:val="0"/>
        <w:snapToGrid w:val="0"/>
        <w:spacing w:line="288" w:lineRule="auto"/>
        <w:ind w:firstLine="1040"/>
        <w:rPr>
          <w:rFonts w:hint="default" w:ascii="Times New Roman" w:hAnsi="Times New Roman" w:eastAsia="仿宋_GB2312" w:cs="Times New Roman"/>
          <w:sz w:val="36"/>
          <w:szCs w:val="36"/>
        </w:rPr>
      </w:pPr>
    </w:p>
    <w:p w14:paraId="3C0AD4E7">
      <w:pPr>
        <w:adjustRightInd w:val="0"/>
        <w:snapToGrid w:val="0"/>
        <w:spacing w:line="288" w:lineRule="auto"/>
        <w:ind w:firstLine="1040"/>
        <w:rPr>
          <w:rFonts w:hint="default" w:ascii="Times New Roman" w:hAnsi="Times New Roman" w:eastAsia="仿宋_GB2312" w:cs="Times New Roman"/>
          <w:sz w:val="36"/>
          <w:szCs w:val="36"/>
        </w:rPr>
      </w:pPr>
    </w:p>
    <w:bookmarkEnd w:id="5"/>
    <w:p w14:paraId="718B9FF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0"/>
        <w:rPr>
          <w:rFonts w:hint="default" w:ascii="Times New Roman" w:hAnsi="Times New Roman" w:eastAsia="楷体_GB2312" w:cs="Times New Roman"/>
          <w:sz w:val="36"/>
          <w:szCs w:val="36"/>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bookmarkStart w:id="6" w:name="_Toc7398"/>
      <w:bookmarkStart w:id="7" w:name="_Toc20659"/>
      <w:bookmarkStart w:id="8" w:name="_Toc23865"/>
      <w:bookmarkStart w:id="9" w:name="_Toc317"/>
      <w:bookmarkStart w:id="10" w:name="_Toc23580"/>
      <w:r>
        <w:rPr>
          <w:rFonts w:hint="default" w:ascii="Times New Roman" w:hAnsi="Times New Roman" w:eastAsia="楷体_GB2312" w:cs="Times New Roman"/>
          <w:sz w:val="36"/>
          <w:szCs w:val="36"/>
        </w:rPr>
        <w:t>中华人民共和国生态环境部制</w:t>
      </w:r>
      <w:bookmarkEnd w:id="6"/>
      <w:bookmarkEnd w:id="7"/>
      <w:bookmarkEnd w:id="8"/>
      <w:bookmarkEnd w:id="9"/>
      <w:bookmarkEnd w:id="10"/>
    </w:p>
    <w:p w14:paraId="7C40BFBF">
      <w:pPr>
        <w:pStyle w:val="8"/>
        <w:ind w:left="0" w:leftChars="0" w:firstLine="0" w:firstLineChars="0"/>
        <w:rPr>
          <w:rFonts w:hint="eastAsia" w:eastAsia="宋体"/>
          <w:lang w:eastAsia="zh-CN"/>
        </w:rPr>
        <w:sectPr>
          <w:pgSz w:w="11906" w:h="16838"/>
          <w:pgMar w:top="1134" w:right="1134" w:bottom="1134" w:left="1134"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7C80168F">
      <w:pPr>
        <w:spacing w:before="0" w:beforeLines="0" w:after="0" w:afterLines="0" w:line="240" w:lineRule="auto"/>
        <w:ind w:left="0" w:leftChars="0" w:right="0" w:rightChars="0" w:firstLine="0" w:firstLineChars="0"/>
        <w:jc w:val="center"/>
        <w:rPr>
          <w:rFonts w:ascii="宋体" w:hAnsi="宋体" w:eastAsia="宋体"/>
          <w:b/>
          <w:bCs/>
          <w:sz w:val="36"/>
          <w:szCs w:val="36"/>
        </w:rPr>
      </w:pPr>
      <w:bookmarkStart w:id="11" w:name="_Toc31697"/>
      <w:bookmarkStart w:id="12" w:name="_Toc10493"/>
      <w:bookmarkStart w:id="13" w:name="_Toc3272"/>
      <w:r>
        <w:rPr>
          <w:rFonts w:ascii="宋体" w:hAnsi="宋体" w:eastAsia="宋体"/>
          <w:b/>
          <w:bCs/>
          <w:sz w:val="36"/>
          <w:szCs w:val="36"/>
        </w:rPr>
        <w:t>目录</w:t>
      </w:r>
    </w:p>
    <w:p w14:paraId="54E2FD0D">
      <w:pPr>
        <w:pStyle w:val="8"/>
      </w:pPr>
    </w:p>
    <w:p w14:paraId="2D5114FC">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TOC \o "1-1" \h \u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_Toc25078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一、建设项目基本情况</w:t>
      </w:r>
      <w:r>
        <w:rPr>
          <w:sz w:val="24"/>
          <w:szCs w:val="24"/>
        </w:rPr>
        <w:tab/>
      </w:r>
      <w:r>
        <w:rPr>
          <w:sz w:val="24"/>
          <w:szCs w:val="24"/>
        </w:rPr>
        <w:fldChar w:fldCharType="begin"/>
      </w:r>
      <w:r>
        <w:rPr>
          <w:sz w:val="24"/>
          <w:szCs w:val="24"/>
        </w:rPr>
        <w:instrText xml:space="preserve"> PAGEREF _Toc25078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黑体" w:cs="Times New Roman"/>
          <w:snapToGrid w:val="0"/>
          <w:sz w:val="24"/>
          <w:szCs w:val="24"/>
        </w:rPr>
        <w:fldChar w:fldCharType="end"/>
      </w:r>
    </w:p>
    <w:p w14:paraId="7FAA4843">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_Toc5802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二、建设项目工程分析</w:t>
      </w:r>
      <w:r>
        <w:rPr>
          <w:sz w:val="24"/>
          <w:szCs w:val="24"/>
        </w:rPr>
        <w:tab/>
      </w:r>
      <w:r>
        <w:rPr>
          <w:sz w:val="24"/>
          <w:szCs w:val="24"/>
        </w:rPr>
        <w:fldChar w:fldCharType="begin"/>
      </w:r>
      <w:r>
        <w:rPr>
          <w:sz w:val="24"/>
          <w:szCs w:val="24"/>
        </w:rPr>
        <w:instrText xml:space="preserve"> PAGEREF _Toc5802 \h </w:instrText>
      </w:r>
      <w:r>
        <w:rPr>
          <w:sz w:val="24"/>
          <w:szCs w:val="24"/>
        </w:rPr>
        <w:fldChar w:fldCharType="separate"/>
      </w:r>
      <w:r>
        <w:rPr>
          <w:sz w:val="24"/>
          <w:szCs w:val="24"/>
        </w:rPr>
        <w:t>15</w:t>
      </w:r>
      <w:r>
        <w:rPr>
          <w:sz w:val="24"/>
          <w:szCs w:val="24"/>
        </w:rPr>
        <w:fldChar w:fldCharType="end"/>
      </w:r>
      <w:r>
        <w:rPr>
          <w:rFonts w:hint="default" w:ascii="Times New Roman" w:hAnsi="Times New Roman" w:eastAsia="黑体" w:cs="Times New Roman"/>
          <w:snapToGrid w:val="0"/>
          <w:sz w:val="24"/>
          <w:szCs w:val="24"/>
        </w:rPr>
        <w:fldChar w:fldCharType="end"/>
      </w:r>
    </w:p>
    <w:p w14:paraId="0E68C3DD">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_Toc3701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_Toc3701 \h </w:instrText>
      </w:r>
      <w:r>
        <w:rPr>
          <w:sz w:val="24"/>
          <w:szCs w:val="24"/>
        </w:rPr>
        <w:fldChar w:fldCharType="separate"/>
      </w:r>
      <w:r>
        <w:rPr>
          <w:sz w:val="24"/>
          <w:szCs w:val="24"/>
        </w:rPr>
        <w:t>24</w:t>
      </w:r>
      <w:r>
        <w:rPr>
          <w:sz w:val="24"/>
          <w:szCs w:val="24"/>
        </w:rPr>
        <w:fldChar w:fldCharType="end"/>
      </w:r>
      <w:r>
        <w:rPr>
          <w:rFonts w:hint="default" w:ascii="Times New Roman" w:hAnsi="Times New Roman" w:eastAsia="黑体" w:cs="Times New Roman"/>
          <w:snapToGrid w:val="0"/>
          <w:sz w:val="24"/>
          <w:szCs w:val="24"/>
        </w:rPr>
        <w:fldChar w:fldCharType="end"/>
      </w:r>
    </w:p>
    <w:p w14:paraId="00A02169">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_Toc27466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四、主要环境影响和保护措施</w:t>
      </w:r>
      <w:r>
        <w:rPr>
          <w:sz w:val="24"/>
          <w:szCs w:val="24"/>
        </w:rPr>
        <w:tab/>
      </w:r>
      <w:r>
        <w:rPr>
          <w:sz w:val="24"/>
          <w:szCs w:val="24"/>
        </w:rPr>
        <w:fldChar w:fldCharType="begin"/>
      </w:r>
      <w:r>
        <w:rPr>
          <w:sz w:val="24"/>
          <w:szCs w:val="24"/>
        </w:rPr>
        <w:instrText xml:space="preserve"> PAGEREF _Toc27466 \h </w:instrText>
      </w:r>
      <w:r>
        <w:rPr>
          <w:sz w:val="24"/>
          <w:szCs w:val="24"/>
        </w:rPr>
        <w:fldChar w:fldCharType="separate"/>
      </w:r>
      <w:r>
        <w:rPr>
          <w:sz w:val="24"/>
          <w:szCs w:val="24"/>
        </w:rPr>
        <w:t>35</w:t>
      </w:r>
      <w:r>
        <w:rPr>
          <w:sz w:val="24"/>
          <w:szCs w:val="24"/>
        </w:rPr>
        <w:fldChar w:fldCharType="end"/>
      </w:r>
      <w:r>
        <w:rPr>
          <w:rFonts w:hint="default" w:ascii="Times New Roman" w:hAnsi="Times New Roman" w:eastAsia="黑体" w:cs="Times New Roman"/>
          <w:snapToGrid w:val="0"/>
          <w:sz w:val="24"/>
          <w:szCs w:val="24"/>
        </w:rPr>
        <w:fldChar w:fldCharType="end"/>
      </w:r>
    </w:p>
    <w:p w14:paraId="69D9CBA4">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_Toc13915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五、环境保护措施监督检查清单</w:t>
      </w:r>
      <w:r>
        <w:rPr>
          <w:sz w:val="24"/>
          <w:szCs w:val="24"/>
        </w:rPr>
        <w:tab/>
      </w:r>
      <w:r>
        <w:rPr>
          <w:sz w:val="24"/>
          <w:szCs w:val="24"/>
        </w:rPr>
        <w:fldChar w:fldCharType="begin"/>
      </w:r>
      <w:r>
        <w:rPr>
          <w:sz w:val="24"/>
          <w:szCs w:val="24"/>
        </w:rPr>
        <w:instrText xml:space="preserve"> PAGEREF _Toc13915 \h </w:instrText>
      </w:r>
      <w:r>
        <w:rPr>
          <w:sz w:val="24"/>
          <w:szCs w:val="24"/>
        </w:rPr>
        <w:fldChar w:fldCharType="separate"/>
      </w:r>
      <w:r>
        <w:rPr>
          <w:sz w:val="24"/>
          <w:szCs w:val="24"/>
        </w:rPr>
        <w:t>66</w:t>
      </w:r>
      <w:r>
        <w:rPr>
          <w:sz w:val="24"/>
          <w:szCs w:val="24"/>
        </w:rPr>
        <w:fldChar w:fldCharType="end"/>
      </w:r>
      <w:r>
        <w:rPr>
          <w:rFonts w:hint="default" w:ascii="Times New Roman" w:hAnsi="Times New Roman" w:eastAsia="黑体" w:cs="Times New Roman"/>
          <w:snapToGrid w:val="0"/>
          <w:sz w:val="24"/>
          <w:szCs w:val="24"/>
        </w:rPr>
        <w:fldChar w:fldCharType="end"/>
      </w:r>
    </w:p>
    <w:p w14:paraId="3572066C">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_Toc26092 </w:instrText>
      </w:r>
      <w:r>
        <w:rPr>
          <w:rFonts w:hint="default" w:ascii="Times New Roman" w:hAnsi="Times New Roman" w:eastAsia="黑体" w:cs="Times New Roman"/>
          <w:snapToGrid w:val="0"/>
          <w:sz w:val="24"/>
          <w:szCs w:val="24"/>
        </w:rPr>
        <w:fldChar w:fldCharType="separate"/>
      </w:r>
      <w:r>
        <w:rPr>
          <w:rFonts w:hint="eastAsia" w:ascii="Times New Roman" w:hAnsi="Times New Roman" w:eastAsia="黑体" w:cs="Times New Roman"/>
          <w:snapToGrid w:val="0"/>
          <w:sz w:val="24"/>
          <w:szCs w:val="24"/>
        </w:rPr>
        <w:t>六、</w:t>
      </w:r>
      <w:r>
        <w:rPr>
          <w:rFonts w:hint="default" w:ascii="Times New Roman" w:hAnsi="Times New Roman" w:eastAsia="黑体" w:cs="Times New Roman"/>
          <w:snapToGrid w:val="0"/>
          <w:sz w:val="24"/>
          <w:szCs w:val="24"/>
        </w:rPr>
        <w:t>结论</w:t>
      </w:r>
      <w:r>
        <w:rPr>
          <w:sz w:val="24"/>
          <w:szCs w:val="24"/>
        </w:rPr>
        <w:tab/>
      </w:r>
      <w:r>
        <w:rPr>
          <w:sz w:val="24"/>
          <w:szCs w:val="24"/>
        </w:rPr>
        <w:fldChar w:fldCharType="begin"/>
      </w:r>
      <w:r>
        <w:rPr>
          <w:sz w:val="24"/>
          <w:szCs w:val="24"/>
        </w:rPr>
        <w:instrText xml:space="preserve"> PAGEREF _Toc26092 \h </w:instrText>
      </w:r>
      <w:r>
        <w:rPr>
          <w:sz w:val="24"/>
          <w:szCs w:val="24"/>
        </w:rPr>
        <w:fldChar w:fldCharType="separate"/>
      </w:r>
      <w:r>
        <w:rPr>
          <w:sz w:val="24"/>
          <w:szCs w:val="24"/>
        </w:rPr>
        <w:t>70</w:t>
      </w:r>
      <w:r>
        <w:rPr>
          <w:sz w:val="24"/>
          <w:szCs w:val="24"/>
        </w:rPr>
        <w:fldChar w:fldCharType="end"/>
      </w:r>
      <w:r>
        <w:rPr>
          <w:rFonts w:hint="default" w:ascii="Times New Roman" w:hAnsi="Times New Roman" w:eastAsia="黑体" w:cs="Times New Roman"/>
          <w:snapToGrid w:val="0"/>
          <w:sz w:val="24"/>
          <w:szCs w:val="24"/>
        </w:rPr>
        <w:fldChar w:fldCharType="end"/>
      </w:r>
    </w:p>
    <w:p w14:paraId="67FC69AF">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_Toc17565 </w:instrText>
      </w:r>
      <w:r>
        <w:rPr>
          <w:rFonts w:hint="default" w:ascii="Times New Roman" w:hAnsi="Times New Roman" w:eastAsia="黑体" w:cs="Times New Roman"/>
          <w:snapToGrid w:val="0"/>
          <w:sz w:val="24"/>
          <w:szCs w:val="24"/>
        </w:rPr>
        <w:fldChar w:fldCharType="separate"/>
      </w:r>
      <w:r>
        <w:rPr>
          <w:rFonts w:hint="default" w:ascii="Times New Roman" w:hAnsi="Times New Roman" w:eastAsia="黑体" w:cs="Times New Roman"/>
          <w:snapToGrid w:val="0"/>
          <w:sz w:val="24"/>
          <w:szCs w:val="24"/>
        </w:rPr>
        <w:t>附表</w:t>
      </w:r>
      <w:r>
        <w:rPr>
          <w:sz w:val="24"/>
          <w:szCs w:val="24"/>
        </w:rPr>
        <w:tab/>
      </w:r>
      <w:r>
        <w:rPr>
          <w:sz w:val="24"/>
          <w:szCs w:val="24"/>
        </w:rPr>
        <w:fldChar w:fldCharType="begin"/>
      </w:r>
      <w:r>
        <w:rPr>
          <w:sz w:val="24"/>
          <w:szCs w:val="24"/>
        </w:rPr>
        <w:instrText xml:space="preserve"> PAGEREF _Toc17565 \h </w:instrText>
      </w:r>
      <w:r>
        <w:rPr>
          <w:sz w:val="24"/>
          <w:szCs w:val="24"/>
        </w:rPr>
        <w:fldChar w:fldCharType="separate"/>
      </w:r>
      <w:r>
        <w:rPr>
          <w:sz w:val="24"/>
          <w:szCs w:val="24"/>
        </w:rPr>
        <w:t>71</w:t>
      </w:r>
      <w:r>
        <w:rPr>
          <w:sz w:val="24"/>
          <w:szCs w:val="24"/>
        </w:rPr>
        <w:fldChar w:fldCharType="end"/>
      </w:r>
      <w:r>
        <w:rPr>
          <w:rFonts w:hint="default" w:ascii="Times New Roman" w:hAnsi="Times New Roman" w:eastAsia="黑体" w:cs="Times New Roman"/>
          <w:snapToGrid w:val="0"/>
          <w:sz w:val="24"/>
          <w:szCs w:val="24"/>
        </w:rPr>
        <w:fldChar w:fldCharType="end"/>
      </w:r>
    </w:p>
    <w:p w14:paraId="79168EA4">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outlineLvl w:val="9"/>
        <w:rPr>
          <w:rFonts w:hint="default" w:ascii="Times New Roman" w:hAnsi="Times New Roman" w:eastAsia="黑体" w:cs="Times New Roman"/>
          <w:snapToGrid w:val="0"/>
          <w:sz w:val="24"/>
          <w:szCs w:val="24"/>
        </w:rPr>
      </w:pPr>
      <w:r>
        <w:rPr>
          <w:rFonts w:hint="default" w:ascii="Times New Roman" w:hAnsi="Times New Roman" w:eastAsia="黑体" w:cs="Times New Roman"/>
          <w:snapToGrid w:val="0"/>
          <w:sz w:val="24"/>
          <w:szCs w:val="24"/>
        </w:rPr>
        <w:fldChar w:fldCharType="end"/>
      </w:r>
    </w:p>
    <w:p w14:paraId="1ECD88C3">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eastAsia" w:ascii="Times New Roman" w:hAnsi="Times New Roman" w:eastAsia="黑体" w:cs="Times New Roman"/>
          <w:snapToGrid w:val="0"/>
          <w:sz w:val="24"/>
          <w:szCs w:val="24"/>
          <w:lang w:eastAsia="zh-CN"/>
        </w:rPr>
      </w:pPr>
      <w:r>
        <w:rPr>
          <w:rFonts w:hint="eastAsia" w:ascii="Times New Roman" w:hAnsi="Times New Roman" w:eastAsia="黑体" w:cs="Times New Roman"/>
          <w:snapToGrid w:val="0"/>
          <w:sz w:val="24"/>
          <w:szCs w:val="24"/>
          <w:lang w:eastAsia="zh-CN"/>
        </w:rPr>
        <w:t>附件：</w:t>
      </w:r>
    </w:p>
    <w:p w14:paraId="540B0C5C">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_Toc7706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附件一  委托书</w:t>
      </w:r>
      <w:r>
        <w:rPr>
          <w:rFonts w:hint="default" w:ascii="Times New Roman" w:hAnsi="Times New Roman" w:eastAsia="黑体" w:cs="Times New Roman"/>
          <w:snapToGrid w:val="0"/>
          <w:sz w:val="24"/>
          <w:szCs w:val="24"/>
        </w:rPr>
        <w:fldChar w:fldCharType="end"/>
      </w:r>
    </w:p>
    <w:p w14:paraId="6C8AC60A">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_Toc30600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 xml:space="preserve">附件二  </w:t>
      </w:r>
      <w:r>
        <w:rPr>
          <w:rFonts w:hint="default" w:ascii="Times New Roman" w:hAnsi="Times New Roman" w:cs="Times New Roman"/>
          <w:sz w:val="24"/>
          <w:szCs w:val="24"/>
          <w:highlight w:val="none"/>
          <w:lang w:val="en-US" w:eastAsia="zh-CN"/>
        </w:rPr>
        <w:t>营业执照及法人身份证复印件</w:t>
      </w:r>
      <w:r>
        <w:rPr>
          <w:rFonts w:hint="default" w:ascii="Times New Roman" w:hAnsi="Times New Roman" w:eastAsia="黑体" w:cs="Times New Roman"/>
          <w:snapToGrid w:val="0"/>
          <w:sz w:val="24"/>
          <w:szCs w:val="24"/>
        </w:rPr>
        <w:fldChar w:fldCharType="end"/>
      </w:r>
    </w:p>
    <w:p w14:paraId="5B7F9AB0">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_Toc8825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附件三  项目发改投资备案表</w:t>
      </w:r>
      <w:r>
        <w:rPr>
          <w:rFonts w:hint="default" w:ascii="Times New Roman" w:hAnsi="Times New Roman" w:eastAsia="黑体" w:cs="Times New Roman"/>
          <w:snapToGrid w:val="0"/>
          <w:sz w:val="24"/>
          <w:szCs w:val="24"/>
        </w:rPr>
        <w:fldChar w:fldCharType="end"/>
      </w:r>
    </w:p>
    <w:p w14:paraId="0F232D2A">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ascii="Times New Roman" w:hAnsi="Times New Roman" w:eastAsia="黑体" w:cs="Times New Roman"/>
          <w:snapToGrid w:val="0"/>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_Toc10215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highlight w:val="none"/>
          <w:lang w:val="en-US" w:eastAsia="zh-CN"/>
        </w:rPr>
        <w:t xml:space="preserve">附件四  </w:t>
      </w:r>
      <w:r>
        <w:rPr>
          <w:rFonts w:hint="eastAsia" w:cs="Times New Roman"/>
          <w:sz w:val="24"/>
          <w:szCs w:val="24"/>
          <w:highlight w:val="none"/>
          <w:lang w:val="en-US" w:eastAsia="zh-CN"/>
        </w:rPr>
        <w:t>不动产权证</w:t>
      </w:r>
      <w:r>
        <w:rPr>
          <w:rFonts w:hint="default" w:ascii="Times New Roman" w:hAnsi="Times New Roman" w:eastAsia="黑体" w:cs="Times New Roman"/>
          <w:snapToGrid w:val="0"/>
          <w:sz w:val="24"/>
          <w:szCs w:val="24"/>
        </w:rPr>
        <w:fldChar w:fldCharType="end"/>
      </w:r>
    </w:p>
    <w:p w14:paraId="3959E889">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_Toc16650 </w:instrText>
      </w:r>
      <w:r>
        <w:rPr>
          <w:rFonts w:hint="default" w:ascii="Times New Roman" w:hAnsi="Times New Roman" w:eastAsia="黑体" w:cs="Times New Roman"/>
          <w:snapToGrid w:val="0"/>
          <w:sz w:val="24"/>
          <w:szCs w:val="24"/>
        </w:rPr>
        <w:fldChar w:fldCharType="separate"/>
      </w:r>
      <w:r>
        <w:rPr>
          <w:rFonts w:hint="eastAsia"/>
          <w:sz w:val="24"/>
          <w:szCs w:val="24"/>
          <w:lang w:val="en-US" w:eastAsia="zh-CN"/>
        </w:rPr>
        <w:t>附件五  厂房租赁协议</w:t>
      </w:r>
      <w:r>
        <w:rPr>
          <w:rFonts w:hint="default" w:ascii="Times New Roman" w:hAnsi="Times New Roman" w:eastAsia="黑体" w:cs="Times New Roman"/>
          <w:snapToGrid w:val="0"/>
          <w:sz w:val="24"/>
          <w:szCs w:val="24"/>
        </w:rPr>
        <w:fldChar w:fldCharType="end"/>
      </w:r>
    </w:p>
    <w:p w14:paraId="63F910D2">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_Toc1229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w:t>
      </w:r>
      <w:r>
        <w:rPr>
          <w:rFonts w:hint="eastAsia" w:cs="Times New Roman"/>
          <w:sz w:val="24"/>
          <w:szCs w:val="24"/>
          <w:lang w:val="en-US" w:eastAsia="zh-CN"/>
        </w:rPr>
        <w:t>六</w:t>
      </w:r>
      <w:r>
        <w:rPr>
          <w:rFonts w:hint="default" w:ascii="Times New Roman" w:hAnsi="Times New Roman" w:cs="Times New Roman"/>
          <w:sz w:val="24"/>
          <w:szCs w:val="24"/>
          <w:lang w:val="en-US" w:eastAsia="zh-CN"/>
        </w:rPr>
        <w:t xml:space="preserve">  </w:t>
      </w:r>
      <w:r>
        <w:rPr>
          <w:rFonts w:hint="eastAsia" w:cs="Times New Roman"/>
          <w:sz w:val="24"/>
          <w:szCs w:val="24"/>
          <w:lang w:val="en-US" w:eastAsia="zh-CN"/>
        </w:rPr>
        <w:t>出租方环评批复</w:t>
      </w:r>
      <w:r>
        <w:rPr>
          <w:rFonts w:hint="default" w:ascii="Times New Roman" w:hAnsi="Times New Roman" w:eastAsia="黑体" w:cs="Times New Roman"/>
          <w:snapToGrid w:val="0"/>
          <w:sz w:val="24"/>
          <w:szCs w:val="24"/>
        </w:rPr>
        <w:fldChar w:fldCharType="end"/>
      </w:r>
    </w:p>
    <w:p w14:paraId="766D11B9">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_Toc10671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附件七  规划局盖章</w:t>
      </w:r>
      <w:r>
        <w:rPr>
          <w:rFonts w:hint="eastAsia" w:cs="Times New Roman"/>
          <w:sz w:val="24"/>
          <w:szCs w:val="24"/>
          <w:lang w:val="en-US" w:eastAsia="zh-CN"/>
        </w:rPr>
        <w:t>总平面图</w:t>
      </w:r>
      <w:r>
        <w:rPr>
          <w:rFonts w:hint="default" w:ascii="Times New Roman" w:hAnsi="Times New Roman" w:eastAsia="黑体" w:cs="Times New Roman"/>
          <w:snapToGrid w:val="0"/>
          <w:sz w:val="24"/>
          <w:szCs w:val="24"/>
        </w:rPr>
        <w:fldChar w:fldCharType="end"/>
      </w:r>
    </w:p>
    <w:p w14:paraId="2CF4814C">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_Toc30389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w:t>
      </w:r>
      <w:r>
        <w:rPr>
          <w:rFonts w:hint="eastAsia" w:cs="Times New Roman"/>
          <w:sz w:val="24"/>
          <w:szCs w:val="24"/>
          <w:lang w:val="en-US" w:eastAsia="zh-CN"/>
        </w:rPr>
        <w:t>八</w:t>
      </w:r>
      <w:r>
        <w:rPr>
          <w:rFonts w:hint="default" w:ascii="Times New Roman" w:hAnsi="Times New Roman" w:cs="Times New Roman"/>
          <w:sz w:val="24"/>
          <w:szCs w:val="24"/>
          <w:lang w:val="en-US" w:eastAsia="zh-CN"/>
        </w:rPr>
        <w:t xml:space="preserve">  胶粘剂、固化剂成分报告及VOCs含量检测报告</w:t>
      </w:r>
      <w:r>
        <w:rPr>
          <w:rFonts w:hint="default" w:ascii="Times New Roman" w:hAnsi="Times New Roman" w:eastAsia="黑体" w:cs="Times New Roman"/>
          <w:snapToGrid w:val="0"/>
          <w:sz w:val="24"/>
          <w:szCs w:val="24"/>
        </w:rPr>
        <w:fldChar w:fldCharType="end"/>
      </w:r>
    </w:p>
    <w:p w14:paraId="0C0918B7">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_Toc2531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highlight w:val="none"/>
          <w:lang w:val="en-US" w:eastAsia="zh-CN"/>
        </w:rPr>
        <w:t>附件</w:t>
      </w:r>
      <w:r>
        <w:rPr>
          <w:rFonts w:hint="eastAsia" w:cs="Times New Roman"/>
          <w:sz w:val="24"/>
          <w:szCs w:val="24"/>
          <w:highlight w:val="none"/>
          <w:lang w:val="en-US" w:eastAsia="zh-CN"/>
        </w:rPr>
        <w:t>九</w:t>
      </w:r>
      <w:r>
        <w:rPr>
          <w:rFonts w:hint="default" w:ascii="Times New Roman" w:hAnsi="Times New Roman" w:cs="Times New Roman"/>
          <w:sz w:val="24"/>
          <w:szCs w:val="24"/>
          <w:highlight w:val="none"/>
          <w:lang w:val="en-US" w:eastAsia="zh-CN"/>
        </w:rPr>
        <w:t xml:space="preserve">  大气环境、声环境现状</w:t>
      </w:r>
      <w:r>
        <w:rPr>
          <w:rFonts w:hint="eastAsia" w:ascii="Times New Roman" w:hAnsi="Times New Roman" w:cs="Times New Roman"/>
          <w:sz w:val="24"/>
          <w:szCs w:val="24"/>
          <w:highlight w:val="none"/>
          <w:lang w:val="en-US" w:eastAsia="zh-CN"/>
        </w:rPr>
        <w:t>检测报告</w:t>
      </w:r>
      <w:r>
        <w:rPr>
          <w:rFonts w:hint="default" w:ascii="Times New Roman" w:hAnsi="Times New Roman" w:eastAsia="黑体" w:cs="Times New Roman"/>
          <w:snapToGrid w:val="0"/>
          <w:sz w:val="24"/>
          <w:szCs w:val="24"/>
        </w:rPr>
        <w:fldChar w:fldCharType="end"/>
      </w:r>
    </w:p>
    <w:p w14:paraId="7D667501">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_Toc12120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附件十  污水接管证明</w:t>
      </w:r>
      <w:r>
        <w:rPr>
          <w:rFonts w:hint="default" w:ascii="Times New Roman" w:hAnsi="Times New Roman" w:eastAsia="黑体" w:cs="Times New Roman"/>
          <w:snapToGrid w:val="0"/>
          <w:sz w:val="24"/>
          <w:szCs w:val="24"/>
        </w:rPr>
        <w:fldChar w:fldCharType="end"/>
      </w:r>
    </w:p>
    <w:p w14:paraId="61DCA06B">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eastAsia" w:ascii="Times New Roman" w:hAnsi="Times New Roman" w:eastAsia="黑体" w:cs="Times New Roman"/>
          <w:snapToGrid w:val="0"/>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_Toc11313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w:t>
      </w:r>
      <w:r>
        <w:rPr>
          <w:rFonts w:hint="eastAsia" w:cs="Times New Roman"/>
          <w:sz w:val="24"/>
          <w:szCs w:val="24"/>
          <w:lang w:val="en-US" w:eastAsia="zh-CN"/>
        </w:rPr>
        <w:t>十一</w:t>
      </w:r>
      <w:r>
        <w:rPr>
          <w:rFonts w:hint="default" w:ascii="Times New Roman" w:hAnsi="Times New Roman" w:cs="Times New Roman"/>
          <w:sz w:val="24"/>
          <w:szCs w:val="24"/>
          <w:lang w:val="en-US" w:eastAsia="zh-CN"/>
        </w:rPr>
        <w:t xml:space="preserve">  生态环境分区管控综合查询报告</w:t>
      </w:r>
      <w:r>
        <w:rPr>
          <w:rFonts w:hint="default" w:ascii="Times New Roman" w:hAnsi="Times New Roman" w:eastAsia="黑体" w:cs="Times New Roman"/>
          <w:snapToGrid w:val="0"/>
          <w:sz w:val="24"/>
          <w:szCs w:val="24"/>
        </w:rPr>
        <w:fldChar w:fldCharType="end"/>
      </w:r>
    </w:p>
    <w:p w14:paraId="29B28C83">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ascii="Times New Roman" w:hAnsi="Times New Roman" w:eastAsia="黑体" w:cs="Times New Roman"/>
          <w:snapToGrid w:val="0"/>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_Toc11313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附件</w:t>
      </w:r>
      <w:r>
        <w:rPr>
          <w:rFonts w:hint="eastAsia" w:cs="Times New Roman"/>
          <w:sz w:val="24"/>
          <w:szCs w:val="24"/>
          <w:lang w:val="en-US" w:eastAsia="zh-CN"/>
        </w:rPr>
        <w:t>十二</w:t>
      </w:r>
      <w:r>
        <w:rPr>
          <w:rFonts w:hint="default" w:ascii="Times New Roman" w:hAnsi="Times New Roman" w:cs="Times New Roman"/>
          <w:sz w:val="24"/>
          <w:szCs w:val="24"/>
          <w:lang w:val="en-US" w:eastAsia="zh-CN"/>
        </w:rPr>
        <w:t xml:space="preserve">  排污指标取得事宜的承诺书</w:t>
      </w:r>
      <w:r>
        <w:rPr>
          <w:rFonts w:hint="default" w:ascii="Times New Roman" w:hAnsi="Times New Roman" w:eastAsia="黑体" w:cs="Times New Roman"/>
          <w:snapToGrid w:val="0"/>
          <w:sz w:val="24"/>
          <w:szCs w:val="24"/>
        </w:rPr>
        <w:fldChar w:fldCharType="end"/>
      </w:r>
    </w:p>
    <w:p w14:paraId="14983173">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ascii="Times New Roman" w:hAnsi="Times New Roman" w:eastAsia="黑体" w:cs="Times New Roman"/>
          <w:snapToGrid w:val="0"/>
          <w:sz w:val="24"/>
          <w:szCs w:val="24"/>
        </w:rPr>
      </w:pPr>
    </w:p>
    <w:p w14:paraId="08CE40B4">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eastAsia" w:ascii="Times New Roman" w:hAnsi="Times New Roman" w:eastAsia="黑体" w:cs="Times New Roman"/>
          <w:snapToGrid w:val="0"/>
          <w:sz w:val="24"/>
          <w:szCs w:val="24"/>
          <w:lang w:eastAsia="zh-CN"/>
        </w:rPr>
      </w:pPr>
      <w:r>
        <w:rPr>
          <w:rFonts w:hint="eastAsia" w:ascii="Times New Roman" w:hAnsi="Times New Roman" w:eastAsia="黑体" w:cs="Times New Roman"/>
          <w:snapToGrid w:val="0"/>
          <w:sz w:val="24"/>
          <w:szCs w:val="24"/>
          <w:lang w:eastAsia="zh-CN"/>
        </w:rPr>
        <w:t>附图：</w:t>
      </w:r>
    </w:p>
    <w:p w14:paraId="015274BA">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_Toc3944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rPr>
        <w:t xml:space="preserve">附图1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项目地理位置图</w:t>
      </w:r>
      <w:r>
        <w:rPr>
          <w:rFonts w:hint="default" w:ascii="Times New Roman" w:hAnsi="Times New Roman" w:eastAsia="黑体" w:cs="Times New Roman"/>
          <w:snapToGrid w:val="0"/>
          <w:sz w:val="24"/>
          <w:szCs w:val="24"/>
        </w:rPr>
        <w:fldChar w:fldCharType="end"/>
      </w:r>
    </w:p>
    <w:p w14:paraId="3BC5E922">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_Toc13354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highlight w:val="none"/>
        </w:rPr>
        <w:t>附图</w:t>
      </w:r>
      <w:r>
        <w:rPr>
          <w:rFonts w:hint="default"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eastAsia="zh-CN"/>
        </w:rPr>
        <w:t xml:space="preserve"> 项目周边环境示意图</w:t>
      </w:r>
      <w:r>
        <w:rPr>
          <w:rFonts w:hint="default" w:ascii="Times New Roman" w:hAnsi="Times New Roman" w:eastAsia="黑体" w:cs="Times New Roman"/>
          <w:snapToGrid w:val="0"/>
          <w:sz w:val="24"/>
          <w:szCs w:val="24"/>
        </w:rPr>
        <w:fldChar w:fldCharType="end"/>
      </w:r>
    </w:p>
    <w:p w14:paraId="4EDD94F6">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_Toc307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rPr>
        <w:t>附图</w:t>
      </w:r>
      <w:r>
        <w:rPr>
          <w:rFonts w:hint="eastAsia" w:cs="Times New Roman"/>
          <w:sz w:val="24"/>
          <w:szCs w:val="24"/>
          <w:lang w:val="en-US" w:eastAsia="zh-CN"/>
        </w:rPr>
        <w:t>3</w:t>
      </w:r>
      <w:r>
        <w:rPr>
          <w:rFonts w:hint="default" w:ascii="Times New Roman" w:hAnsi="Times New Roman" w:cs="Times New Roman"/>
          <w:sz w:val="24"/>
          <w:szCs w:val="24"/>
        </w:rPr>
        <w:t xml:space="preserve">  项目周边</w:t>
      </w:r>
      <w:r>
        <w:rPr>
          <w:rFonts w:hint="default" w:ascii="Times New Roman" w:hAnsi="Times New Roman" w:cs="Times New Roman"/>
          <w:sz w:val="24"/>
          <w:szCs w:val="24"/>
          <w:lang w:eastAsia="zh-CN"/>
        </w:rPr>
        <w:t>及厂区</w:t>
      </w:r>
      <w:r>
        <w:rPr>
          <w:rFonts w:hint="default" w:ascii="Times New Roman" w:hAnsi="Times New Roman" w:cs="Times New Roman"/>
          <w:sz w:val="24"/>
          <w:szCs w:val="24"/>
        </w:rPr>
        <w:t>现状拍摄图</w:t>
      </w:r>
      <w:r>
        <w:rPr>
          <w:rFonts w:hint="default" w:ascii="Times New Roman" w:hAnsi="Times New Roman" w:eastAsia="黑体" w:cs="Times New Roman"/>
          <w:snapToGrid w:val="0"/>
          <w:sz w:val="24"/>
          <w:szCs w:val="24"/>
        </w:rPr>
        <w:fldChar w:fldCharType="end"/>
      </w:r>
    </w:p>
    <w:p w14:paraId="24345A27">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sz w:val="24"/>
          <w:szCs w:val="24"/>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_Toc19714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rPr>
        <w:t>附图</w:t>
      </w:r>
      <w:r>
        <w:rPr>
          <w:rFonts w:hint="eastAsia" w:cs="Times New Roman"/>
          <w:sz w:val="24"/>
          <w:szCs w:val="24"/>
          <w:lang w:val="en-US" w:eastAsia="zh-CN"/>
        </w:rPr>
        <w:t>4</w:t>
      </w:r>
      <w:r>
        <w:rPr>
          <w:rFonts w:hint="default" w:ascii="Times New Roman" w:hAnsi="Times New Roman" w:cs="Times New Roman"/>
          <w:sz w:val="24"/>
          <w:szCs w:val="24"/>
        </w:rPr>
        <w:t xml:space="preserve">  项目</w:t>
      </w:r>
      <w:r>
        <w:rPr>
          <w:rFonts w:hint="default" w:ascii="Times New Roman" w:hAnsi="Times New Roman" w:cs="Times New Roman"/>
          <w:sz w:val="24"/>
          <w:szCs w:val="24"/>
          <w:lang w:eastAsia="zh-CN"/>
        </w:rPr>
        <w:t>厂区总平及雨污管网图</w:t>
      </w:r>
      <w:r>
        <w:rPr>
          <w:rFonts w:hint="default" w:ascii="Times New Roman" w:hAnsi="Times New Roman" w:eastAsia="黑体" w:cs="Times New Roman"/>
          <w:snapToGrid w:val="0"/>
          <w:sz w:val="24"/>
          <w:szCs w:val="24"/>
        </w:rPr>
        <w:fldChar w:fldCharType="end"/>
      </w:r>
    </w:p>
    <w:p w14:paraId="1ACED6E7">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_Toc3566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附图</w:t>
      </w:r>
      <w:r>
        <w:rPr>
          <w:rFonts w:hint="eastAsia" w:cs="Times New Roman"/>
          <w:sz w:val="24"/>
          <w:szCs w:val="24"/>
          <w:lang w:val="en-US" w:eastAsia="zh-CN"/>
        </w:rPr>
        <w:t>5</w:t>
      </w:r>
      <w:r>
        <w:rPr>
          <w:rFonts w:hint="default" w:ascii="Times New Roman" w:hAnsi="Times New Roman" w:cs="Times New Roman"/>
          <w:sz w:val="24"/>
          <w:szCs w:val="24"/>
          <w:lang w:val="en-US" w:eastAsia="zh-CN"/>
        </w:rPr>
        <w:t xml:space="preserve">  1号厂房三层平面图</w:t>
      </w:r>
      <w:r>
        <w:rPr>
          <w:rFonts w:hint="default" w:ascii="Times New Roman" w:hAnsi="Times New Roman" w:eastAsia="黑体" w:cs="Times New Roman"/>
          <w:snapToGrid w:val="0"/>
          <w:sz w:val="24"/>
          <w:szCs w:val="24"/>
        </w:rPr>
        <w:fldChar w:fldCharType="end"/>
      </w:r>
    </w:p>
    <w:p w14:paraId="4625525C">
      <w:pPr>
        <w:pStyle w:val="86"/>
        <w:keepNext w:val="0"/>
        <w:keepLines w:val="0"/>
        <w:pageBreakBefore w:val="0"/>
        <w:widowControl/>
        <w:tabs>
          <w:tab w:val="right" w:leader="dot" w:pos="8844"/>
        </w:tabs>
        <w:kinsoku/>
        <w:wordWrap/>
        <w:overflowPunct/>
        <w:topLinePunct w:val="0"/>
        <w:autoSpaceDE/>
        <w:autoSpaceDN/>
        <w:bidi w:val="0"/>
        <w:adjustRightInd/>
        <w:snapToGrid/>
        <w:spacing w:beforeAutospacing="0" w:afterAutospacing="0" w:line="400" w:lineRule="exact"/>
        <w:textAlignment w:val="auto"/>
        <w:rPr>
          <w:rFonts w:hint="default" w:eastAsia="黑体"/>
          <w:sz w:val="24"/>
          <w:szCs w:val="24"/>
          <w:lang w:val="en-US" w:eastAsia="zh-CN"/>
        </w:rPr>
      </w:pPr>
      <w:r>
        <w:rPr>
          <w:rFonts w:hint="default" w:ascii="Times New Roman" w:hAnsi="Times New Roman" w:eastAsia="黑体" w:cs="Times New Roman"/>
          <w:snapToGrid w:val="0"/>
          <w:sz w:val="24"/>
          <w:szCs w:val="24"/>
        </w:rPr>
        <w:fldChar w:fldCharType="begin"/>
      </w:r>
      <w:r>
        <w:rPr>
          <w:rFonts w:hint="default" w:ascii="Times New Roman" w:hAnsi="Times New Roman" w:eastAsia="黑体" w:cs="Times New Roman"/>
          <w:snapToGrid w:val="0"/>
          <w:sz w:val="24"/>
          <w:szCs w:val="24"/>
        </w:rPr>
        <w:instrText xml:space="preserve"> HYPERLINK \l _Toc27030 </w:instrText>
      </w:r>
      <w:r>
        <w:rPr>
          <w:rFonts w:hint="default" w:ascii="Times New Roman" w:hAnsi="Times New Roman" w:eastAsia="黑体" w:cs="Times New Roman"/>
          <w:snapToGrid w:val="0"/>
          <w:sz w:val="24"/>
          <w:szCs w:val="24"/>
        </w:rPr>
        <w:fldChar w:fldCharType="separate"/>
      </w:r>
      <w:r>
        <w:rPr>
          <w:rFonts w:hint="default" w:ascii="Times New Roman" w:hAnsi="Times New Roman" w:cs="Times New Roman"/>
          <w:sz w:val="24"/>
          <w:szCs w:val="24"/>
          <w:lang w:val="en-US" w:eastAsia="zh-CN"/>
        </w:rPr>
        <w:t>附图</w:t>
      </w:r>
      <w:r>
        <w:rPr>
          <w:rFonts w:hint="eastAsia" w:cs="Times New Roman"/>
          <w:sz w:val="24"/>
          <w:szCs w:val="24"/>
          <w:lang w:val="en-US" w:eastAsia="zh-CN"/>
        </w:rPr>
        <w:t>6</w:t>
      </w:r>
      <w:r>
        <w:rPr>
          <w:rFonts w:hint="default" w:ascii="Times New Roman" w:hAnsi="Times New Roman" w:cs="Times New Roman"/>
          <w:sz w:val="24"/>
          <w:szCs w:val="24"/>
          <w:lang w:val="en-US" w:eastAsia="zh-CN"/>
        </w:rPr>
        <w:t xml:space="preserve"> </w:t>
      </w:r>
      <w:r>
        <w:rPr>
          <w:rFonts w:hint="eastAsia" w:cs="Times New Roman"/>
          <w:sz w:val="24"/>
          <w:szCs w:val="24"/>
          <w:lang w:val="en-US" w:eastAsia="zh-CN"/>
        </w:rPr>
        <w:t xml:space="preserve"> 1号厂房屋面层平面</w:t>
      </w:r>
      <w:r>
        <w:rPr>
          <w:rFonts w:hint="default" w:ascii="Times New Roman" w:hAnsi="Times New Roman" w:eastAsia="黑体" w:cs="Times New Roman"/>
          <w:snapToGrid w:val="0"/>
          <w:sz w:val="24"/>
          <w:szCs w:val="24"/>
        </w:rPr>
        <w:fldChar w:fldCharType="end"/>
      </w:r>
    </w:p>
    <w:p w14:paraId="2E323AE9">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jc w:val="center"/>
        <w:textAlignment w:val="auto"/>
        <w:outlineLvl w:val="9"/>
        <w:rPr>
          <w:rFonts w:hint="default" w:ascii="Times New Roman" w:hAnsi="Times New Roman" w:eastAsia="黑体" w:cs="Times New Roman"/>
          <w:snapToGrid w:val="0"/>
          <w:sz w:val="24"/>
          <w:szCs w:val="24"/>
        </w:rPr>
      </w:pPr>
    </w:p>
    <w:p w14:paraId="1AF9ED24">
      <w:pPr>
        <w:pStyle w:val="22"/>
        <w:jc w:val="center"/>
        <w:outlineLvl w:val="9"/>
        <w:rPr>
          <w:rFonts w:hint="default" w:ascii="Times New Roman" w:hAnsi="Times New Roman" w:eastAsia="黑体" w:cs="Times New Roman"/>
          <w:snapToGrid w:val="0"/>
          <w:szCs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E6DC76C">
      <w:pPr>
        <w:pStyle w:val="22"/>
        <w:jc w:val="center"/>
        <w:outlineLvl w:val="0"/>
        <w:rPr>
          <w:rFonts w:hint="default" w:ascii="Times New Roman" w:hAnsi="Times New Roman" w:eastAsia="黑体" w:cs="Times New Roman"/>
          <w:snapToGrid w:val="0"/>
          <w:sz w:val="30"/>
          <w:szCs w:val="30"/>
        </w:rPr>
      </w:pPr>
      <w:bookmarkStart w:id="14" w:name="_Toc25078"/>
      <w:r>
        <w:rPr>
          <w:rFonts w:hint="default" w:ascii="Times New Roman" w:hAnsi="Times New Roman" w:eastAsia="黑体" w:cs="Times New Roman"/>
          <w:snapToGrid w:val="0"/>
          <w:sz w:val="30"/>
          <w:szCs w:val="30"/>
        </w:rPr>
        <w:t>一、建设项目基本情况</w:t>
      </w:r>
      <w:bookmarkEnd w:id="11"/>
      <w:bookmarkEnd w:id="12"/>
      <w:bookmarkEnd w:id="13"/>
      <w:bookmarkEnd w:id="14"/>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386"/>
        <w:gridCol w:w="808"/>
        <w:gridCol w:w="2607"/>
        <w:gridCol w:w="2051"/>
        <w:gridCol w:w="3065"/>
      </w:tblGrid>
      <w:tr w14:paraId="53173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7A2BE54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建设项目名称</w:t>
            </w:r>
          </w:p>
        </w:tc>
        <w:tc>
          <w:tcPr>
            <w:tcW w:w="7365" w:type="dxa"/>
            <w:gridSpan w:val="3"/>
            <w:noWrap w:val="0"/>
            <w:vAlign w:val="center"/>
          </w:tcPr>
          <w:p w14:paraId="69F8D5DD">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格拉默车辆内饰（合肥）有限公司福州分公司年加工汽车零部件20万套</w:t>
            </w:r>
          </w:p>
        </w:tc>
      </w:tr>
      <w:tr w14:paraId="7B2AA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0A281B6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项目代码</w:t>
            </w:r>
          </w:p>
        </w:tc>
        <w:tc>
          <w:tcPr>
            <w:tcW w:w="7365" w:type="dxa"/>
            <w:gridSpan w:val="3"/>
            <w:noWrap w:val="0"/>
            <w:vAlign w:val="center"/>
          </w:tcPr>
          <w:p w14:paraId="4CE1882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2511-350181-04-01-297347</w:t>
            </w:r>
          </w:p>
        </w:tc>
      </w:tr>
      <w:tr w14:paraId="33D19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7559B80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建设单位联系人</w:t>
            </w:r>
          </w:p>
        </w:tc>
        <w:tc>
          <w:tcPr>
            <w:tcW w:w="2514" w:type="dxa"/>
            <w:noWrap w:val="0"/>
            <w:vAlign w:val="center"/>
          </w:tcPr>
          <w:p w14:paraId="1F98384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099" w:type="dxa"/>
            <w:noWrap w:val="0"/>
            <w:vAlign w:val="center"/>
          </w:tcPr>
          <w:p w14:paraId="70346DE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联系方式</w:t>
            </w:r>
          </w:p>
        </w:tc>
        <w:tc>
          <w:tcPr>
            <w:tcW w:w="2752" w:type="dxa"/>
            <w:noWrap w:val="0"/>
            <w:vAlign w:val="center"/>
          </w:tcPr>
          <w:p w14:paraId="59AC85B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12CC2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1A75865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建设地点</w:t>
            </w:r>
          </w:p>
        </w:tc>
        <w:tc>
          <w:tcPr>
            <w:tcW w:w="7365" w:type="dxa"/>
            <w:gridSpan w:val="3"/>
            <w:noWrap w:val="0"/>
            <w:vAlign w:val="center"/>
          </w:tcPr>
          <w:p w14:paraId="677ED332">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p>
          <w:p w14:paraId="62F216BB">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p>
        </w:tc>
      </w:tr>
      <w:tr w14:paraId="377F8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1D572D1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地理坐标</w:t>
            </w:r>
          </w:p>
        </w:tc>
        <w:tc>
          <w:tcPr>
            <w:tcW w:w="7365" w:type="dxa"/>
            <w:gridSpan w:val="3"/>
            <w:noWrap w:val="0"/>
            <w:vAlign w:val="center"/>
          </w:tcPr>
          <w:p w14:paraId="76F6CF7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(经度：119°1</w:t>
            </w:r>
            <w:r>
              <w:rPr>
                <w:rFonts w:hint="default"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28</w:t>
            </w:r>
            <w:r>
              <w:rPr>
                <w:rFonts w:hint="default" w:ascii="Times New Roman" w:hAnsi="Times New Roman" w:cs="Times New Roman"/>
                <w:color w:val="000000" w:themeColor="text1"/>
                <w:szCs w:val="21"/>
                <w:lang w:val="en-US" w:eastAsia="zh-CN"/>
                <w14:textFill>
                  <w14:solidFill>
                    <w14:schemeClr w14:val="tx1"/>
                  </w14:solidFill>
                </w14:textFill>
              </w:rPr>
              <w:t>.456</w:t>
            </w:r>
            <w:r>
              <w:rPr>
                <w:rFonts w:hint="default" w:ascii="Times New Roman" w:hAnsi="Times New Roman" w:cs="Times New Roman"/>
                <w:color w:val="000000" w:themeColor="text1"/>
                <w:szCs w:val="21"/>
                <w14:textFill>
                  <w14:solidFill>
                    <w14:schemeClr w14:val="tx1"/>
                  </w14:solidFill>
                </w14:textFill>
              </w:rPr>
              <w:t>″，纬度：25°</w:t>
            </w:r>
            <w:r>
              <w:rPr>
                <w:rFonts w:hint="default" w:ascii="Times New Roman" w:hAnsi="Times New Roman" w:cs="Times New Roman"/>
                <w:color w:val="000000" w:themeColor="text1"/>
                <w:szCs w:val="21"/>
                <w:lang w:val="en-US" w:eastAsia="zh-CN"/>
                <w14:textFill>
                  <w14:solidFill>
                    <w14:schemeClr w14:val="tx1"/>
                  </w14:solidFill>
                </w14:textFill>
              </w:rPr>
              <w:t>45</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17</w:t>
            </w:r>
            <w:r>
              <w:rPr>
                <w:rFonts w:hint="default" w:ascii="Times New Roman" w:hAnsi="Times New Roman" w:cs="Times New Roman"/>
                <w:color w:val="000000" w:themeColor="text1"/>
                <w:szCs w:val="21"/>
                <w:lang w:val="en-US" w:eastAsia="zh-CN"/>
                <w14:textFill>
                  <w14:solidFill>
                    <w14:schemeClr w14:val="tx1"/>
                  </w14:solidFill>
                </w14:textFill>
              </w:rPr>
              <w:t>.601</w:t>
            </w:r>
            <w:r>
              <w:rPr>
                <w:rFonts w:hint="default" w:ascii="Times New Roman" w:hAnsi="Times New Roman" w:cs="Times New Roman"/>
                <w:color w:val="000000" w:themeColor="text1"/>
                <w:szCs w:val="21"/>
                <w14:textFill>
                  <w14:solidFill>
                    <w14:schemeClr w14:val="tx1"/>
                  </w14:solidFill>
                </w14:textFill>
              </w:rPr>
              <w:t>″)</w:t>
            </w:r>
          </w:p>
          <w:p w14:paraId="03230A2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地理位置图详见</w:t>
            </w:r>
            <w:r>
              <w:rPr>
                <w:rFonts w:hint="default" w:ascii="Times New Roman" w:hAnsi="Times New Roman" w:cs="Times New Roman"/>
                <w:b w:val="0"/>
                <w:bCs w:val="0"/>
                <w:color w:val="000000" w:themeColor="text1"/>
                <w:szCs w:val="21"/>
                <w14:textFill>
                  <w14:solidFill>
                    <w14:schemeClr w14:val="tx1"/>
                  </w14:solidFill>
                </w14:textFill>
              </w:rPr>
              <w:t>附图1</w:t>
            </w:r>
          </w:p>
        </w:tc>
      </w:tr>
      <w:tr w14:paraId="46C12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1505" w:type="dxa"/>
            <w:gridSpan w:val="2"/>
            <w:noWrap w:val="0"/>
            <w:tcMar>
              <w:top w:w="16" w:type="dxa"/>
              <w:left w:w="16" w:type="dxa"/>
              <w:right w:w="16" w:type="dxa"/>
            </w:tcMar>
            <w:vAlign w:val="center"/>
          </w:tcPr>
          <w:p w14:paraId="330104BD">
            <w:pPr>
              <w:keepLines w:val="0"/>
              <w:pageBreakBefore w:val="0"/>
              <w:widowControl w:val="0"/>
              <w:kinsoku/>
              <w:wordWrap/>
              <w:topLinePunct w:val="0"/>
              <w:autoSpaceDE/>
              <w:autoSpaceDN/>
              <w:bidi w:val="0"/>
              <w:adjustRightInd w:val="0"/>
              <w:snapToGrid w:val="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国民经济</w:t>
            </w:r>
          </w:p>
          <w:p w14:paraId="37862A1D">
            <w:pPr>
              <w:keepLines w:val="0"/>
              <w:pageBreakBefore w:val="0"/>
              <w:widowControl w:val="0"/>
              <w:kinsoku/>
              <w:wordWrap/>
              <w:topLinePunct w:val="0"/>
              <w:autoSpaceDE/>
              <w:autoSpaceDN/>
              <w:bidi w:val="0"/>
              <w:adjustRightInd w:val="0"/>
              <w:snapToGrid w:val="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p>
        </w:tc>
        <w:tc>
          <w:tcPr>
            <w:tcW w:w="2514" w:type="dxa"/>
            <w:noWrap w:val="0"/>
            <w:vAlign w:val="center"/>
          </w:tcPr>
          <w:p w14:paraId="2DAAE70F">
            <w:pPr>
              <w:keepLines w:val="0"/>
              <w:pageBreakBefore w:val="0"/>
              <w:widowControl w:val="0"/>
              <w:kinsoku/>
              <w:wordWrap/>
              <w:topLinePunct w:val="0"/>
              <w:autoSpaceDE/>
              <w:autoSpaceDN/>
              <w:bidi w:val="0"/>
              <w:snapToGrid w:val="0"/>
              <w:textAlignment w:val="auto"/>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C3670 汽车零部件及配件制造</w:t>
            </w:r>
          </w:p>
        </w:tc>
        <w:tc>
          <w:tcPr>
            <w:tcW w:w="2099" w:type="dxa"/>
            <w:noWrap w:val="0"/>
            <w:vAlign w:val="center"/>
          </w:tcPr>
          <w:p w14:paraId="5C628B14">
            <w:pPr>
              <w:keepLines w:val="0"/>
              <w:pageBreakBefore w:val="0"/>
              <w:widowControl w:val="0"/>
              <w:kinsoku/>
              <w:wordWrap/>
              <w:topLinePunct w:val="0"/>
              <w:autoSpaceDE/>
              <w:autoSpaceDN/>
              <w:bidi w:val="0"/>
              <w:adjustRightInd w:val="0"/>
              <w:snapToGrid w:val="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bookmarkStart w:id="15" w:name="_Hlk49843745"/>
            <w:r>
              <w:rPr>
                <w:rFonts w:hint="default" w:ascii="Times New Roman" w:hAnsi="Times New Roman" w:cs="Times New Roman"/>
                <w:color w:val="000000" w:themeColor="text1"/>
                <w:szCs w:val="21"/>
                <w14:textFill>
                  <w14:solidFill>
                    <w14:schemeClr w14:val="tx1"/>
                  </w14:solidFill>
                </w14:textFill>
              </w:rPr>
              <w:t>建设项目</w:t>
            </w:r>
          </w:p>
          <w:p w14:paraId="21C53F1E">
            <w:pPr>
              <w:keepLines w:val="0"/>
              <w:pageBreakBefore w:val="0"/>
              <w:widowControl w:val="0"/>
              <w:kinsoku/>
              <w:wordWrap/>
              <w:topLinePunct w:val="0"/>
              <w:autoSpaceDE/>
              <w:autoSpaceDN/>
              <w:bidi w:val="0"/>
              <w:adjustRightInd w:val="0"/>
              <w:snapToGrid w:val="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bookmarkEnd w:id="15"/>
          </w:p>
        </w:tc>
        <w:tc>
          <w:tcPr>
            <w:tcW w:w="2752" w:type="dxa"/>
            <w:noWrap w:val="0"/>
            <w:vAlign w:val="center"/>
          </w:tcPr>
          <w:p w14:paraId="223DBD89">
            <w:pPr>
              <w:keepLines w:val="0"/>
              <w:pageBreakBefore w:val="0"/>
              <w:widowControl w:val="0"/>
              <w:kinsoku/>
              <w:wordWrap/>
              <w:topLinePunct w:val="0"/>
              <w:autoSpaceDE/>
              <w:autoSpaceDN/>
              <w:bidi w:val="0"/>
              <w:snapToGrid w:val="0"/>
              <w:textAlignment w:val="auto"/>
              <w:outlineLvl w:val="9"/>
              <w:rPr>
                <w:rFonts w:hint="default"/>
                <w:color w:val="000000" w:themeColor="text1"/>
                <w:lang w:val="en-US"/>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三十三、汽车制造业 36-71汽车零部件及配件制造 367</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其他(年用非溶剂型低V0Cs含量涂料10吨以下的除外)</w:t>
            </w:r>
          </w:p>
        </w:tc>
      </w:tr>
      <w:tr w14:paraId="61BF7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1505" w:type="dxa"/>
            <w:gridSpan w:val="2"/>
            <w:noWrap w:val="0"/>
            <w:tcMar>
              <w:top w:w="16" w:type="dxa"/>
              <w:left w:w="16" w:type="dxa"/>
              <w:right w:w="16" w:type="dxa"/>
            </w:tcMar>
            <w:vAlign w:val="center"/>
          </w:tcPr>
          <w:p w14:paraId="42F6DEB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建设性质</w:t>
            </w:r>
          </w:p>
        </w:tc>
        <w:tc>
          <w:tcPr>
            <w:tcW w:w="2514" w:type="dxa"/>
            <w:noWrap w:val="0"/>
            <w:vAlign w:val="center"/>
          </w:tcPr>
          <w:p w14:paraId="12C2A306">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新建</w:t>
            </w:r>
          </w:p>
          <w:p w14:paraId="2ED24222">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改建</w:t>
            </w:r>
          </w:p>
          <w:p w14:paraId="2636D18A">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扩建</w:t>
            </w:r>
          </w:p>
          <w:p w14:paraId="2C8CBD30">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技术改造</w:t>
            </w:r>
          </w:p>
        </w:tc>
        <w:tc>
          <w:tcPr>
            <w:tcW w:w="2099" w:type="dxa"/>
            <w:noWrap w:val="0"/>
            <w:vAlign w:val="center"/>
          </w:tcPr>
          <w:p w14:paraId="3ED3E26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w:t>
            </w:r>
          </w:p>
          <w:p w14:paraId="7442926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申报情形</w:t>
            </w:r>
          </w:p>
        </w:tc>
        <w:tc>
          <w:tcPr>
            <w:tcW w:w="2752" w:type="dxa"/>
            <w:noWrap w:val="0"/>
            <w:vAlign w:val="center"/>
          </w:tcPr>
          <w:p w14:paraId="400D1F2B">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 xml:space="preserve">首次申报项目             </w:t>
            </w:r>
          </w:p>
          <w:p w14:paraId="38B08611">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不予批准后再次申报项目</w:t>
            </w:r>
          </w:p>
          <w:p w14:paraId="66AD05EA">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 xml:space="preserve">超五年重新审核项目     </w:t>
            </w:r>
          </w:p>
          <w:p w14:paraId="50C52D79">
            <w:pPr>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重大变动重新报批项目</w:t>
            </w:r>
          </w:p>
        </w:tc>
      </w:tr>
      <w:tr w14:paraId="55E6C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1505" w:type="dxa"/>
            <w:gridSpan w:val="2"/>
            <w:noWrap w:val="0"/>
            <w:tcMar>
              <w:top w:w="16" w:type="dxa"/>
              <w:left w:w="16" w:type="dxa"/>
              <w:right w:w="16" w:type="dxa"/>
            </w:tcMar>
            <w:vAlign w:val="center"/>
          </w:tcPr>
          <w:p w14:paraId="3C9B9F8E">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核准/备案</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部门</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选填</w:t>
            </w:r>
            <w:r>
              <w:rPr>
                <w:rFonts w:hint="eastAsia" w:ascii="Times New Roman" w:hAnsi="Times New Roman" w:cs="Times New Roman"/>
                <w:color w:val="000000" w:themeColor="text1"/>
                <w:szCs w:val="21"/>
                <w:lang w:eastAsia="zh-CN"/>
                <w14:textFill>
                  <w14:solidFill>
                    <w14:schemeClr w14:val="tx1"/>
                  </w14:solidFill>
                </w14:textFill>
              </w:rPr>
              <w:t>)</w:t>
            </w:r>
          </w:p>
        </w:tc>
        <w:tc>
          <w:tcPr>
            <w:tcW w:w="2514" w:type="dxa"/>
            <w:noWrap w:val="0"/>
            <w:vAlign w:val="center"/>
          </w:tcPr>
          <w:p w14:paraId="407CF18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福清市发展和改革局</w:t>
            </w:r>
          </w:p>
        </w:tc>
        <w:tc>
          <w:tcPr>
            <w:tcW w:w="2099" w:type="dxa"/>
            <w:noWrap w:val="0"/>
            <w:vAlign w:val="center"/>
          </w:tcPr>
          <w:p w14:paraId="0D6D90B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核准/</w:t>
            </w:r>
          </w:p>
          <w:p w14:paraId="542463AC">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备案</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文号</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选填</w:t>
            </w:r>
            <w:r>
              <w:rPr>
                <w:rFonts w:hint="eastAsia" w:ascii="Times New Roman" w:hAnsi="Times New Roman" w:cs="Times New Roman"/>
                <w:color w:val="000000" w:themeColor="text1"/>
                <w:szCs w:val="21"/>
                <w:lang w:eastAsia="zh-CN"/>
                <w14:textFill>
                  <w14:solidFill>
                    <w14:schemeClr w14:val="tx1"/>
                  </w14:solidFill>
                </w14:textFill>
              </w:rPr>
              <w:t>)</w:t>
            </w:r>
          </w:p>
        </w:tc>
        <w:tc>
          <w:tcPr>
            <w:tcW w:w="2752" w:type="dxa"/>
            <w:noWrap w:val="0"/>
            <w:vAlign w:val="center"/>
          </w:tcPr>
          <w:p w14:paraId="24DF7188">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闽发改外备[2025]A060019号</w:t>
            </w:r>
          </w:p>
        </w:tc>
      </w:tr>
      <w:tr w14:paraId="5F16D9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6D3C2825">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总投资</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万元</w:t>
            </w:r>
            <w:r>
              <w:rPr>
                <w:rFonts w:hint="eastAsia" w:ascii="Times New Roman" w:hAnsi="Times New Roman" w:cs="Times New Roman"/>
                <w:color w:val="000000" w:themeColor="text1"/>
                <w:szCs w:val="21"/>
                <w:lang w:eastAsia="zh-CN"/>
                <w14:textFill>
                  <w14:solidFill>
                    <w14:schemeClr w14:val="tx1"/>
                  </w14:solidFill>
                </w14:textFill>
              </w:rPr>
              <w:t>)</w:t>
            </w:r>
          </w:p>
        </w:tc>
        <w:tc>
          <w:tcPr>
            <w:tcW w:w="2514" w:type="dxa"/>
            <w:noWrap w:val="0"/>
            <w:vAlign w:val="center"/>
          </w:tcPr>
          <w:p w14:paraId="3662A4B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630</w:t>
            </w:r>
          </w:p>
        </w:tc>
        <w:tc>
          <w:tcPr>
            <w:tcW w:w="2099" w:type="dxa"/>
            <w:noWrap w:val="0"/>
            <w:tcMar>
              <w:top w:w="16" w:type="dxa"/>
              <w:left w:w="16" w:type="dxa"/>
              <w:right w:w="16" w:type="dxa"/>
            </w:tcMar>
            <w:vAlign w:val="center"/>
          </w:tcPr>
          <w:p w14:paraId="08AB796B">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万元</w:t>
            </w:r>
            <w:r>
              <w:rPr>
                <w:rFonts w:hint="eastAsia" w:ascii="Times New Roman" w:hAnsi="Times New Roman" w:cs="Times New Roman"/>
                <w:color w:val="000000" w:themeColor="text1"/>
                <w:szCs w:val="21"/>
                <w:lang w:eastAsia="zh-CN"/>
                <w14:textFill>
                  <w14:solidFill>
                    <w14:schemeClr w14:val="tx1"/>
                  </w14:solidFill>
                </w14:textFill>
              </w:rPr>
              <w:t>)</w:t>
            </w:r>
          </w:p>
        </w:tc>
        <w:tc>
          <w:tcPr>
            <w:tcW w:w="2752" w:type="dxa"/>
            <w:noWrap w:val="0"/>
            <w:vAlign w:val="center"/>
          </w:tcPr>
          <w:p w14:paraId="4E97548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31.5</w:t>
            </w:r>
          </w:p>
        </w:tc>
      </w:tr>
      <w:tr w14:paraId="73981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75EA3580">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环保投资占比</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eastAsia="zh-CN"/>
                <w14:textFill>
                  <w14:solidFill>
                    <w14:schemeClr w14:val="tx1"/>
                  </w14:solidFill>
                </w14:textFill>
              </w:rPr>
              <w:t>)</w:t>
            </w:r>
          </w:p>
        </w:tc>
        <w:tc>
          <w:tcPr>
            <w:tcW w:w="2514" w:type="dxa"/>
            <w:noWrap w:val="0"/>
            <w:vAlign w:val="center"/>
          </w:tcPr>
          <w:p w14:paraId="110F701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2099" w:type="dxa"/>
            <w:noWrap w:val="0"/>
            <w:tcMar>
              <w:top w:w="16" w:type="dxa"/>
              <w:left w:w="16" w:type="dxa"/>
              <w:right w:w="16" w:type="dxa"/>
            </w:tcMar>
            <w:vAlign w:val="center"/>
          </w:tcPr>
          <w:p w14:paraId="6021D06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施工工期</w:t>
            </w:r>
          </w:p>
        </w:tc>
        <w:tc>
          <w:tcPr>
            <w:tcW w:w="2752" w:type="dxa"/>
            <w:noWrap w:val="0"/>
            <w:vAlign w:val="center"/>
          </w:tcPr>
          <w:p w14:paraId="4198DCD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w:t>
            </w:r>
            <w:r>
              <w:rPr>
                <w:rFonts w:hint="eastAsia"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年</w:t>
            </w: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月</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202</w:t>
            </w:r>
            <w:r>
              <w:rPr>
                <w:rFonts w:hint="eastAsia"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年</w:t>
            </w:r>
            <w:r>
              <w:rPr>
                <w:rFonts w:hint="eastAsia"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月</w:t>
            </w:r>
          </w:p>
        </w:tc>
      </w:tr>
      <w:tr w14:paraId="16E72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505" w:type="dxa"/>
            <w:gridSpan w:val="2"/>
            <w:noWrap w:val="0"/>
            <w:tcMar>
              <w:top w:w="16" w:type="dxa"/>
              <w:left w:w="16" w:type="dxa"/>
              <w:right w:w="16" w:type="dxa"/>
            </w:tcMar>
            <w:vAlign w:val="center"/>
          </w:tcPr>
          <w:p w14:paraId="53B1EDA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是否开工建设</w:t>
            </w:r>
          </w:p>
        </w:tc>
        <w:tc>
          <w:tcPr>
            <w:tcW w:w="2514" w:type="dxa"/>
            <w:noWrap w:val="0"/>
            <w:vAlign w:val="center"/>
          </w:tcPr>
          <w:p w14:paraId="1D656BB3">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否</w:t>
            </w:r>
          </w:p>
          <w:p w14:paraId="7EA7BC1A">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是：</w:t>
            </w:r>
            <w:r>
              <w:rPr>
                <w:rFonts w:hint="default" w:ascii="Times New Roman" w:hAnsi="Times New Roman" w:cs="Times New Roman"/>
                <w:color w:val="000000" w:themeColor="text1"/>
                <w:szCs w:val="21"/>
                <w:u w:val="single"/>
                <w14:textFill>
                  <w14:solidFill>
                    <w14:schemeClr w14:val="tx1"/>
                  </w14:solidFill>
                </w14:textFill>
              </w:rPr>
              <w:t xml:space="preserve">              </w:t>
            </w:r>
          </w:p>
        </w:tc>
        <w:tc>
          <w:tcPr>
            <w:tcW w:w="2099" w:type="dxa"/>
            <w:noWrap w:val="0"/>
            <w:tcMar>
              <w:top w:w="16" w:type="dxa"/>
              <w:left w:w="16" w:type="dxa"/>
              <w:right w:w="16" w:type="dxa"/>
            </w:tcMar>
            <w:vAlign w:val="center"/>
          </w:tcPr>
          <w:p w14:paraId="59DAC146">
            <w:pPr>
              <w:adjustRightInd w:val="0"/>
              <w:snapToGrid w:val="0"/>
              <w:jc w:val="center"/>
              <w:rPr>
                <w:rFonts w:hint="eastAsia" w:ascii="Times New Roman" w:hAnsi="Times New Roman" w:eastAsia="宋体" w:cs="Times New Roman"/>
                <w:color w:val="000000" w:themeColor="text1"/>
                <w:spacing w:val="-6"/>
                <w:szCs w:val="21"/>
                <w:lang w:eastAsia="zh-CN"/>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用地</w:t>
            </w:r>
            <w:r>
              <w:rPr>
                <w:rFonts w:hint="eastAsia" w:ascii="Times New Roman" w:hAnsi="Times New Roman" w:cs="Times New Roman"/>
                <w:color w:val="000000" w:themeColor="text1"/>
                <w:spacing w:val="-6"/>
                <w:szCs w:val="21"/>
                <w:lang w:eastAsia="zh-CN"/>
                <w14:textFill>
                  <w14:solidFill>
                    <w14:schemeClr w14:val="tx1"/>
                  </w14:solidFill>
                </w14:textFill>
              </w:rPr>
              <w:t>(</w:t>
            </w:r>
            <w:r>
              <w:rPr>
                <w:rFonts w:hint="default" w:ascii="Times New Roman" w:hAnsi="Times New Roman" w:cs="Times New Roman"/>
                <w:color w:val="000000" w:themeColor="text1"/>
                <w:spacing w:val="-6"/>
                <w:szCs w:val="21"/>
                <w14:textFill>
                  <w14:solidFill>
                    <w14:schemeClr w14:val="tx1"/>
                  </w14:solidFill>
                </w14:textFill>
              </w:rPr>
              <w:t>用海</w:t>
            </w:r>
            <w:r>
              <w:rPr>
                <w:rFonts w:hint="eastAsia" w:ascii="Times New Roman" w:hAnsi="Times New Roman" w:cs="Times New Roman"/>
                <w:color w:val="000000" w:themeColor="text1"/>
                <w:spacing w:val="-6"/>
                <w:szCs w:val="21"/>
                <w:lang w:eastAsia="zh-CN"/>
                <w14:textFill>
                  <w14:solidFill>
                    <w14:schemeClr w14:val="tx1"/>
                  </w14:solidFill>
                </w14:textFill>
              </w:rPr>
              <w:t>)</w:t>
            </w:r>
          </w:p>
          <w:p w14:paraId="487D32E8">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面积</w:t>
            </w:r>
            <w:r>
              <w:rPr>
                <w:rFonts w:hint="eastAsia" w:ascii="Times New Roman" w:hAnsi="Times New Roman" w:cs="Times New Roman"/>
                <w:color w:val="000000" w:themeColor="text1"/>
                <w:spacing w:val="-6"/>
                <w:szCs w:val="21"/>
                <w:lang w:eastAsia="zh-CN"/>
                <w14:textFill>
                  <w14:solidFill>
                    <w14:schemeClr w14:val="tx1"/>
                  </w14:solidFill>
                </w14:textFill>
              </w:rPr>
              <w:t>(</w:t>
            </w:r>
            <w:r>
              <w:rPr>
                <w:rFonts w:hint="default" w:ascii="Times New Roman" w:hAnsi="Times New Roman" w:cs="Times New Roman"/>
                <w:color w:val="000000" w:themeColor="text1"/>
                <w:spacing w:val="-6"/>
                <w:szCs w:val="21"/>
                <w14:textFill>
                  <w14:solidFill>
                    <w14:schemeClr w14:val="tx1"/>
                  </w14:solidFill>
                </w14:textFill>
              </w:rPr>
              <w:t>m</w:t>
            </w:r>
            <w:r>
              <w:rPr>
                <w:rFonts w:hint="default" w:ascii="Times New Roman" w:hAnsi="Times New Roman" w:cs="Times New Roman"/>
                <w:color w:val="000000" w:themeColor="text1"/>
                <w:spacing w:val="-6"/>
                <w:szCs w:val="21"/>
                <w:vertAlign w:val="superscript"/>
                <w14:textFill>
                  <w14:solidFill>
                    <w14:schemeClr w14:val="tx1"/>
                  </w14:solidFill>
                </w14:textFill>
              </w:rPr>
              <w:t>2</w:t>
            </w:r>
            <w:r>
              <w:rPr>
                <w:rFonts w:hint="eastAsia" w:ascii="Times New Roman" w:hAnsi="Times New Roman" w:cs="Times New Roman"/>
                <w:color w:val="000000" w:themeColor="text1"/>
                <w:spacing w:val="-6"/>
                <w:szCs w:val="21"/>
                <w:lang w:eastAsia="zh-CN"/>
                <w14:textFill>
                  <w14:solidFill>
                    <w14:schemeClr w14:val="tx1"/>
                  </w14:solidFill>
                </w14:textFill>
              </w:rPr>
              <w:t>)</w:t>
            </w:r>
          </w:p>
        </w:tc>
        <w:tc>
          <w:tcPr>
            <w:tcW w:w="2752" w:type="dxa"/>
            <w:noWrap w:val="0"/>
            <w:vAlign w:val="center"/>
          </w:tcPr>
          <w:p w14:paraId="5309263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2000</w:t>
            </w:r>
          </w:p>
        </w:tc>
      </w:tr>
      <w:tr w14:paraId="0DEB8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567" w:type="dxa"/>
            <w:noWrap w:val="0"/>
            <w:vAlign w:val="center"/>
          </w:tcPr>
          <w:p w14:paraId="670A5034">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专项评价设置情况</w:t>
            </w:r>
          </w:p>
        </w:tc>
        <w:tc>
          <w:tcPr>
            <w:tcW w:w="8303" w:type="dxa"/>
            <w:gridSpan w:val="4"/>
            <w:noWrap w:val="0"/>
            <w:vAlign w:val="center"/>
          </w:tcPr>
          <w:p w14:paraId="27FF9309">
            <w:pPr>
              <w:pStyle w:val="4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根据《建设项目环境影响报告表编制技术指南(污染影响类)(试行)》，项目工程专项设置情况参照表1专项评价设置原则表，项目</w:t>
            </w:r>
            <w:r>
              <w:rPr>
                <w:rFonts w:hint="eastAsia" w:cs="Times New Roman"/>
                <w:color w:val="000000" w:themeColor="text1"/>
                <w:lang w:val="en-US" w:eastAsia="zh-CN"/>
                <w14:textFill>
                  <w14:solidFill>
                    <w14:schemeClr w14:val="tx1"/>
                  </w14:solidFill>
                </w14:textFill>
              </w:rPr>
              <w:t>无需</w:t>
            </w:r>
            <w:r>
              <w:rPr>
                <w:rFonts w:hint="default" w:ascii="Times New Roman" w:hAnsi="Times New Roman" w:cs="Times New Roman"/>
                <w:color w:val="000000" w:themeColor="text1"/>
                <w:lang w:val="en-US" w:eastAsia="zh-CN"/>
                <w14:textFill>
                  <w14:solidFill>
                    <w14:schemeClr w14:val="tx1"/>
                  </w14:solidFill>
                </w14:textFill>
              </w:rPr>
              <w:t>设置专项评价，具体详见表1-1。</w:t>
            </w:r>
          </w:p>
          <w:p w14:paraId="1C8531F6">
            <w:pPr>
              <w:pStyle w:val="4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表1-1  项目专项评价设置表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28"/>
              <w:gridCol w:w="3777"/>
              <w:gridCol w:w="3376"/>
              <w:gridCol w:w="636"/>
            </w:tblGrid>
            <w:tr w14:paraId="141F96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693B7FC8">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专项评价类别</w:t>
                  </w:r>
                </w:p>
              </w:tc>
              <w:tc>
                <w:tcPr>
                  <w:tcW w:w="2243" w:type="pct"/>
                  <w:noWrap w:val="0"/>
                  <w:vAlign w:val="center"/>
                </w:tcPr>
                <w:p w14:paraId="46B853C5">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涉及项目类别</w:t>
                  </w:r>
                </w:p>
              </w:tc>
              <w:tc>
                <w:tcPr>
                  <w:tcW w:w="2005" w:type="pct"/>
                  <w:noWrap w:val="0"/>
                  <w:vAlign w:val="center"/>
                </w:tcPr>
                <w:p w14:paraId="6B839412">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本项目评价</w:t>
                  </w:r>
                </w:p>
              </w:tc>
              <w:tc>
                <w:tcPr>
                  <w:tcW w:w="377" w:type="pct"/>
                  <w:noWrap w:val="0"/>
                  <w:vAlign w:val="center"/>
                </w:tcPr>
                <w:p w14:paraId="3EF6533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是否设置专项</w:t>
                  </w:r>
                </w:p>
              </w:tc>
            </w:tr>
            <w:tr w14:paraId="1C9D5A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20BA013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tc>
              <w:tc>
                <w:tcPr>
                  <w:tcW w:w="2243" w:type="pct"/>
                  <w:noWrap w:val="0"/>
                  <w:vAlign w:val="center"/>
                </w:tcPr>
                <w:p w14:paraId="6B87B9F8">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排放废气含有毒有害污染物、二噁英、苯并[a]芘、氰化物、氯气且厂界外500米范围内有环境空气保护目标的建设项目</w:t>
                  </w:r>
                </w:p>
              </w:tc>
              <w:tc>
                <w:tcPr>
                  <w:tcW w:w="2005" w:type="pct"/>
                  <w:noWrap w:val="0"/>
                  <w:vAlign w:val="center"/>
                </w:tcPr>
                <w:p w14:paraId="705B71DE">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本项目产生的废气主要污染物为</w:t>
                  </w:r>
                  <w:r>
                    <w:rPr>
                      <w:rFonts w:hint="eastAsia" w:cs="Times New Roman"/>
                      <w:color w:val="000000" w:themeColor="text1"/>
                      <w:lang w:eastAsia="zh-CN"/>
                      <w14:textFill>
                        <w14:solidFill>
                          <w14:schemeClr w14:val="tx1"/>
                        </w14:solidFill>
                      </w14:textFill>
                    </w:rPr>
                    <w:t>颗粒物、</w:t>
                  </w:r>
                  <w:r>
                    <w:rPr>
                      <w:rFonts w:hint="default" w:ascii="Times New Roman" w:hAnsi="Times New Roman" w:cs="Times New Roman"/>
                      <w:color w:val="000000" w:themeColor="text1"/>
                      <w:highlight w:val="none"/>
                      <w:lang w:val="en-US" w:eastAsia="zh-CN"/>
                      <w14:textFill>
                        <w14:solidFill>
                          <w14:schemeClr w14:val="tx1"/>
                        </w14:solidFill>
                      </w14:textFill>
                    </w:rPr>
                    <w:t>非甲烷总烃，</w:t>
                  </w:r>
                  <w:r>
                    <w:rPr>
                      <w:rFonts w:hint="default" w:ascii="Times New Roman" w:hAnsi="Times New Roman" w:cs="Times New Roman"/>
                      <w:color w:val="000000" w:themeColor="text1"/>
                      <w:lang w:val="en-US" w:eastAsia="zh-CN"/>
                      <w14:textFill>
                        <w14:solidFill>
                          <w14:schemeClr w14:val="tx1"/>
                        </w14:solidFill>
                      </w14:textFill>
                    </w:rPr>
                    <w:t>不涉及排放有毒有害污染物清单里的污染物</w:t>
                  </w:r>
                  <w:r>
                    <w:rPr>
                      <w:rFonts w:hint="eastAsia" w:cs="Times New Roman"/>
                      <w:color w:val="000000" w:themeColor="text1"/>
                      <w:lang w:val="en-US" w:eastAsia="zh-CN"/>
                      <w14:textFill>
                        <w14:solidFill>
                          <w14:schemeClr w14:val="tx1"/>
                        </w14:solidFill>
                      </w14:textFill>
                    </w:rPr>
                    <w:t>，不涉及二噁英、苯并[a]芘、氰化物、氯气</w:t>
                  </w:r>
                </w:p>
              </w:tc>
              <w:tc>
                <w:tcPr>
                  <w:tcW w:w="377" w:type="pct"/>
                  <w:noWrap w:val="0"/>
                  <w:vAlign w:val="center"/>
                </w:tcPr>
                <w:p w14:paraId="75838DF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3B408E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2DA3F92E">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w:t>
                  </w:r>
                </w:p>
              </w:tc>
              <w:tc>
                <w:tcPr>
                  <w:tcW w:w="2243" w:type="pct"/>
                  <w:noWrap w:val="0"/>
                  <w:vAlign w:val="center"/>
                </w:tcPr>
                <w:p w14:paraId="358919FA">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新增工业废水直排建设项目(槽罐车外送污水处理厂的除外)；新增废水直排的污水集中处理厂</w:t>
                  </w:r>
                </w:p>
              </w:tc>
              <w:tc>
                <w:tcPr>
                  <w:tcW w:w="2005" w:type="pct"/>
                  <w:noWrap w:val="0"/>
                  <w:vAlign w:val="center"/>
                </w:tcPr>
                <w:p w14:paraId="27288148">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项目无生产废水外排，</w:t>
                  </w:r>
                  <w:r>
                    <w:rPr>
                      <w:rFonts w:hint="default" w:ascii="Times New Roman" w:hAnsi="Times New Roman" w:cs="Times New Roman"/>
                      <w:color w:val="000000" w:themeColor="text1"/>
                      <w:lang w:val="en-US" w:eastAsia="zh-CN"/>
                      <w14:textFill>
                        <w14:solidFill>
                          <w14:schemeClr w14:val="tx1"/>
                        </w14:solidFill>
                      </w14:textFill>
                    </w:rPr>
                    <w:t>生活污水统一经化粪池预处理后排入市政污水管网送往福清市第二污水处理厂集中处理</w:t>
                  </w:r>
                </w:p>
              </w:tc>
              <w:tc>
                <w:tcPr>
                  <w:tcW w:w="377" w:type="pct"/>
                  <w:noWrap w:val="0"/>
                  <w:vAlign w:val="center"/>
                </w:tcPr>
                <w:p w14:paraId="3ED54AD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27381E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6E3F81DE">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14:paraId="50EEF4B6">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风险</w:t>
                  </w:r>
                </w:p>
              </w:tc>
              <w:tc>
                <w:tcPr>
                  <w:tcW w:w="2243" w:type="pct"/>
                  <w:noWrap w:val="0"/>
                  <w:vAlign w:val="center"/>
                </w:tcPr>
                <w:p w14:paraId="0907DA46">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有毒有害和易燃易爆危险物质存储量超过临界量的建设项目</w:t>
                  </w:r>
                </w:p>
              </w:tc>
              <w:tc>
                <w:tcPr>
                  <w:tcW w:w="2005" w:type="pct"/>
                  <w:noWrap w:val="0"/>
                  <w:vAlign w:val="center"/>
                </w:tcPr>
                <w:p w14:paraId="6BDAA557">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本项目危险物质存储</w:t>
                  </w:r>
                  <w:r>
                    <w:rPr>
                      <w:rFonts w:hint="default" w:ascii="Times New Roman" w:hAnsi="Times New Roman" w:cs="Times New Roman"/>
                      <w:color w:val="000000" w:themeColor="text1"/>
                      <w:lang w:eastAsia="zh-CN"/>
                      <w14:textFill>
                        <w14:solidFill>
                          <w14:schemeClr w14:val="tx1"/>
                        </w14:solidFill>
                      </w14:textFill>
                    </w:rPr>
                    <w:t>量未超过临界量</w:t>
                  </w:r>
                </w:p>
              </w:tc>
              <w:tc>
                <w:tcPr>
                  <w:tcW w:w="377" w:type="pct"/>
                  <w:noWrap w:val="0"/>
                  <w:vAlign w:val="center"/>
                </w:tcPr>
                <w:p w14:paraId="0B6AFA09">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6CB26F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0103CFA7">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tc>
              <w:tc>
                <w:tcPr>
                  <w:tcW w:w="2243" w:type="pct"/>
                  <w:noWrap w:val="0"/>
                  <w:vAlign w:val="center"/>
                </w:tcPr>
                <w:p w14:paraId="4B551B6A">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2005" w:type="pct"/>
                  <w:noWrap w:val="0"/>
                  <w:vAlign w:val="center"/>
                </w:tcPr>
                <w:p w14:paraId="3662A9C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本项目不涉及取水口</w:t>
                  </w:r>
                </w:p>
              </w:tc>
              <w:tc>
                <w:tcPr>
                  <w:tcW w:w="377" w:type="pct"/>
                  <w:noWrap w:val="0"/>
                  <w:vAlign w:val="center"/>
                </w:tcPr>
                <w:p w14:paraId="5289B6F0">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4A406F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73" w:type="pct"/>
                  <w:noWrap w:val="0"/>
                  <w:vAlign w:val="center"/>
                </w:tcPr>
                <w:p w14:paraId="1434F84F">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海洋</w:t>
                  </w:r>
                </w:p>
              </w:tc>
              <w:tc>
                <w:tcPr>
                  <w:tcW w:w="2243" w:type="pct"/>
                  <w:noWrap w:val="0"/>
                  <w:vAlign w:val="center"/>
                </w:tcPr>
                <w:p w14:paraId="4A631017">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直接向海排放污染物的海洋工程建设项目</w:t>
                  </w:r>
                </w:p>
              </w:tc>
              <w:tc>
                <w:tcPr>
                  <w:tcW w:w="2005" w:type="pct"/>
                  <w:noWrap w:val="0"/>
                  <w:vAlign w:val="center"/>
                </w:tcPr>
                <w:p w14:paraId="3B05EFC9">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本项目不属于向海洋排放污染物的海洋工程建设项目</w:t>
                  </w:r>
                </w:p>
              </w:tc>
              <w:tc>
                <w:tcPr>
                  <w:tcW w:w="377" w:type="pct"/>
                  <w:noWrap w:val="0"/>
                  <w:vAlign w:val="center"/>
                </w:tcPr>
                <w:p w14:paraId="504D6ED1">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bl>
          <w:p w14:paraId="1CBDEFC6">
            <w:pPr>
              <w:rPr>
                <w:rFonts w:hint="default" w:ascii="Times New Roman" w:hAnsi="Times New Roman" w:cs="Times New Roman"/>
                <w:color w:val="000000" w:themeColor="text1"/>
                <w14:textFill>
                  <w14:solidFill>
                    <w14:schemeClr w14:val="tx1"/>
                  </w14:solidFill>
                </w14:textFill>
              </w:rPr>
            </w:pPr>
          </w:p>
        </w:tc>
      </w:tr>
      <w:tr w14:paraId="7EB7E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567" w:type="dxa"/>
            <w:noWrap w:val="0"/>
            <w:vAlign w:val="center"/>
          </w:tcPr>
          <w:p w14:paraId="641F0ABF">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规划情况</w:t>
            </w:r>
          </w:p>
        </w:tc>
        <w:tc>
          <w:tcPr>
            <w:tcW w:w="8303" w:type="dxa"/>
            <w:gridSpan w:val="4"/>
            <w:noWrap w:val="0"/>
            <w:vAlign w:val="center"/>
          </w:tcPr>
          <w:p w14:paraId="68E3C7B6">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both"/>
              <w:textAlignment w:val="auto"/>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1"/>
                <w:lang w:val="en-US" w:eastAsia="zh-CN" w:bidi="ar-SA"/>
                <w14:textFill>
                  <w14:solidFill>
                    <w14:schemeClr w14:val="tx1"/>
                  </w14:solidFill>
                </w14:textFill>
              </w:rPr>
              <w:t>规划名称：</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《福清融侨经济技术开发区总体规划(2018</w:t>
            </w:r>
            <w:r>
              <w:rPr>
                <w:rFonts w:hint="eastAsia" w:cs="Times New Roman"/>
                <w:color w:val="000000" w:themeColor="text1"/>
                <w:kern w:val="2"/>
                <w:sz w:val="24"/>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2035年)》</w:t>
            </w:r>
          </w:p>
          <w:p w14:paraId="53421AE1">
            <w:pPr>
              <w:widowControl w:val="0"/>
              <w:bidi w:val="0"/>
              <w:adjustRightInd w:val="0"/>
              <w:snapToGrid w:val="0"/>
              <w:spacing w:line="360" w:lineRule="auto"/>
              <w:ind w:left="0" w:leftChars="0" w:firstLine="0" w:firstLineChars="0"/>
              <w:jc w:val="both"/>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1"/>
                <w:lang w:val="en-US" w:eastAsia="zh-CN" w:bidi="ar-SA"/>
                <w14:textFill>
                  <w14:solidFill>
                    <w14:schemeClr w14:val="tx1"/>
                  </w14:solidFill>
                </w14:textFill>
              </w:rPr>
              <w:t>审批机关：</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福清市人民政府</w:t>
            </w:r>
          </w:p>
          <w:p w14:paraId="5194E865">
            <w:pPr>
              <w:pStyle w:val="4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2"/>
                <w:sz w:val="24"/>
                <w:szCs w:val="21"/>
                <w:lang w:val="en-US" w:eastAsia="zh-CN" w:bidi="ar-SA"/>
                <w14:textFill>
                  <w14:solidFill>
                    <w14:schemeClr w14:val="tx1"/>
                  </w14:solidFill>
                </w14:textFill>
              </w:rPr>
              <w:t>审批文件名称及文号：</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《福清市人民政府关于同意融侨经济技术开发区总体规划(2018</w:t>
            </w:r>
            <w:r>
              <w:rPr>
                <w:rFonts w:hint="eastAsia" w:cs="Times New Roman"/>
                <w:color w:val="000000" w:themeColor="text1"/>
                <w:kern w:val="2"/>
                <w:sz w:val="24"/>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2035年)编制范围的批复》(融政综〔2019〕189号)</w:t>
            </w:r>
          </w:p>
        </w:tc>
      </w:tr>
      <w:tr w14:paraId="45A68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567" w:type="dxa"/>
            <w:noWrap w:val="0"/>
            <w:vAlign w:val="center"/>
          </w:tcPr>
          <w:p w14:paraId="3201744D">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规划环境影响评价情况</w:t>
            </w:r>
          </w:p>
        </w:tc>
        <w:tc>
          <w:tcPr>
            <w:tcW w:w="8303" w:type="dxa"/>
            <w:gridSpan w:val="4"/>
            <w:noWrap w:val="0"/>
            <w:vAlign w:val="center"/>
          </w:tcPr>
          <w:p w14:paraId="75266700">
            <w:pPr>
              <w:pStyle w:val="48"/>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规划环境影响评价文件名称：</w:t>
            </w:r>
            <w:r>
              <w:rPr>
                <w:rFonts w:hint="default" w:ascii="Times New Roman" w:hAnsi="Times New Roman" w:cs="Times New Roman"/>
                <w:color w:val="000000" w:themeColor="text1"/>
                <w:lang w:val="en-US" w:eastAsia="zh-CN"/>
                <w14:textFill>
                  <w14:solidFill>
                    <w14:schemeClr w14:val="tx1"/>
                  </w14:solidFill>
                </w14:textFill>
              </w:rPr>
              <w:t>《福清融侨经济技术开发区总体规划(2018-2035)环境影响报告书》</w:t>
            </w:r>
          </w:p>
          <w:p w14:paraId="3AB452AD">
            <w:pPr>
              <w:pStyle w:val="48"/>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审查机关：</w:t>
            </w:r>
            <w:r>
              <w:rPr>
                <w:rFonts w:hint="default" w:ascii="Times New Roman" w:hAnsi="Times New Roman" w:cs="Times New Roman"/>
                <w:color w:val="000000" w:themeColor="text1"/>
                <w:lang w:val="en-US" w:eastAsia="zh-CN"/>
                <w14:textFill>
                  <w14:solidFill>
                    <w14:schemeClr w14:val="tx1"/>
                  </w14:solidFill>
                </w14:textFill>
              </w:rPr>
              <w:t>中华人民共和国生态环境部</w:t>
            </w:r>
          </w:p>
          <w:p w14:paraId="1CC6B51C">
            <w:pPr>
              <w:pStyle w:val="4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审查文件名称及文号：</w:t>
            </w:r>
            <w:r>
              <w:rPr>
                <w:rFonts w:hint="default" w:ascii="Times New Roman" w:hAnsi="Times New Roman" w:cs="Times New Roman"/>
                <w:color w:val="000000" w:themeColor="text1"/>
                <w:lang w:val="en-US" w:eastAsia="zh-CN"/>
                <w14:textFill>
                  <w14:solidFill>
                    <w14:schemeClr w14:val="tx1"/>
                  </w14:solidFill>
                </w14:textFill>
              </w:rPr>
              <w:t>《福清融侨经济技术开发区总体规划(2018-2035)环境影响报告书》(环审〔2020〕80号)</w:t>
            </w:r>
          </w:p>
        </w:tc>
      </w:tr>
      <w:tr w14:paraId="5489F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567" w:type="dxa"/>
            <w:noWrap w:val="0"/>
            <w:vAlign w:val="center"/>
          </w:tcPr>
          <w:p w14:paraId="7E2B96AF">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规划及规划环境影响评价符合性分析</w:t>
            </w:r>
          </w:p>
        </w:tc>
        <w:tc>
          <w:tcPr>
            <w:tcW w:w="8303" w:type="dxa"/>
            <w:gridSpan w:val="4"/>
            <w:noWrap w:val="0"/>
            <w:vAlign w:val="center"/>
          </w:tcPr>
          <w:p w14:paraId="1AE38F2A">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1、与《福清融侨经济技术开发区总体规划</w:t>
            </w:r>
            <w:r>
              <w:rPr>
                <w:rFonts w:hint="eastAsia"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2018</w:t>
            </w:r>
            <w:r>
              <w:rPr>
                <w:rFonts w:hint="eastAsia"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2035年</w:t>
            </w:r>
            <w:r>
              <w:rPr>
                <w:rFonts w:hint="eastAsia"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》符合性分析</w:t>
            </w:r>
          </w:p>
          <w:p w14:paraId="1B837187">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《福清融侨经济技术开发区总体规划(2018</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2035年)》的“产业发展</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第二十二条 构建“3+1”的产业体系：</w:t>
            </w:r>
          </w:p>
          <w:p w14:paraId="4A53F7DC">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1、三大支柱产业</w:t>
            </w:r>
          </w:p>
          <w:p w14:paraId="175147B6">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电子信息产业：显示科技、云计算、电子元器件、光电科技、计算机与智能终端设备等。</w:t>
            </w:r>
          </w:p>
          <w:p w14:paraId="71EAE0E7">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精密汽车部件产业：汽车电气电子装置、动力传动装置、汽车轴承、新能源动力电池等。</w:t>
            </w:r>
          </w:p>
          <w:p w14:paraId="59CB77B8">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光学产业：光学部件、光通讯技术、电子光学、虚拟现实装置等。</w:t>
            </w:r>
          </w:p>
          <w:p w14:paraId="50874FE9">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在三大支柱产业基础之上，完善与其相关的配套产业。</w:t>
            </w:r>
          </w:p>
          <w:p w14:paraId="3E171BCC">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2、一项新兴产业 </w:t>
            </w:r>
          </w:p>
          <w:p w14:paraId="29F060AC">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现代服务业：金融商务、总部经济、科技研发、文化创意、物流展销都市型产业与服务型制造业。</w:t>
            </w:r>
          </w:p>
          <w:p w14:paraId="30442BF1">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项目位于</w:t>
            </w: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，属于三大支柱产业</w:t>
            </w:r>
            <w:r>
              <w:rPr>
                <w:rFonts w:hint="eastAsia" w:cs="Times New Roman"/>
                <w:color w:val="000000" w:themeColor="text1"/>
                <w:lang w:val="en-US" w:eastAsia="zh-CN"/>
                <w14:textFill>
                  <w14:solidFill>
                    <w14:schemeClr w14:val="tx1"/>
                  </w14:solidFill>
                </w14:textFill>
              </w:rPr>
              <w:t>的相关配套产业基础</w:t>
            </w:r>
            <w:r>
              <w:rPr>
                <w:rFonts w:hint="default" w:ascii="Times New Roman" w:hAnsi="Times New Roman" w:cs="Times New Roman"/>
                <w:color w:val="000000" w:themeColor="text1"/>
                <w:lang w:val="en-US" w:eastAsia="zh-CN"/>
                <w14:textFill>
                  <w14:solidFill>
                    <w14:schemeClr w14:val="tx1"/>
                  </w14:solidFill>
                </w14:textFill>
              </w:rPr>
              <w:t>，因此项目选址和产业定位符合《福清融侨经济技术开发区总体规划(2018</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2035年)》。</w:t>
            </w:r>
          </w:p>
          <w:p w14:paraId="27B6641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与《融侨经济技术开发区总体规划环境影响报告书</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2018</w:t>
            </w:r>
            <w:r>
              <w:rPr>
                <w:rFonts w:hint="eastAsia"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2035年</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》符合性分析</w:t>
            </w:r>
          </w:p>
          <w:p w14:paraId="19C1FB45">
            <w:pPr>
              <w:spacing w:line="360" w:lineRule="auto"/>
              <w:ind w:firstLine="480" w:firstLineChars="200"/>
              <w:rPr>
                <w:color w:val="000000" w:themeColor="text1"/>
                <w:sz w:val="24"/>
                <w:szCs w:val="24"/>
                <w:lang w:val="en-GB"/>
                <w14:textFill>
                  <w14:solidFill>
                    <w14:schemeClr w14:val="tx1"/>
                  </w14:solidFill>
                </w14:textFill>
              </w:rPr>
            </w:pPr>
            <w:r>
              <w:rPr>
                <w:color w:val="000000" w:themeColor="text1"/>
                <w:sz w:val="24"/>
                <w:szCs w:val="24"/>
                <w:lang w:val="en-GB"/>
                <w14:textFill>
                  <w14:solidFill>
                    <w14:schemeClr w14:val="tx1"/>
                  </w14:solidFill>
                </w14:textFill>
              </w:rPr>
              <w:t>根据《福清融侨经济技术开发区总体规划环境影响报告书</w:t>
            </w:r>
            <w:r>
              <w:rPr>
                <w:rFonts w:hint="eastAsia"/>
                <w:color w:val="000000" w:themeColor="text1"/>
                <w:sz w:val="24"/>
                <w:szCs w:val="24"/>
                <w14:textFill>
                  <w14:solidFill>
                    <w14:schemeClr w14:val="tx1"/>
                  </w14:solidFill>
                </w14:textFill>
              </w:rPr>
              <w:t>(</w:t>
            </w:r>
            <w:r>
              <w:rPr>
                <w:color w:val="000000" w:themeColor="text1"/>
                <w:sz w:val="24"/>
                <w:szCs w:val="24"/>
                <w:lang w:val="en-GB"/>
                <w14:textFill>
                  <w14:solidFill>
                    <w14:schemeClr w14:val="tx1"/>
                  </w14:solidFill>
                </w14:textFill>
              </w:rPr>
              <w:t>2018</w:t>
            </w:r>
            <w:r>
              <w:rPr>
                <w:rFonts w:hint="eastAsia"/>
                <w:color w:val="000000" w:themeColor="text1"/>
                <w:sz w:val="24"/>
                <w:szCs w:val="24"/>
                <w:lang w:val="en-GB" w:eastAsia="zh-CN"/>
                <w14:textFill>
                  <w14:solidFill>
                    <w14:schemeClr w14:val="tx1"/>
                  </w14:solidFill>
                </w14:textFill>
              </w:rPr>
              <w:t>—</w:t>
            </w:r>
            <w:r>
              <w:rPr>
                <w:color w:val="000000" w:themeColor="text1"/>
                <w:sz w:val="24"/>
                <w:szCs w:val="24"/>
                <w:lang w:val="en-GB"/>
                <w14:textFill>
                  <w14:solidFill>
                    <w14:schemeClr w14:val="tx1"/>
                  </w14:solidFill>
                </w14:textFill>
              </w:rPr>
              <w:t>2035年</w:t>
            </w:r>
            <w:r>
              <w:rPr>
                <w:rFonts w:hint="eastAsia"/>
                <w:color w:val="000000" w:themeColor="text1"/>
                <w:sz w:val="24"/>
                <w:szCs w:val="24"/>
                <w14:textFill>
                  <w14:solidFill>
                    <w14:schemeClr w14:val="tx1"/>
                  </w14:solidFill>
                </w14:textFill>
              </w:rPr>
              <w:t>)</w:t>
            </w:r>
            <w:r>
              <w:rPr>
                <w:color w:val="000000" w:themeColor="text1"/>
                <w:sz w:val="24"/>
                <w:szCs w:val="24"/>
                <w:lang w:val="en-GB"/>
                <w14:textFill>
                  <w14:solidFill>
                    <w14:schemeClr w14:val="tx1"/>
                  </w14:solidFill>
                </w14:textFill>
              </w:rPr>
              <w:t>》及</w:t>
            </w:r>
            <w:r>
              <w:rPr>
                <w:rFonts w:hint="eastAsia"/>
                <w:color w:val="000000" w:themeColor="text1"/>
                <w:sz w:val="24"/>
                <w:szCs w:val="24"/>
                <w:lang w:val="en-GB"/>
                <w14:textFill>
                  <w14:solidFill>
                    <w14:schemeClr w14:val="tx1"/>
                  </w14:solidFill>
                </w14:textFill>
              </w:rPr>
              <w:t>其</w:t>
            </w:r>
            <w:r>
              <w:rPr>
                <w:color w:val="000000" w:themeColor="text1"/>
                <w:sz w:val="24"/>
                <w:szCs w:val="24"/>
                <w:lang w:val="en-GB"/>
                <w14:textFill>
                  <w14:solidFill>
                    <w14:schemeClr w14:val="tx1"/>
                  </w14:solidFill>
                </w14:textFill>
              </w:rPr>
              <w:t>审查意见</w:t>
            </w:r>
            <w:r>
              <w:rPr>
                <w:rFonts w:hint="eastAsia"/>
                <w:color w:val="000000" w:themeColor="text1"/>
                <w:sz w:val="24"/>
                <w:szCs w:val="24"/>
                <w14:textFill>
                  <w14:solidFill>
                    <w14:schemeClr w14:val="tx1"/>
                  </w14:solidFill>
                </w14:textFill>
              </w:rPr>
              <w:t>(</w:t>
            </w:r>
            <w:r>
              <w:rPr>
                <w:color w:val="000000" w:themeColor="text1"/>
                <w:sz w:val="24"/>
                <w:szCs w:val="24"/>
                <w:lang w:val="en-GB"/>
                <w14:textFill>
                  <w14:solidFill>
                    <w14:schemeClr w14:val="tx1"/>
                  </w14:solidFill>
                </w14:textFill>
              </w:rPr>
              <w:t>环审</w:t>
            </w:r>
            <w:r>
              <w:rPr>
                <w:rFonts w:hint="eastAsia"/>
                <w:color w:val="000000" w:themeColor="text1"/>
                <w:sz w:val="24"/>
                <w:szCs w:val="24"/>
                <w14:textFill>
                  <w14:solidFill>
                    <w14:schemeClr w14:val="tx1"/>
                  </w14:solidFill>
                </w14:textFill>
              </w:rPr>
              <w:t>[</w:t>
            </w:r>
            <w:r>
              <w:rPr>
                <w:color w:val="000000" w:themeColor="text1"/>
                <w:sz w:val="24"/>
                <w:szCs w:val="24"/>
                <w:lang w:val="en-GB"/>
                <w14:textFill>
                  <w14:solidFill>
                    <w14:schemeClr w14:val="tx1"/>
                  </w14:solidFill>
                </w14:textFill>
              </w:rPr>
              <w:t>2020]80号</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GB"/>
                <w14:textFill>
                  <w14:solidFill>
                    <w14:schemeClr w14:val="tx1"/>
                  </w14:solidFill>
                </w14:textFill>
              </w:rPr>
              <w:t>开发区</w:t>
            </w:r>
            <w:r>
              <w:rPr>
                <w:color w:val="000000" w:themeColor="text1"/>
                <w:sz w:val="24"/>
                <w:szCs w:val="24"/>
                <w:lang w:val="en-GB"/>
                <w14:textFill>
                  <w14:solidFill>
                    <w14:schemeClr w14:val="tx1"/>
                  </w14:solidFill>
                </w14:textFill>
              </w:rPr>
              <w:t>主导行业涉及国民经济类别主要包括</w:t>
            </w:r>
            <w:r>
              <w:rPr>
                <w:b w:val="0"/>
                <w:bCs w:val="0"/>
                <w:color w:val="000000" w:themeColor="text1"/>
                <w:sz w:val="24"/>
                <w:szCs w:val="24"/>
                <w:lang w:val="en-GB"/>
                <w14:textFill>
                  <w14:solidFill>
                    <w14:schemeClr w14:val="tx1"/>
                  </w14:solidFill>
                </w14:textFill>
              </w:rPr>
              <w:t xml:space="preserve"> C29、</w:t>
            </w:r>
            <w:r>
              <w:rPr>
                <w:color w:val="000000" w:themeColor="text1"/>
                <w:sz w:val="24"/>
                <w:szCs w:val="24"/>
                <w:lang w:val="en-GB"/>
                <w14:textFill>
                  <w14:solidFill>
                    <w14:schemeClr w14:val="tx1"/>
                  </w14:solidFill>
                </w14:textFill>
              </w:rPr>
              <w:t>C304、C33、C34、C35、C36、C38、C39、C40。</w:t>
            </w:r>
            <w:r>
              <w:rPr>
                <w:rFonts w:hint="eastAsia"/>
                <w:color w:val="000000" w:themeColor="text1"/>
                <w:sz w:val="24"/>
                <w:szCs w:val="24"/>
                <w:lang w:val="en-GB"/>
                <w14:textFill>
                  <w14:solidFill>
                    <w14:schemeClr w14:val="tx1"/>
                  </w14:solidFill>
                </w14:textFill>
              </w:rPr>
              <w:t>本项目主要</w:t>
            </w:r>
            <w:r>
              <w:rPr>
                <w:rFonts w:hint="eastAsia"/>
                <w:color w:val="000000" w:themeColor="text1"/>
                <w:sz w:val="24"/>
                <w:szCs w:val="24"/>
                <w:lang w:val="en-GB" w:eastAsia="zh-CN"/>
                <w14:textFill>
                  <w14:solidFill>
                    <w14:schemeClr w14:val="tx1"/>
                  </w14:solidFill>
                </w14:textFill>
              </w:rPr>
              <w:t>从事汽车零部件加工，属于C3670 汽车零部件及配件制造</w:t>
            </w:r>
            <w:r>
              <w:rPr>
                <w:color w:val="000000" w:themeColor="text1"/>
                <w:sz w:val="24"/>
                <w:szCs w:val="24"/>
                <w:lang w:val="en-GB"/>
                <w14:textFill>
                  <w14:solidFill>
                    <w14:schemeClr w14:val="tx1"/>
                  </w14:solidFill>
                </w14:textFill>
              </w:rPr>
              <w:t>，</w:t>
            </w:r>
            <w:r>
              <w:rPr>
                <w:rFonts w:hint="eastAsia"/>
                <w:color w:val="000000" w:themeColor="text1"/>
                <w:sz w:val="24"/>
                <w:szCs w:val="24"/>
                <w:lang w:val="en-GB" w:eastAsia="zh-CN"/>
                <w14:textFill>
                  <w14:solidFill>
                    <w14:schemeClr w14:val="tx1"/>
                  </w14:solidFill>
                </w14:textFill>
              </w:rPr>
              <w:t>为</w:t>
            </w:r>
            <w:r>
              <w:rPr>
                <w:rFonts w:hint="eastAsia"/>
                <w:color w:val="000000" w:themeColor="text1"/>
                <w:sz w:val="24"/>
                <w:szCs w:val="24"/>
                <w:lang w:val="en-GB"/>
                <w14:textFill>
                  <w14:solidFill>
                    <w14:schemeClr w14:val="tx1"/>
                  </w14:solidFill>
                </w14:textFill>
              </w:rPr>
              <w:t>开发区</w:t>
            </w:r>
            <w:r>
              <w:rPr>
                <w:rFonts w:hint="eastAsia"/>
                <w:color w:val="000000" w:themeColor="text1"/>
                <w:sz w:val="24"/>
                <w:szCs w:val="24"/>
                <w:lang w:val="en-GB" w:eastAsia="zh-CN"/>
                <w14:textFill>
                  <w14:solidFill>
                    <w14:schemeClr w14:val="tx1"/>
                  </w14:solidFill>
                </w14:textFill>
              </w:rPr>
              <w:t>主导产业</w:t>
            </w:r>
            <w:r>
              <w:rPr>
                <w:rFonts w:hint="eastAsia"/>
                <w:color w:val="000000" w:themeColor="text1"/>
                <w:sz w:val="24"/>
                <w:szCs w:val="24"/>
                <w:lang w:val="en-GB"/>
                <w14:textFill>
                  <w14:solidFill>
                    <w14:schemeClr w14:val="tx1"/>
                  </w14:solidFill>
                </w14:textFill>
              </w:rPr>
              <w:t>。</w:t>
            </w:r>
          </w:p>
          <w:p w14:paraId="29359560">
            <w:pPr>
              <w:pStyle w:val="48"/>
              <w:bidi w:val="0"/>
              <w:rPr>
                <w:rFonts w:hint="default"/>
                <w:color w:val="000000" w:themeColor="text1"/>
                <w:lang w:val="en-GB" w:eastAsia="zh-CN"/>
                <w14:textFill>
                  <w14:solidFill>
                    <w14:schemeClr w14:val="tx1"/>
                  </w14:solidFill>
                </w14:textFill>
              </w:rPr>
            </w:pPr>
            <w:r>
              <w:rPr>
                <w:rFonts w:hint="default"/>
                <w:color w:val="000000" w:themeColor="text1"/>
                <w:lang w:val="en-GB" w:eastAsia="zh-CN"/>
                <w14:textFill>
                  <w14:solidFill>
                    <w14:schemeClr w14:val="tx1"/>
                  </w14:solidFill>
                </w14:textFill>
              </w:rPr>
              <w:t>对照《福清融侨经济技术开发区总体规划(2018</w:t>
            </w:r>
            <w:r>
              <w:rPr>
                <w:rFonts w:hint="eastAsia"/>
                <w:color w:val="000000" w:themeColor="text1"/>
                <w:lang w:val="en-GB" w:eastAsia="zh-CN"/>
                <w14:textFill>
                  <w14:solidFill>
                    <w14:schemeClr w14:val="tx1"/>
                  </w14:solidFill>
                </w14:textFill>
              </w:rPr>
              <w:t>—</w:t>
            </w:r>
            <w:r>
              <w:rPr>
                <w:rFonts w:hint="default"/>
                <w:color w:val="000000" w:themeColor="text1"/>
                <w:lang w:val="en-GB" w:eastAsia="zh-CN"/>
                <w14:textFill>
                  <w14:solidFill>
                    <w14:schemeClr w14:val="tx1"/>
                  </w14:solidFill>
                </w14:textFill>
              </w:rPr>
              <w:t>2035年)环境影响报告书》中配套及其他行业环境准入要求及其审查小组意见，项目与规划区主导产业环境准入清单及环评审查意见符合性分析，详见表</w:t>
            </w:r>
            <w:r>
              <w:rPr>
                <w:rFonts w:hint="default"/>
                <w:color w:val="000000" w:themeColor="text1"/>
                <w:lang w:val="en-US" w:eastAsia="zh-CN"/>
                <w14:textFill>
                  <w14:solidFill>
                    <w14:schemeClr w14:val="tx1"/>
                  </w14:solidFill>
                </w14:textFill>
              </w:rPr>
              <w:t>1-2</w:t>
            </w:r>
            <w:r>
              <w:rPr>
                <w:rFonts w:hint="default"/>
                <w:color w:val="000000" w:themeColor="text1"/>
                <w:lang w:val="en-GB" w:eastAsia="zh-CN"/>
                <w14:textFill>
                  <w14:solidFill>
                    <w14:schemeClr w14:val="tx1"/>
                  </w14:solidFill>
                </w14:textFill>
              </w:rPr>
              <w:t>。</w:t>
            </w:r>
          </w:p>
          <w:p w14:paraId="1AEA26EE">
            <w:pPr>
              <w:pStyle w:val="56"/>
              <w:bidi w:val="0"/>
              <w:rPr>
                <w:rFonts w:hint="default"/>
                <w:color w:val="000000" w:themeColor="text1"/>
                <w:lang w:val="en-GB" w:eastAsia="zh-CN"/>
                <w14:textFill>
                  <w14:solidFill>
                    <w14:schemeClr w14:val="tx1"/>
                  </w14:solidFill>
                </w14:textFill>
              </w:rPr>
            </w:pPr>
            <w:r>
              <w:rPr>
                <w:rFonts w:hint="default"/>
                <w:color w:val="000000" w:themeColor="text1"/>
                <w:lang w:val="en-GB" w:eastAsia="zh-CN"/>
                <w14:textFill>
                  <w14:solidFill>
                    <w14:schemeClr w14:val="tx1"/>
                  </w14:solidFill>
                </w14:textFill>
              </w:rPr>
              <w:t>表</w:t>
            </w:r>
            <w:r>
              <w:rPr>
                <w:rFonts w:hint="default"/>
                <w:color w:val="000000" w:themeColor="text1"/>
                <w:lang w:val="en-US" w:eastAsia="zh-CN"/>
                <w14:textFill>
                  <w14:solidFill>
                    <w14:schemeClr w14:val="tx1"/>
                  </w14:solidFill>
                </w14:textFill>
              </w:rPr>
              <w:t>1-2</w:t>
            </w:r>
            <w:r>
              <w:rPr>
                <w:rFonts w:hint="default"/>
                <w:color w:val="000000" w:themeColor="text1"/>
                <w:lang w:val="en-GB"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 xml:space="preserve"> </w:t>
            </w:r>
            <w:r>
              <w:rPr>
                <w:rFonts w:hint="default"/>
                <w:color w:val="000000" w:themeColor="text1"/>
                <w:lang w:val="en-GB" w:eastAsia="zh-CN"/>
                <w14:textFill>
                  <w14:solidFill>
                    <w14:schemeClr w14:val="tx1"/>
                  </w14:solidFill>
                </w14:textFill>
              </w:rPr>
              <w:t>规划区主导产业环境准入清单及环评审查意见对照一览表</w:t>
            </w:r>
          </w:p>
          <w:tbl>
            <w:tblPr>
              <w:tblStyle w:val="26"/>
              <w:tblW w:w="499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11"/>
              <w:gridCol w:w="3366"/>
              <w:gridCol w:w="3631"/>
              <w:gridCol w:w="692"/>
            </w:tblGrid>
            <w:tr w14:paraId="2694EE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7E5F9AD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类别名称</w:t>
                  </w:r>
                </w:p>
              </w:tc>
              <w:tc>
                <w:tcPr>
                  <w:tcW w:w="3275" w:type="dxa"/>
                  <w:noWrap w:val="0"/>
                  <w:vAlign w:val="center"/>
                </w:tcPr>
                <w:p w14:paraId="045A499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3533" w:type="dxa"/>
                  <w:noWrap w:val="0"/>
                  <w:vAlign w:val="center"/>
                </w:tcPr>
                <w:p w14:paraId="1B22482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本项目情况</w:t>
                  </w:r>
                </w:p>
              </w:tc>
              <w:tc>
                <w:tcPr>
                  <w:tcW w:w="673" w:type="dxa"/>
                  <w:noWrap w:val="0"/>
                  <w:vAlign w:val="center"/>
                </w:tcPr>
                <w:p w14:paraId="0EA015F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14:paraId="6CEAEF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6F824229">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产业导向</w:t>
                  </w:r>
                </w:p>
              </w:tc>
              <w:tc>
                <w:tcPr>
                  <w:tcW w:w="3275" w:type="dxa"/>
                  <w:noWrap w:val="0"/>
                  <w:vAlign w:val="center"/>
                </w:tcPr>
                <w:p w14:paraId="68E4F744">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1、符合国家及地方产业政策；</w:t>
                  </w:r>
                </w:p>
                <w:p w14:paraId="6F740182">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2、符合所属行业有关发展规划</w:t>
                  </w:r>
                </w:p>
              </w:tc>
              <w:tc>
                <w:tcPr>
                  <w:tcW w:w="3533" w:type="dxa"/>
                  <w:noWrap w:val="0"/>
                  <w:vAlign w:val="center"/>
                </w:tcPr>
                <w:p w14:paraId="5EAE2B09">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本项目符合国家及地方产业政策、所属行业有关发展规划，已获得</w:t>
                  </w:r>
                  <w:r>
                    <w:rPr>
                      <w:rFonts w:hint="eastAsia" w:cs="Times New Roman"/>
                      <w:color w:val="000000" w:themeColor="text1"/>
                      <w:lang w:val="en-US" w:eastAsia="zh-CN"/>
                      <w14:textFill>
                        <w14:solidFill>
                          <w14:schemeClr w14:val="tx1"/>
                        </w14:solidFill>
                      </w14:textFill>
                    </w:rPr>
                    <w:t>立项备案</w:t>
                  </w:r>
                </w:p>
              </w:tc>
              <w:tc>
                <w:tcPr>
                  <w:tcW w:w="673" w:type="dxa"/>
                  <w:noWrap w:val="0"/>
                  <w:vAlign w:val="center"/>
                </w:tcPr>
                <w:p w14:paraId="4F80BF26">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747E81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231E3C62">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规划选址</w:t>
                  </w:r>
                </w:p>
              </w:tc>
              <w:tc>
                <w:tcPr>
                  <w:tcW w:w="3275" w:type="dxa"/>
                  <w:noWrap w:val="0"/>
                  <w:vAlign w:val="center"/>
                </w:tcPr>
                <w:p w14:paraId="0E7F7E7B">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选址符合规划区范围内各单元控制性详细规划</w:t>
                  </w:r>
                </w:p>
              </w:tc>
              <w:tc>
                <w:tcPr>
                  <w:tcW w:w="3533" w:type="dxa"/>
                  <w:noWrap w:val="0"/>
                  <w:vAlign w:val="center"/>
                </w:tcPr>
                <w:p w14:paraId="38A60E21">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位于</w:t>
                  </w: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选址</w:t>
                  </w:r>
                  <w:r>
                    <w:rPr>
                      <w:rFonts w:hint="default" w:ascii="Times New Roman" w:hAnsi="Times New Roman" w:cs="Times New Roman"/>
                      <w:color w:val="000000" w:themeColor="text1"/>
                      <w:lang w:eastAsia="zh-CN"/>
                      <w14:textFill>
                        <w14:solidFill>
                          <w14:schemeClr w14:val="tx1"/>
                        </w14:solidFill>
                      </w14:textFill>
                    </w:rPr>
                    <w:t>符合福清融侨经济技术开发区的用地规划</w:t>
                  </w:r>
                </w:p>
              </w:tc>
              <w:tc>
                <w:tcPr>
                  <w:tcW w:w="673" w:type="dxa"/>
                  <w:noWrap w:val="0"/>
                  <w:vAlign w:val="center"/>
                </w:tcPr>
                <w:p w14:paraId="01A4D9AB">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57F7BE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088F5FB6">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清洁生产</w:t>
                  </w:r>
                </w:p>
              </w:tc>
              <w:tc>
                <w:tcPr>
                  <w:tcW w:w="3275" w:type="dxa"/>
                  <w:noWrap w:val="0"/>
                  <w:vAlign w:val="center"/>
                </w:tcPr>
                <w:p w14:paraId="0FE29884">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入区项目生产工艺、装备技术水平等应达到国内同行业领先水平；水耗、能耗指标应设定在清洁生产一级水平</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国际先进水平</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或二级水平</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国内先进水平</w:t>
                  </w:r>
                  <w:r>
                    <w:rPr>
                      <w:rFonts w:hint="eastAsia" w:ascii="Times New Roman" w:hAnsi="Times New Roman" w:cs="Times New Roman"/>
                      <w:color w:val="000000" w:themeColor="text1"/>
                      <w:lang w:val="en-US" w:eastAsia="zh-CN"/>
                      <w14:textFill>
                        <w14:solidFill>
                          <w14:schemeClr w14:val="tx1"/>
                        </w14:solidFill>
                      </w14:textFill>
                    </w:rPr>
                    <w:t>)</w:t>
                  </w:r>
                </w:p>
              </w:tc>
              <w:tc>
                <w:tcPr>
                  <w:tcW w:w="3533" w:type="dxa"/>
                  <w:noWrap w:val="0"/>
                  <w:vAlign w:val="center"/>
                </w:tcPr>
                <w:p w14:paraId="71DCBF50">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项目所采用的生产工艺、装备技术可达国内先进水平；水耗、能耗指标可达国内先进水平</w:t>
                  </w:r>
                </w:p>
              </w:tc>
              <w:tc>
                <w:tcPr>
                  <w:tcW w:w="673" w:type="dxa"/>
                  <w:noWrap w:val="0"/>
                  <w:vAlign w:val="center"/>
                </w:tcPr>
                <w:p w14:paraId="5B3CC853">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19C23A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41F5C068">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环境保护</w:t>
                  </w:r>
                </w:p>
              </w:tc>
              <w:tc>
                <w:tcPr>
                  <w:tcW w:w="3275" w:type="dxa"/>
                  <w:noWrap w:val="0"/>
                  <w:vAlign w:val="center"/>
                </w:tcPr>
                <w:p w14:paraId="41AC8E47">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符合行业环境准入要求。</w:t>
                  </w:r>
                </w:p>
                <w:p w14:paraId="39D09249">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2、建设项目排放污染物符合国家、省规定的污染物排放标准。</w:t>
                  </w:r>
                </w:p>
                <w:p w14:paraId="5B038D56">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3、建设项目新增主要污染物排放量符合总量控制和污染物减排要求。</w:t>
                  </w:r>
                </w:p>
                <w:p w14:paraId="2703F7FE">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4、废水集中纳管排放。</w:t>
                  </w:r>
                </w:p>
                <w:p w14:paraId="1AD0863B">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5、实施技改项目的企业近三年未发生重大污染事故，未发生因环境污染引起的群体事件</w:t>
                  </w:r>
                </w:p>
              </w:tc>
              <w:tc>
                <w:tcPr>
                  <w:tcW w:w="3533" w:type="dxa"/>
                  <w:noWrap w:val="0"/>
                  <w:vAlign w:val="center"/>
                </w:tcPr>
                <w:p w14:paraId="2727F65D">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，C3670 汽车零部件及配件制造为开发区主导行业</w:t>
                  </w:r>
                  <w:r>
                    <w:rPr>
                      <w:rFonts w:hint="eastAsia" w:ascii="Times New Roman" w:hAnsi="Times New Roman" w:cs="Times New Roman"/>
                      <w:color w:val="000000" w:themeColor="text1"/>
                      <w:lang w:val="en-US" w:eastAsia="zh-CN"/>
                      <w14:textFill>
                        <w14:solidFill>
                          <w14:schemeClr w14:val="tx1"/>
                        </w14:solidFill>
                      </w14:textFill>
                    </w:rPr>
                    <w:t>；</w:t>
                  </w:r>
                </w:p>
                <w:p w14:paraId="29DFE141">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2、项目各污染物经收集处理后可达标排放；</w:t>
                  </w:r>
                </w:p>
                <w:p w14:paraId="1B66407E">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3、项目主要新增污染物VOCs将按主管部门要求进行总量控制；</w:t>
                  </w:r>
                </w:p>
                <w:p w14:paraId="4D96569F">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4、项目生活污水通过厂区污水总排口纳入市政污水管网；</w:t>
                  </w:r>
                </w:p>
                <w:p w14:paraId="569EA557">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5、项目</w:t>
                  </w:r>
                  <w:r>
                    <w:rPr>
                      <w:rFonts w:hint="eastAsia" w:ascii="Times New Roman" w:hAnsi="Times New Roman" w:cs="Times New Roman"/>
                      <w:color w:val="000000" w:themeColor="text1"/>
                      <w:lang w:val="en-US"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新建项目</w:t>
                  </w:r>
                </w:p>
              </w:tc>
              <w:tc>
                <w:tcPr>
                  <w:tcW w:w="673" w:type="dxa"/>
                  <w:noWrap w:val="0"/>
                  <w:vAlign w:val="center"/>
                </w:tcPr>
                <w:p w14:paraId="131ED4A9">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5ACEF4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6253ED3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空间布局约束</w:t>
                  </w:r>
                </w:p>
              </w:tc>
              <w:tc>
                <w:tcPr>
                  <w:tcW w:w="3275" w:type="dxa"/>
                  <w:noWrap w:val="0"/>
                  <w:vAlign w:val="center"/>
                </w:tcPr>
                <w:p w14:paraId="486E799B">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禁止新建：</w:t>
                  </w:r>
                </w:p>
                <w:p w14:paraId="0645E9A6">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1、涉及开炼、密炼、硫化工艺；</w:t>
                  </w:r>
                </w:p>
                <w:p w14:paraId="1D1F0564">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2、采用煤、油、生物质等非清洁能源；</w:t>
                  </w:r>
                </w:p>
                <w:p w14:paraId="7603B3BF">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3、再生橡胶制造、橡胶加工、橡胶制品翻新；</w:t>
                  </w:r>
                </w:p>
                <w:p w14:paraId="7AC465DA">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4、废塑料再生现代生产能力允许企业在一定期限内采取措施改造升级。</w:t>
                  </w:r>
                </w:p>
              </w:tc>
              <w:tc>
                <w:tcPr>
                  <w:tcW w:w="3533" w:type="dxa"/>
                  <w:noWrap w:val="0"/>
                  <w:vAlign w:val="center"/>
                </w:tcPr>
                <w:p w14:paraId="1B6194B5">
                  <w:pPr>
                    <w:pStyle w:val="47"/>
                    <w:bidi w:val="0"/>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1、项目主要生产工序为</w:t>
                  </w:r>
                  <w:r>
                    <w:rPr>
                      <w:rFonts w:hint="eastAsia" w:cs="Times New Roman"/>
                      <w:color w:val="000000" w:themeColor="text1"/>
                      <w:lang w:val="en-US" w:eastAsia="zh-CN"/>
                      <w14:textFill>
                        <w14:solidFill>
                          <w14:schemeClr w14:val="tx1"/>
                        </w14:solidFill>
                      </w14:textFill>
                    </w:rPr>
                    <w:t>调胶、喷胶、辊胶、包覆包边</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热铆焊接</w:t>
                  </w:r>
                  <w:r>
                    <w:rPr>
                      <w:rFonts w:hint="eastAsia" w:ascii="Times New Roman" w:hAnsi="Times New Roman" w:cs="Times New Roman"/>
                      <w:color w:val="000000" w:themeColor="text1"/>
                      <w:lang w:val="en-US" w:eastAsia="zh-CN"/>
                      <w14:textFill>
                        <w14:solidFill>
                          <w14:schemeClr w14:val="tx1"/>
                        </w14:solidFill>
                      </w14:textFill>
                    </w:rPr>
                    <w:t>，不涉及开炼、密炼、硫化；</w:t>
                  </w:r>
                </w:p>
                <w:p w14:paraId="70AF51CE">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2、本项目</w:t>
                  </w:r>
                  <w:r>
                    <w:rPr>
                      <w:rFonts w:hint="default" w:ascii="Times New Roman" w:hAnsi="Times New Roman" w:cs="Times New Roman"/>
                      <w:color w:val="000000" w:themeColor="text1"/>
                      <w:lang w:val="en-US" w:eastAsia="zh-CN"/>
                      <w14:textFill>
                        <w14:solidFill>
                          <w14:schemeClr w14:val="tx1"/>
                        </w14:solidFill>
                      </w14:textFill>
                    </w:rPr>
                    <w:t>不属于再生橡胶制造、橡胶加工、橡胶制品翻新</w:t>
                  </w:r>
                  <w:r>
                    <w:rPr>
                      <w:rFonts w:hint="eastAsia" w:ascii="Times New Roman" w:hAnsi="Times New Roman" w:cs="Times New Roman"/>
                      <w:color w:val="000000" w:themeColor="text1"/>
                      <w:lang w:val="en-US" w:eastAsia="zh-CN"/>
                      <w14:textFill>
                        <w14:solidFill>
                          <w14:schemeClr w14:val="tx1"/>
                        </w14:solidFill>
                      </w14:textFill>
                    </w:rPr>
                    <w:t>行业</w:t>
                  </w:r>
                  <w:r>
                    <w:rPr>
                      <w:rFonts w:hint="default" w:ascii="Times New Roman" w:hAnsi="Times New Roman" w:cs="Times New Roman"/>
                      <w:color w:val="000000" w:themeColor="text1"/>
                      <w:lang w:val="en-US" w:eastAsia="zh-CN"/>
                      <w14:textFill>
                        <w14:solidFill>
                          <w14:schemeClr w14:val="tx1"/>
                        </w14:solidFill>
                      </w14:textFill>
                    </w:rPr>
                    <w:t>；</w:t>
                  </w:r>
                </w:p>
                <w:p w14:paraId="12A58351">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4、项目</w:t>
                  </w:r>
                  <w:r>
                    <w:rPr>
                      <w:rFonts w:hint="eastAsia" w:cs="Times New Roman"/>
                      <w:color w:val="000000" w:themeColor="text1"/>
                      <w:lang w:val="en-US" w:eastAsia="zh-CN"/>
                      <w14:textFill>
                        <w14:solidFill>
                          <w14:schemeClr w14:val="tx1"/>
                        </w14:solidFill>
                      </w14:textFill>
                    </w:rPr>
                    <w:t>不涉及废塑料</w:t>
                  </w:r>
                  <w:r>
                    <w:rPr>
                      <w:rFonts w:hint="default" w:ascii="Times New Roman" w:hAnsi="Times New Roman" w:cs="Times New Roman"/>
                      <w:color w:val="000000" w:themeColor="text1"/>
                      <w:lang w:val="en-US" w:eastAsia="zh-CN"/>
                      <w14:textFill>
                        <w14:solidFill>
                          <w14:schemeClr w14:val="tx1"/>
                        </w14:solidFill>
                      </w14:textFill>
                    </w:rPr>
                    <w:t>。</w:t>
                  </w:r>
                </w:p>
              </w:tc>
              <w:tc>
                <w:tcPr>
                  <w:tcW w:w="673" w:type="dxa"/>
                  <w:noWrap w:val="0"/>
                  <w:vAlign w:val="center"/>
                </w:tcPr>
                <w:p w14:paraId="2DDA825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14:paraId="746036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12DE4D5A">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污染物排放管控</w:t>
                  </w:r>
                </w:p>
              </w:tc>
              <w:tc>
                <w:tcPr>
                  <w:tcW w:w="3275" w:type="dxa"/>
                  <w:noWrap w:val="0"/>
                  <w:vAlign w:val="center"/>
                </w:tcPr>
                <w:p w14:paraId="0E758348">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1、新、改、扩建项目新增大气污染物</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现阶段指SO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、NOx</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排放量实行1.5倍削减替代</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不含使用天然气、液化石油气等作为燃料的非火电锅炉和工业炉窑</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14:paraId="2B856F5E">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2、新、改、扩建项目新增VOCs排放量实行倍量削减替代。</w:t>
                  </w:r>
                </w:p>
                <w:p w14:paraId="57F29C2D">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3、工业企业废水全部纳管进入</w:t>
                  </w:r>
                  <w:r>
                    <w:rPr>
                      <w:rFonts w:hint="eastAsia" w:ascii="Times New Roman" w:hAnsi="Times New Roman" w:cs="Times New Roman"/>
                      <w:color w:val="000000" w:themeColor="text1"/>
                      <w:lang w:eastAsia="zh-CN"/>
                      <w14:textFill>
                        <w14:solidFill>
                          <w14:schemeClr w14:val="tx1"/>
                        </w14:solidFill>
                      </w14:textFill>
                    </w:rPr>
                    <w:t>污水处理厂</w:t>
                  </w:r>
                  <w:r>
                    <w:rPr>
                      <w:rFonts w:hint="default" w:ascii="Times New Roman" w:hAnsi="Times New Roman" w:cs="Times New Roman"/>
                      <w:color w:val="000000" w:themeColor="text1"/>
                      <w14:textFill>
                        <w14:solidFill>
                          <w14:schemeClr w14:val="tx1"/>
                        </w14:solidFill>
                      </w14:textFill>
                    </w:rPr>
                    <w:t>集中处理后达标排放。</w:t>
                  </w:r>
                </w:p>
              </w:tc>
              <w:tc>
                <w:tcPr>
                  <w:tcW w:w="3533" w:type="dxa"/>
                  <w:noWrap w:val="0"/>
                  <w:vAlign w:val="center"/>
                </w:tcPr>
                <w:p w14:paraId="59DA9DF7">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1、项目不涉及</w:t>
                  </w: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x</w:t>
                  </w:r>
                  <w:r>
                    <w:rPr>
                      <w:rFonts w:hint="default" w:ascii="Times New Roman" w:hAnsi="Times New Roman" w:cs="Times New Roman"/>
                      <w:color w:val="000000" w:themeColor="text1"/>
                      <w:lang w:eastAsia="zh-CN"/>
                      <w14:textFill>
                        <w14:solidFill>
                          <w14:schemeClr w14:val="tx1"/>
                        </w14:solidFill>
                      </w14:textFill>
                    </w:rPr>
                    <w:t>；</w:t>
                  </w:r>
                </w:p>
                <w:p w14:paraId="73CF84BA">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新增</w:t>
                  </w:r>
                  <w:r>
                    <w:rPr>
                      <w:rFonts w:hint="default" w:ascii="Times New Roman" w:hAnsi="Times New Roman" w:cs="Times New Roman"/>
                      <w:color w:val="000000" w:themeColor="text1"/>
                      <w:lang w:val="en-US" w:eastAsia="zh-CN"/>
                      <w14:textFill>
                        <w14:solidFill>
                          <w14:schemeClr w14:val="tx1"/>
                        </w14:solidFill>
                      </w14:textFill>
                    </w:rPr>
                    <w:t>VOCs指标将按照主管部门要求申请倍量削减替代；</w:t>
                  </w:r>
                </w:p>
                <w:p w14:paraId="79919276">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3、本项目无生产废水</w:t>
                  </w:r>
                  <w:r>
                    <w:rPr>
                      <w:rFonts w:hint="eastAsia" w:cs="Times New Roman"/>
                      <w:color w:val="000000" w:themeColor="text1"/>
                      <w:lang w:val="en-US" w:eastAsia="zh-CN"/>
                      <w14:textFill>
                        <w14:solidFill>
                          <w14:schemeClr w14:val="tx1"/>
                        </w14:solidFill>
                      </w14:textFill>
                    </w:rPr>
                    <w:t>外排</w:t>
                  </w:r>
                  <w:r>
                    <w:rPr>
                      <w:rFonts w:hint="default" w:ascii="Times New Roman" w:hAnsi="Times New Roman" w:cs="Times New Roman"/>
                      <w:color w:val="000000" w:themeColor="text1"/>
                      <w:lang w:val="en-US" w:eastAsia="zh-CN"/>
                      <w14:textFill>
                        <w14:solidFill>
                          <w14:schemeClr w14:val="tx1"/>
                        </w14:solidFill>
                      </w14:textFill>
                    </w:rPr>
                    <w:t>，生活</w:t>
                  </w:r>
                  <w:r>
                    <w:rPr>
                      <w:rFonts w:hint="eastAsia" w:ascii="Times New Roman" w:hAnsi="Times New Roman" w:cs="Times New Roman"/>
                      <w:color w:val="000000" w:themeColor="text1"/>
                      <w:lang w:val="en-US" w:eastAsia="zh-CN"/>
                      <w14:textFill>
                        <w14:solidFill>
                          <w14:schemeClr w14:val="tx1"/>
                        </w14:solidFill>
                      </w14:textFill>
                    </w:rPr>
                    <w:t>污水</w:t>
                  </w:r>
                  <w:r>
                    <w:rPr>
                      <w:rFonts w:hint="default" w:ascii="Times New Roman" w:hAnsi="Times New Roman" w:cs="Times New Roman"/>
                      <w:color w:val="000000" w:themeColor="text1"/>
                      <w14:textFill>
                        <w14:solidFill>
                          <w14:schemeClr w14:val="tx1"/>
                        </w14:solidFill>
                      </w14:textFill>
                    </w:rPr>
                    <w:t>全部纳管进入</w:t>
                  </w:r>
                  <w:r>
                    <w:rPr>
                      <w:rFonts w:hint="eastAsia" w:ascii="Times New Roman" w:hAnsi="Times New Roman" w:cs="Times New Roman"/>
                      <w:color w:val="000000" w:themeColor="text1"/>
                      <w:lang w:eastAsia="zh-CN"/>
                      <w14:textFill>
                        <w14:solidFill>
                          <w14:schemeClr w14:val="tx1"/>
                        </w14:solidFill>
                      </w14:textFill>
                    </w:rPr>
                    <w:t>污水处理厂</w:t>
                  </w:r>
                  <w:r>
                    <w:rPr>
                      <w:rFonts w:hint="default" w:ascii="Times New Roman" w:hAnsi="Times New Roman" w:cs="Times New Roman"/>
                      <w:color w:val="000000" w:themeColor="text1"/>
                      <w14:textFill>
                        <w14:solidFill>
                          <w14:schemeClr w14:val="tx1"/>
                        </w14:solidFill>
                      </w14:textFill>
                    </w:rPr>
                    <w:t>集中处理后达标排放</w:t>
                  </w:r>
                  <w:r>
                    <w:rPr>
                      <w:rFonts w:hint="default" w:ascii="Times New Roman" w:hAnsi="Times New Roman" w:cs="Times New Roman"/>
                      <w:color w:val="000000" w:themeColor="text1"/>
                      <w:lang w:val="en-US" w:eastAsia="zh-CN"/>
                      <w14:textFill>
                        <w14:solidFill>
                          <w14:schemeClr w14:val="tx1"/>
                        </w14:solidFill>
                      </w14:textFill>
                    </w:rPr>
                    <w:t>。</w:t>
                  </w:r>
                </w:p>
              </w:tc>
              <w:tc>
                <w:tcPr>
                  <w:tcW w:w="673" w:type="dxa"/>
                  <w:noWrap w:val="0"/>
                  <w:vAlign w:val="center"/>
                </w:tcPr>
                <w:p w14:paraId="6534823A">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符合</w:t>
                  </w:r>
                </w:p>
              </w:tc>
            </w:tr>
            <w:tr w14:paraId="3E1C63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93" w:type="dxa"/>
                  <w:noWrap w:val="0"/>
                  <w:vAlign w:val="center"/>
                </w:tcPr>
                <w:p w14:paraId="3A3BA123">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资源环境效率管控</w:t>
                  </w:r>
                </w:p>
              </w:tc>
              <w:tc>
                <w:tcPr>
                  <w:tcW w:w="3275" w:type="dxa"/>
                  <w:noWrap w:val="0"/>
                  <w:vAlign w:val="center"/>
                </w:tcPr>
                <w:p w14:paraId="6BC3E509">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29 橡胶和塑料制品业</w:t>
                  </w:r>
                  <w:r>
                    <w:rPr>
                      <w:rFonts w:hint="default" w:ascii="Times New Roman" w:hAnsi="Times New Roman" w:cs="Times New Roman"/>
                      <w:color w:val="000000" w:themeColor="text1"/>
                      <w:lang w:val="en-GB" w:eastAsia="zh-CN"/>
                      <w14:textFill>
                        <w14:solidFill>
                          <w14:schemeClr w14:val="tx1"/>
                        </w14:solidFill>
                      </w14:textFill>
                    </w:rPr>
                    <w:t>：</w:t>
                  </w:r>
                </w:p>
                <w:p w14:paraId="161F308B">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1、能耗不超过0.23吨标煤/万元工业增加值</w:t>
                  </w:r>
                  <w:r>
                    <w:rPr>
                      <w:rFonts w:hint="default" w:ascii="Times New Roman" w:hAnsi="Times New Roman" w:cs="Times New Roman"/>
                      <w:color w:val="000000" w:themeColor="text1"/>
                      <w:lang w:eastAsia="zh-CN"/>
                      <w14:textFill>
                        <w14:solidFill>
                          <w14:schemeClr w14:val="tx1"/>
                        </w14:solidFill>
                      </w14:textFill>
                    </w:rPr>
                    <w:t>；</w:t>
                  </w:r>
                </w:p>
                <w:p w14:paraId="37744520">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2、水耗不超过1.19t/万元工业增加值</w:t>
                  </w:r>
                  <w:r>
                    <w:rPr>
                      <w:rFonts w:hint="default" w:ascii="Times New Roman" w:hAnsi="Times New Roman" w:cs="Times New Roman"/>
                      <w:color w:val="000000" w:themeColor="text1"/>
                      <w:lang w:eastAsia="zh-CN"/>
                      <w14:textFill>
                        <w14:solidFill>
                          <w14:schemeClr w14:val="tx1"/>
                        </w14:solidFill>
                      </w14:textFill>
                    </w:rPr>
                    <w:t>；</w:t>
                  </w:r>
                </w:p>
                <w:p w14:paraId="1332EC37">
                  <w:pPr>
                    <w:pStyle w:val="47"/>
                    <w:bidi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3、污水排放量不超过</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.46t/万元工业增加值</w:t>
                  </w:r>
                  <w:r>
                    <w:rPr>
                      <w:rFonts w:hint="default" w:ascii="Times New Roman" w:hAnsi="Times New Roman" w:cs="Times New Roman"/>
                      <w:color w:val="000000" w:themeColor="text1"/>
                      <w:lang w:eastAsia="zh-CN"/>
                      <w14:textFill>
                        <w14:solidFill>
                          <w14:schemeClr w14:val="tx1"/>
                        </w14:solidFill>
                      </w14:textFill>
                    </w:rPr>
                    <w:t>；</w:t>
                  </w:r>
                </w:p>
                <w:p w14:paraId="78A81C43">
                  <w:pPr>
                    <w:pStyle w:val="47"/>
                    <w:bidi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4、VOCs排放量不超过0.46kg/万元工业增加值</w:t>
                  </w:r>
                  <w:r>
                    <w:rPr>
                      <w:rFonts w:hint="default" w:ascii="Times New Roman" w:hAnsi="Times New Roman" w:cs="Times New Roman"/>
                      <w:color w:val="000000" w:themeColor="text1"/>
                      <w:lang w:eastAsia="zh-CN"/>
                      <w14:textFill>
                        <w14:solidFill>
                          <w14:schemeClr w14:val="tx1"/>
                        </w14:solidFill>
                      </w14:textFill>
                    </w:rPr>
                    <w:t>。</w:t>
                  </w:r>
                </w:p>
              </w:tc>
              <w:tc>
                <w:tcPr>
                  <w:tcW w:w="3533" w:type="dxa"/>
                  <w:noWrap w:val="0"/>
                  <w:vAlign w:val="center"/>
                </w:tcPr>
                <w:p w14:paraId="4724E359">
                  <w:pPr>
                    <w:pStyle w:val="47"/>
                    <w:bidi w:val="0"/>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工业增加值约为</w:t>
                  </w:r>
                  <w:r>
                    <w:rPr>
                      <w:rFonts w:hint="eastAsia" w:cs="Times New Roman"/>
                      <w:color w:val="000000" w:themeColor="text1"/>
                      <w:highlight w:val="none"/>
                      <w:lang w:val="en-US" w:eastAsia="zh-CN"/>
                      <w14:textFill>
                        <w14:solidFill>
                          <w14:schemeClr w14:val="tx1"/>
                        </w14:solidFill>
                      </w14:textFill>
                    </w:rPr>
                    <w:t>12000</w:t>
                  </w:r>
                  <w:r>
                    <w:rPr>
                      <w:rFonts w:hint="default" w:ascii="Times New Roman" w:hAnsi="Times New Roman" w:cs="Times New Roman"/>
                      <w:color w:val="000000" w:themeColor="text1"/>
                      <w:highlight w:val="none"/>
                      <w:lang w:val="en-US" w:eastAsia="zh-CN"/>
                      <w14:textFill>
                        <w14:solidFill>
                          <w14:schemeClr w14:val="tx1"/>
                        </w14:solidFill>
                      </w14:textFill>
                    </w:rPr>
                    <w:t>万元；</w:t>
                  </w:r>
                </w:p>
                <w:p w14:paraId="1E7F8724">
                  <w:pPr>
                    <w:pStyle w:val="47"/>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能耗</w:t>
                  </w:r>
                  <w:r>
                    <w:rPr>
                      <w:rFonts w:hint="eastAsia" w:ascii="Times New Roman" w:hAnsi="Times New Roman" w:eastAsia="宋体" w:cs="Times New Roman"/>
                      <w:color w:val="000000" w:themeColor="text1"/>
                      <w:lang w:val="en-US" w:eastAsia="zh-CN"/>
                      <w14:textFill>
                        <w14:solidFill>
                          <w14:schemeClr w14:val="tx1"/>
                        </w14:solidFill>
                      </w14:textFill>
                    </w:rPr>
                    <w:t>79</w:t>
                  </w:r>
                  <w:r>
                    <w:rPr>
                      <w:rFonts w:hint="default" w:ascii="Times New Roman" w:hAnsi="Times New Roman" w:eastAsia="宋体" w:cs="Times New Roman"/>
                      <w:color w:val="000000" w:themeColor="text1"/>
                      <w:lang w:val="en-US" w:eastAsia="zh-CN"/>
                      <w14:textFill>
                        <w14:solidFill>
                          <w14:schemeClr w14:val="tx1"/>
                        </w14:solidFill>
                      </w14:textFill>
                    </w:rPr>
                    <w:t>万kWh/a，折标为</w:t>
                  </w:r>
                  <w:r>
                    <w:rPr>
                      <w:rFonts w:hint="eastAsia" w:ascii="Times New Roman" w:hAnsi="Times New Roman" w:eastAsia="宋体" w:cs="Times New Roman"/>
                      <w:color w:val="000000" w:themeColor="text1"/>
                      <w:lang w:val="en-US" w:eastAsia="zh-CN"/>
                      <w14:textFill>
                        <w14:solidFill>
                          <w14:schemeClr w14:val="tx1"/>
                        </w14:solidFill>
                      </w14:textFill>
                    </w:rPr>
                    <w:t>97.091</w:t>
                  </w:r>
                  <w:r>
                    <w:rPr>
                      <w:rFonts w:hint="default" w:ascii="Times New Roman" w:hAnsi="Times New Roman" w:eastAsia="宋体" w:cs="Times New Roman"/>
                      <w:color w:val="000000" w:themeColor="text1"/>
                      <w:lang w:val="en-US" w:eastAsia="zh-CN"/>
                      <w14:textFill>
                        <w14:solidFill>
                          <w14:schemeClr w14:val="tx1"/>
                        </w14:solidFill>
                      </w14:textFill>
                    </w:rPr>
                    <w:t>吨标煤</w:t>
                  </w:r>
                  <w:r>
                    <w:rPr>
                      <w:rFonts w:hint="eastAsia" w:ascii="Times New Roman" w:hAnsi="Times New Roman" w:eastAsia="宋体" w:cs="Times New Roman"/>
                      <w:color w:val="000000" w:themeColor="text1"/>
                      <w:lang w:val="en-US" w:eastAsia="zh-CN"/>
                      <w14:textFill>
                        <w14:solidFill>
                          <w14:schemeClr w14:val="tx1"/>
                        </w14:solidFill>
                      </w14:textFill>
                    </w:rPr>
                    <w:t>，则</w:t>
                  </w:r>
                  <w:r>
                    <w:rPr>
                      <w:rFonts w:hint="default" w:ascii="Times New Roman" w:hAnsi="Times New Roman" w:eastAsia="宋体" w:cs="Times New Roman"/>
                      <w:color w:val="000000" w:themeColor="text1"/>
                      <w:lang w:val="en-US" w:eastAsia="zh-CN"/>
                      <w14:textFill>
                        <w14:solidFill>
                          <w14:schemeClr w14:val="tx1"/>
                        </w14:solidFill>
                      </w14:textFill>
                    </w:rPr>
                    <w:t>项目能耗约</w:t>
                  </w:r>
                  <w:r>
                    <w:rPr>
                      <w:rFonts w:hint="eastAsia" w:ascii="Times New Roman" w:hAnsi="Times New Roman" w:eastAsia="宋体" w:cs="Times New Roman"/>
                      <w:color w:val="000000" w:themeColor="text1"/>
                      <w:lang w:val="en-US" w:eastAsia="zh-CN"/>
                      <w14:textFill>
                        <w14:solidFill>
                          <w14:schemeClr w14:val="tx1"/>
                        </w14:solidFill>
                      </w14:textFill>
                    </w:rPr>
                    <w:t>0.0081</w:t>
                  </w:r>
                  <w:r>
                    <w:rPr>
                      <w:rFonts w:hint="default" w:ascii="Times New Roman" w:hAnsi="Times New Roman" w:eastAsia="宋体" w:cs="Times New Roman"/>
                      <w:color w:val="000000" w:themeColor="text1"/>
                      <w:lang w:val="en-US" w:eastAsia="zh-CN"/>
                      <w14:textFill>
                        <w14:solidFill>
                          <w14:schemeClr w14:val="tx1"/>
                        </w14:solidFill>
                      </w14:textFill>
                    </w:rPr>
                    <w:t>吨/万元工业增加值；</w:t>
                  </w:r>
                </w:p>
                <w:p w14:paraId="49269A8D">
                  <w:pPr>
                    <w:pStyle w:val="47"/>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2、水耗为1035t/a，</w:t>
                  </w:r>
                  <w:r>
                    <w:rPr>
                      <w:rFonts w:hint="default" w:ascii="Times New Roman" w:hAnsi="Times New Roman" w:eastAsia="宋体" w:cs="Times New Roman"/>
                      <w:color w:val="000000" w:themeColor="text1"/>
                      <w:lang w:val="en-US" w:eastAsia="zh-CN"/>
                      <w14:textFill>
                        <w14:solidFill>
                          <w14:schemeClr w14:val="tx1"/>
                        </w14:solidFill>
                      </w14:textFill>
                    </w:rPr>
                    <w:t>折标为</w:t>
                  </w:r>
                  <w:r>
                    <w:rPr>
                      <w:rFonts w:hint="eastAsia" w:ascii="Times New Roman" w:hAnsi="Times New Roman" w:eastAsia="宋体" w:cs="Times New Roman"/>
                      <w:color w:val="000000" w:themeColor="text1"/>
                      <w:lang w:val="en-US" w:eastAsia="zh-CN"/>
                      <w14:textFill>
                        <w14:solidFill>
                          <w14:schemeClr w14:val="tx1"/>
                        </w14:solidFill>
                      </w14:textFill>
                    </w:rPr>
                    <w:t>0.089</w:t>
                  </w:r>
                  <w:r>
                    <w:rPr>
                      <w:rFonts w:hint="default" w:ascii="Times New Roman" w:hAnsi="Times New Roman" w:eastAsia="宋体" w:cs="Times New Roman"/>
                      <w:color w:val="000000" w:themeColor="text1"/>
                      <w:lang w:val="en-US" w:eastAsia="zh-CN"/>
                      <w14:textFill>
                        <w14:solidFill>
                          <w14:schemeClr w14:val="tx1"/>
                        </w14:solidFill>
                      </w14:textFill>
                    </w:rPr>
                    <w:t>吨标煤</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项目</w:t>
                  </w:r>
                  <w:r>
                    <w:rPr>
                      <w:rFonts w:hint="eastAsia" w:ascii="Times New Roman" w:hAnsi="Times New Roman" w:eastAsia="宋体" w:cs="Times New Roman"/>
                      <w:color w:val="000000" w:themeColor="text1"/>
                      <w:lang w:val="en-US" w:eastAsia="zh-CN"/>
                      <w14:textFill>
                        <w14:solidFill>
                          <w14:schemeClr w14:val="tx1"/>
                        </w14:solidFill>
                      </w14:textFill>
                    </w:rPr>
                    <w:t>水</w:t>
                  </w:r>
                  <w:r>
                    <w:rPr>
                      <w:rFonts w:hint="default" w:ascii="Times New Roman" w:hAnsi="Times New Roman" w:eastAsia="宋体" w:cs="Times New Roman"/>
                      <w:color w:val="000000" w:themeColor="text1"/>
                      <w:lang w:val="en-US" w:eastAsia="zh-CN"/>
                      <w14:textFill>
                        <w14:solidFill>
                          <w14:schemeClr w14:val="tx1"/>
                        </w14:solidFill>
                      </w14:textFill>
                    </w:rPr>
                    <w:t>耗约</w:t>
                  </w:r>
                  <w:r>
                    <w:rPr>
                      <w:rFonts w:hint="eastAsia" w:ascii="Times New Roman" w:hAnsi="Times New Roman" w:eastAsia="宋体" w:cs="Times New Roman"/>
                      <w:color w:val="000000" w:themeColor="text1"/>
                      <w:lang w:val="en-US" w:eastAsia="zh-CN"/>
                      <w14:textFill>
                        <w14:solidFill>
                          <w14:schemeClr w14:val="tx1"/>
                        </w14:solidFill>
                      </w14:textFill>
                    </w:rPr>
                    <w:t>2.6*10—5</w:t>
                  </w:r>
                  <w:r>
                    <w:rPr>
                      <w:rFonts w:hint="default" w:ascii="Times New Roman" w:hAnsi="Times New Roman" w:eastAsia="宋体" w:cs="Times New Roman"/>
                      <w:color w:val="000000" w:themeColor="text1"/>
                      <w:lang w:val="en-US" w:eastAsia="zh-CN"/>
                      <w14:textFill>
                        <w14:solidFill>
                          <w14:schemeClr w14:val="tx1"/>
                        </w14:solidFill>
                      </w14:textFill>
                    </w:rPr>
                    <w:t>吨/万元工业增加值</w:t>
                  </w:r>
                  <w:r>
                    <w:rPr>
                      <w:rFonts w:hint="eastAsia" w:ascii="Times New Roman" w:hAnsi="Times New Roman" w:eastAsia="宋体" w:cs="Times New Roman"/>
                      <w:color w:val="000000" w:themeColor="text1"/>
                      <w:lang w:val="en-US" w:eastAsia="zh-CN"/>
                      <w14:textFill>
                        <w14:solidFill>
                          <w14:schemeClr w14:val="tx1"/>
                        </w14:solidFill>
                      </w14:textFill>
                    </w:rPr>
                    <w:t>；</w:t>
                  </w:r>
                </w:p>
                <w:p w14:paraId="38BF5AE9">
                  <w:pPr>
                    <w:pStyle w:val="47"/>
                    <w:bidi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3、无生产废水排放；</w:t>
                  </w:r>
                </w:p>
                <w:p w14:paraId="46CE0688">
                  <w:pPr>
                    <w:pStyle w:val="47"/>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项目VOCs排放量为</w:t>
                  </w:r>
                  <w:r>
                    <w:rPr>
                      <w:rFonts w:hint="eastAsia" w:cs="Times New Roman"/>
                      <w:color w:val="000000" w:themeColor="text1"/>
                      <w:lang w:val="en-US" w:eastAsia="zh-CN"/>
                      <w14:textFill>
                        <w14:solidFill>
                          <w14:schemeClr w14:val="tx1"/>
                        </w14:solidFill>
                      </w14:textFill>
                    </w:rPr>
                    <w:t>0.41</w:t>
                  </w:r>
                  <w:r>
                    <w:rPr>
                      <w:rFonts w:hint="default" w:ascii="Times New Roman" w:hAnsi="Times New Roman" w:eastAsia="宋体" w:cs="Times New Roman"/>
                      <w:color w:val="000000" w:themeColor="text1"/>
                      <w:lang w:val="en-US" w:eastAsia="zh-CN"/>
                      <w14:textFill>
                        <w14:solidFill>
                          <w14:schemeClr w14:val="tx1"/>
                        </w14:solidFill>
                      </w14:textFill>
                    </w:rPr>
                    <w:t>t/a，则VOCs排放量为0.</w:t>
                  </w:r>
                  <w:r>
                    <w:rPr>
                      <w:rFonts w:hint="eastAsia" w:ascii="Times New Roman" w:hAnsi="Times New Roman" w:eastAsia="宋体" w:cs="Times New Roman"/>
                      <w:color w:val="000000" w:themeColor="text1"/>
                      <w:lang w:val="en-US" w:eastAsia="zh-CN"/>
                      <w14:textFill>
                        <w14:solidFill>
                          <w14:schemeClr w14:val="tx1"/>
                        </w14:solidFill>
                      </w14:textFill>
                    </w:rPr>
                    <w:t>03</w:t>
                  </w:r>
                  <w:r>
                    <w:rPr>
                      <w:rFonts w:hint="default" w:ascii="Times New Roman" w:hAnsi="Times New Roman" w:eastAsia="宋体" w:cs="Times New Roman"/>
                      <w:color w:val="000000" w:themeColor="text1"/>
                      <w:lang w:val="en-US" w:eastAsia="zh-CN"/>
                      <w14:textFill>
                        <w14:solidFill>
                          <w14:schemeClr w14:val="tx1"/>
                        </w14:solidFill>
                      </w14:textFill>
                    </w:rPr>
                    <w:t>kg/万元工业增加值。</w:t>
                  </w:r>
                </w:p>
              </w:tc>
              <w:tc>
                <w:tcPr>
                  <w:tcW w:w="673" w:type="dxa"/>
                  <w:noWrap w:val="0"/>
                  <w:vAlign w:val="center"/>
                </w:tcPr>
                <w:p w14:paraId="34861A23">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14:paraId="3771FC8D">
            <w:pPr>
              <w:pStyle w:val="48"/>
              <w:bidi w:val="0"/>
              <w:rPr>
                <w:rFonts w:hint="default" w:ascii="Times New Roman" w:hAnsi="Times New Roman" w:eastAsia="宋体" w:cs="Times New Roman"/>
                <w:color w:val="000000" w:themeColor="text1"/>
                <w:kern w:val="0"/>
                <w:sz w:val="24"/>
                <w:szCs w:val="24"/>
                <w:lang w:val="en-GB"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GB" w:eastAsia="zh-CN"/>
                <w14:textFill>
                  <w14:solidFill>
                    <w14:schemeClr w14:val="tx1"/>
                  </w14:solidFill>
                </w14:textFill>
              </w:rPr>
              <w:t>综上，项目符合《福清融侨经济技术开发区总体规划(2018</w:t>
            </w:r>
            <w:r>
              <w:rPr>
                <w:rFonts w:hint="eastAsia" w:cs="Times New Roman"/>
                <w:color w:val="000000" w:themeColor="text1"/>
                <w:kern w:val="0"/>
                <w:sz w:val="24"/>
                <w:szCs w:val="24"/>
                <w:lang w:val="en-GB"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GB" w:eastAsia="zh-CN"/>
                <w14:textFill>
                  <w14:solidFill>
                    <w14:schemeClr w14:val="tx1"/>
                  </w14:solidFill>
                </w14:textFill>
              </w:rPr>
              <w:t>2035年)环境影响报告书》环境准入清单及环评审查意见中的相关要求。</w:t>
            </w:r>
          </w:p>
          <w:p w14:paraId="30A07293">
            <w:pPr>
              <w:pStyle w:val="48"/>
              <w:bidi w:val="0"/>
              <w:ind w:left="0" w:leftChars="0" w:firstLine="0" w:firstLineChars="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3、与闽江调水工程新局调节库缓冲区(GK-03)空间单元符合性分析详见下表1-3，项目与新局调节库方位图详见图1-1。</w:t>
            </w:r>
          </w:p>
          <w:p w14:paraId="5C0713D0">
            <w:pPr>
              <w:pStyle w:val="56"/>
              <w:bidi w:val="0"/>
              <w:outlineLvl w:val="9"/>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表1-3 本项目与闽江调水工程新局调节库空间布局管控清单一览表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889"/>
              <w:gridCol w:w="1202"/>
              <w:gridCol w:w="1042"/>
              <w:gridCol w:w="2073"/>
              <w:gridCol w:w="1807"/>
            </w:tblGrid>
            <w:tr w14:paraId="26A76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tcBorders>
                    <w:tl2br w:val="nil"/>
                    <w:tr2bl w:val="nil"/>
                  </w:tcBorders>
                  <w:noWrap w:val="0"/>
                  <w:vAlign w:val="center"/>
                </w:tcPr>
                <w:p w14:paraId="6EE88F5E">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所含空间单元(规划区块编号)</w:t>
                  </w:r>
                </w:p>
              </w:tc>
              <w:tc>
                <w:tcPr>
                  <w:tcW w:w="528" w:type="pct"/>
                  <w:tcBorders>
                    <w:tl2br w:val="nil"/>
                    <w:tr2bl w:val="nil"/>
                  </w:tcBorders>
                  <w:noWrap w:val="0"/>
                  <w:vAlign w:val="center"/>
                </w:tcPr>
                <w:p w14:paraId="1E5B8477">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面积(hm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p>
              </w:tc>
              <w:tc>
                <w:tcPr>
                  <w:tcW w:w="714" w:type="pct"/>
                  <w:tcBorders>
                    <w:tl2br w:val="nil"/>
                    <w:tr2bl w:val="nil"/>
                  </w:tcBorders>
                  <w:noWrap w:val="0"/>
                  <w:vAlign w:val="center"/>
                </w:tcPr>
                <w:p w14:paraId="05507818">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现状用地类型</w:t>
                  </w:r>
                </w:p>
              </w:tc>
              <w:tc>
                <w:tcPr>
                  <w:tcW w:w="619" w:type="pct"/>
                  <w:tcBorders>
                    <w:tl2br w:val="nil"/>
                    <w:tr2bl w:val="nil"/>
                  </w:tcBorders>
                  <w:noWrap w:val="0"/>
                  <w:vAlign w:val="center"/>
                </w:tcPr>
                <w:p w14:paraId="12F062B6">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四至范围</w:t>
                  </w:r>
                </w:p>
              </w:tc>
              <w:tc>
                <w:tcPr>
                  <w:tcW w:w="1231" w:type="pct"/>
                  <w:tcBorders>
                    <w:tl2br w:val="nil"/>
                    <w:tr2bl w:val="nil"/>
                  </w:tcBorders>
                  <w:noWrap w:val="0"/>
                  <w:vAlign w:val="center"/>
                </w:tcPr>
                <w:p w14:paraId="1FE444BD">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管控要求</w:t>
                  </w:r>
                </w:p>
              </w:tc>
              <w:tc>
                <w:tcPr>
                  <w:tcW w:w="1073" w:type="pct"/>
                  <w:tcBorders>
                    <w:tl2br w:val="nil"/>
                    <w:tr2bl w:val="nil"/>
                  </w:tcBorders>
                  <w:noWrap w:val="0"/>
                  <w:vAlign w:val="center"/>
                </w:tcPr>
                <w:p w14:paraId="6A37CF54">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本项目符合性分析</w:t>
                  </w:r>
                </w:p>
              </w:tc>
            </w:tr>
            <w:tr w14:paraId="54EBC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tcBorders>
                    <w:tl2br w:val="nil"/>
                    <w:tr2bl w:val="nil"/>
                  </w:tcBorders>
                  <w:noWrap w:val="0"/>
                  <w:vAlign w:val="center"/>
                </w:tcPr>
                <w:p w14:paraId="134057E6">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闽江调水工程新局调节库缓冲区</w:t>
                  </w:r>
                </w:p>
                <w:p w14:paraId="188145AB">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(GK-03)</w:t>
                  </w:r>
                </w:p>
              </w:tc>
              <w:tc>
                <w:tcPr>
                  <w:tcW w:w="528" w:type="pct"/>
                  <w:tcBorders>
                    <w:tl2br w:val="nil"/>
                    <w:tr2bl w:val="nil"/>
                  </w:tcBorders>
                  <w:noWrap w:val="0"/>
                  <w:vAlign w:val="center"/>
                </w:tcPr>
                <w:p w14:paraId="15FDA9FD">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108.66</w:t>
                  </w:r>
                </w:p>
              </w:tc>
              <w:tc>
                <w:tcPr>
                  <w:tcW w:w="714" w:type="pct"/>
                  <w:tcBorders>
                    <w:tl2br w:val="nil"/>
                    <w:tr2bl w:val="nil"/>
                  </w:tcBorders>
                  <w:noWrap w:val="0"/>
                  <w:vAlign w:val="center"/>
                </w:tcPr>
                <w:p w14:paraId="282E6A2C">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水域、村庄、空地及少量工业用地、道路等</w:t>
                  </w:r>
                </w:p>
              </w:tc>
              <w:tc>
                <w:tcPr>
                  <w:tcW w:w="619" w:type="pct"/>
                  <w:tcBorders>
                    <w:tl2br w:val="nil"/>
                    <w:tr2bl w:val="nil"/>
                  </w:tcBorders>
                  <w:noWrap w:val="0"/>
                  <w:vAlign w:val="center"/>
                </w:tcPr>
                <w:p w14:paraId="12E765B1">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调节库周边200m范围内</w:t>
                  </w:r>
                </w:p>
              </w:tc>
              <w:tc>
                <w:tcPr>
                  <w:tcW w:w="1231" w:type="pct"/>
                  <w:tcBorders>
                    <w:tl2br w:val="nil"/>
                    <w:tr2bl w:val="nil"/>
                  </w:tcBorders>
                  <w:noWrap w:val="0"/>
                  <w:vAlign w:val="center"/>
                </w:tcPr>
                <w:p w14:paraId="3F8243BF">
                  <w:pPr>
                    <w:pStyle w:val="4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禁止工业企业生产过程使用危化品</w:t>
                  </w:r>
                  <w:r>
                    <w:rPr>
                      <w:rFonts w:hint="eastAsia"/>
                      <w:color w:val="000000" w:themeColor="text1"/>
                      <w:lang w:val="en-US" w:eastAsia="zh-CN"/>
                      <w14:textFill>
                        <w14:solidFill>
                          <w14:schemeClr w14:val="tx1"/>
                        </w14:solidFill>
                      </w14:textFill>
                    </w:rPr>
                    <w:t>；</w:t>
                  </w:r>
                </w:p>
                <w:p w14:paraId="61E748E6">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禁止新建排放烟粉尘、VOCs废气的工业项目。</w:t>
                  </w:r>
                </w:p>
              </w:tc>
              <w:tc>
                <w:tcPr>
                  <w:tcW w:w="1073" w:type="pct"/>
                  <w:tcBorders>
                    <w:tl2br w:val="nil"/>
                    <w:tr2bl w:val="nil"/>
                  </w:tcBorders>
                  <w:noWrap w:val="0"/>
                  <w:vAlign w:val="center"/>
                </w:tcPr>
                <w:p w14:paraId="021207FD">
                  <w:pPr>
                    <w:pStyle w:val="47"/>
                    <w:bidi w:val="0"/>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符合，本项目厂界距离新局调节库约40.49</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㎞，不涉及调节库周边200m范围内</w:t>
                  </w:r>
                </w:p>
              </w:tc>
            </w:tr>
          </w:tbl>
          <w:p w14:paraId="07D59232">
            <w:pPr>
              <w:pStyle w:val="48"/>
              <w:keepNext w:val="0"/>
              <w:keepLines w:val="0"/>
              <w:pageBreakBefore w:val="0"/>
              <w:widowControl w:val="0"/>
              <w:kinsoku/>
              <w:wordWrap/>
              <w:overflowPunct/>
              <w:topLinePunct w:val="0"/>
              <w:autoSpaceDE/>
              <w:autoSpaceDN/>
              <w:bidi w:val="0"/>
              <w:adjustRightInd w:val="0"/>
              <w:snapToGrid w:val="0"/>
              <w:spacing w:before="63" w:beforeLines="20"/>
              <w:ind w:left="0" w:leftChars="0" w:firstLine="0" w:firstLineChars="0"/>
              <w:jc w:val="center"/>
              <w:textAlignment w:val="auto"/>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756285</wp:posOffset>
                      </wp:positionH>
                      <wp:positionV relativeFrom="paragraph">
                        <wp:posOffset>353695</wp:posOffset>
                      </wp:positionV>
                      <wp:extent cx="3563620" cy="1458595"/>
                      <wp:effectExtent l="0" t="4445" r="17780" b="15240"/>
                      <wp:wrapNone/>
                      <wp:docPr id="327" name="组合 993"/>
                      <wp:cNvGraphicFramePr/>
                      <a:graphic xmlns:a="http://schemas.openxmlformats.org/drawingml/2006/main">
                        <a:graphicData uri="http://schemas.microsoft.com/office/word/2010/wordprocessingGroup">
                          <wpg:wgp>
                            <wpg:cNvGrpSpPr/>
                            <wpg:grpSpPr>
                              <a:xfrm>
                                <a:off x="0" y="0"/>
                                <a:ext cx="3563620" cy="1458595"/>
                                <a:chOff x="3901" y="250510"/>
                                <a:chExt cx="5612" cy="2297"/>
                              </a:xfrm>
                            </wpg:grpSpPr>
                            <wps:wsp>
                              <wps:cNvPr id="324" name="自选图形 989"/>
                              <wps:cNvSpPr/>
                              <wps:spPr>
                                <a:xfrm>
                                  <a:off x="3901" y="252667"/>
                                  <a:ext cx="141" cy="141"/>
                                </a:xfrm>
                                <a:prstGeom prst="star5">
                                  <a:avLst/>
                                </a:prstGeom>
                                <a:solidFill>
                                  <a:srgbClr val="FF0000"/>
                                </a:solidFill>
                                <a:ln>
                                  <a:noFill/>
                                </a:ln>
                              </wps:spPr>
                              <wps:bodyPr upright="1"/>
                            </wps:wsp>
                            <wps:wsp>
                              <wps:cNvPr id="325" name="自选图形 990"/>
                              <wps:cNvSpPr/>
                              <wps:spPr>
                                <a:xfrm>
                                  <a:off x="4014" y="251605"/>
                                  <a:ext cx="1532" cy="313"/>
                                </a:xfrm>
                                <a:prstGeom prst="wedgeRectCallout">
                                  <a:avLst>
                                    <a:gd name="adj1" fmla="val -49870"/>
                                    <a:gd name="adj2" fmla="val 289935"/>
                                  </a:avLst>
                                </a:prstGeom>
                                <a:solidFill>
                                  <a:srgbClr val="FFFFFF"/>
                                </a:solidFill>
                                <a:ln w="9525" cap="flat" cmpd="sng">
                                  <a:solidFill>
                                    <a:srgbClr val="000000"/>
                                  </a:solidFill>
                                  <a:prstDash val="solid"/>
                                  <a:miter/>
                                  <a:headEnd type="none" w="med" len="med"/>
                                  <a:tailEnd type="none" w="med" len="med"/>
                                </a:ln>
                              </wps:spPr>
                              <wps:txbx>
                                <w:txbxContent>
                                  <w:p w14:paraId="5F89443D">
                                    <w:pPr>
                                      <w:rPr>
                                        <w:rFonts w:hint="default" w:eastAsia="宋体"/>
                                        <w:lang w:val="en-US" w:eastAsia="zh-CN"/>
                                      </w:rPr>
                                    </w:pPr>
                                    <w:r>
                                      <w:rPr>
                                        <w:rFonts w:hint="eastAsia"/>
                                        <w:lang w:val="en-US" w:eastAsia="zh-CN"/>
                                      </w:rPr>
                                      <w:t>本项目所在位置</w:t>
                                    </w:r>
                                  </w:p>
                                </w:txbxContent>
                              </wps:txbx>
                              <wps:bodyPr lIns="0" tIns="0" rIns="0" bIns="0" upright="1"/>
                            </wps:wsp>
                            <wps:wsp>
                              <wps:cNvPr id="326" name="自选图形 992"/>
                              <wps:cNvSpPr/>
                              <wps:spPr>
                                <a:xfrm>
                                  <a:off x="7495" y="250510"/>
                                  <a:ext cx="2018" cy="313"/>
                                </a:xfrm>
                                <a:prstGeom prst="wedgeRectCallout">
                                  <a:avLst>
                                    <a:gd name="adj1" fmla="val 47176"/>
                                    <a:gd name="adj2" fmla="val 311023"/>
                                  </a:avLst>
                                </a:prstGeom>
                                <a:solidFill>
                                  <a:srgbClr val="FFFFFF"/>
                                </a:solidFill>
                                <a:ln w="9525" cap="flat" cmpd="sng">
                                  <a:solidFill>
                                    <a:srgbClr val="000000"/>
                                  </a:solidFill>
                                  <a:prstDash val="solid"/>
                                  <a:miter/>
                                  <a:headEnd type="none" w="med" len="med"/>
                                  <a:tailEnd type="none" w="med" len="med"/>
                                </a:ln>
                              </wps:spPr>
                              <wps:txbx>
                                <w:txbxContent>
                                  <w:p w14:paraId="6685ECF7">
                                    <w:pPr>
                                      <w:rPr>
                                        <w:rFonts w:hint="default" w:eastAsia="宋体"/>
                                        <w:lang w:val="en-US" w:eastAsia="zh-CN"/>
                                      </w:rPr>
                                    </w:pPr>
                                    <w:r>
                                      <w:rPr>
                                        <w:rFonts w:hint="eastAsia"/>
                                        <w:lang w:val="en-US" w:eastAsia="zh-CN"/>
                                      </w:rPr>
                                      <w:t>新局调节库所在位置</w:t>
                                    </w:r>
                                  </w:p>
                                </w:txbxContent>
                              </wps:txbx>
                              <wps:bodyPr lIns="0" tIns="0" rIns="0" bIns="0" upright="1"/>
                            </wps:wsp>
                          </wpg:wgp>
                        </a:graphicData>
                      </a:graphic>
                    </wp:anchor>
                  </w:drawing>
                </mc:Choice>
                <mc:Fallback>
                  <w:pict>
                    <v:group id="组合 993" o:spid="_x0000_s1026" o:spt="203" style="position:absolute;left:0pt;margin-left:59.55pt;margin-top:27.85pt;height:114.85pt;width:280.6pt;z-index:251669504;mso-width-relative:page;mso-height-relative:page;" coordorigin="3901,250510" coordsize="5612,2297" o:gfxdata="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KpSR22gAAAAoBAAAPAAAAAAAAAAEAIAAAACIAAABkcnMvZG93bnJldi54&#10;bWxQSwECFAAUAAAACACHTuJAM+Y4CU4DAABVCgAADgAAAAAAAAABACAAAAApAQAAZHJzL2Uyb0Rv&#10;Yy54bWxQSwUGAAAAAAYABgBZAQAA6QYAAAAA&#10;">
                      <o:lock v:ext="edit" aspectratio="f"/>
                      <v:shape id="自选图形 989" o:spid="_x0000_s1026" style="position:absolute;left:3901;top:252667;height:141;width:141;" fillcolor="#FF0000" filled="t" stroked="f" coordsize="141,141" o:gfxdata="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r4&#10;vsEAAADcAAAADwAAAAAAAAABACAAAAAiAAAAZHJzL2Rvd25yZXYueG1sUEsBAhQAFAAAAAgAh07i&#10;QDMvBZ47AAAAOQAAABAAAAAAAAAAAQAgAAAAEAEAAGRycy9zaGFwZXhtbC54bWxQSwUGAAAAAAYA&#10;BgBbAQAAugMAAAAA&#10;" path="m0,53l53,53,70,0,87,53,140,53,97,87,114,140,70,107,26,140,43,87xe">
                        <v:path o:connectlocs="70,0;0,53;26,140;114,140;140,53" o:connectangles="247,164,82,82,0"/>
                        <v:fill on="t" focussize="0,0"/>
                        <v:stroke on="f"/>
                        <v:imagedata o:title=""/>
                        <o:lock v:ext="edit" aspectratio="f"/>
                      </v:shape>
                      <v:shape id="自选图形 990" o:spid="_x0000_s1026" o:spt="61" type="#_x0000_t61" style="position:absolute;left:4014;top:251605;height:313;width:1532;" fillcolor="#FFFFFF" filled="t" stroked="t" coordsize="21600,21600" o:gfxdata="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52cr4A&#10;AADcAAAADwAAAAAAAAABACAAAAAiAAAAZHJzL2Rvd25yZXYueG1sUEsBAhQAFAAAAAgAh07iQDMv&#10;BZ47AAAAOQAAABAAAAAAAAAAAQAgAAAADQEAAGRycy9zaGFwZXhtbC54bWxQSwUGAAAAAAYABgBb&#10;AQAAtwMAAAAA&#10;" adj="28,73426">
                        <v:fill on="t" focussize="0,0"/>
                        <v:stroke color="#000000" joinstyle="miter"/>
                        <v:imagedata o:title=""/>
                        <o:lock v:ext="edit" aspectratio="f"/>
                        <v:textbox inset="0mm,0mm,0mm,0mm">
                          <w:txbxContent>
                            <w:p w14:paraId="5F89443D">
                              <w:pPr>
                                <w:rPr>
                                  <w:rFonts w:hint="default" w:eastAsia="宋体"/>
                                  <w:lang w:val="en-US" w:eastAsia="zh-CN"/>
                                </w:rPr>
                              </w:pPr>
                              <w:r>
                                <w:rPr>
                                  <w:rFonts w:hint="eastAsia"/>
                                  <w:lang w:val="en-US" w:eastAsia="zh-CN"/>
                                </w:rPr>
                                <w:t>本项目所在位置</w:t>
                              </w:r>
                            </w:p>
                          </w:txbxContent>
                        </v:textbox>
                      </v:shape>
                      <v:shape id="自选图形 992" o:spid="_x0000_s1026" o:spt="61" type="#_x0000_t61" style="position:absolute;left:7495;top:250510;height:313;width:2018;" fillcolor="#FFFFFF" filled="t" stroked="t" coordsize="21600,21600" o:gfxdata="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FqCb4A&#10;AADcAAAADwAAAAAAAAABACAAAAAiAAAAZHJzL2Rvd25yZXYueG1sUEsBAhQAFAAAAAgAh07iQDMv&#10;BZ47AAAAOQAAABAAAAAAAAAAAQAgAAAADQEAAGRycy9zaGFwZXhtbC54bWxQSwUGAAAAAAYABgBb&#10;AQAAtwMAAAAA&#10;" adj="20990,77981">
                        <v:fill on="t" focussize="0,0"/>
                        <v:stroke color="#000000" joinstyle="miter"/>
                        <v:imagedata o:title=""/>
                        <o:lock v:ext="edit" aspectratio="f"/>
                        <v:textbox inset="0mm,0mm,0mm,0mm">
                          <w:txbxContent>
                            <w:p w14:paraId="6685ECF7">
                              <w:pPr>
                                <w:rPr>
                                  <w:rFonts w:hint="default" w:eastAsia="宋体"/>
                                  <w:lang w:val="en-US" w:eastAsia="zh-CN"/>
                                </w:rPr>
                              </w:pPr>
                              <w:r>
                                <w:rPr>
                                  <w:rFonts w:hint="eastAsia"/>
                                  <w:lang w:val="en-US" w:eastAsia="zh-CN"/>
                                </w:rPr>
                                <w:t>新局调节库所在位置</w:t>
                              </w:r>
                            </w:p>
                          </w:txbxContent>
                        </v:textbox>
                      </v:shape>
                    </v:group>
                  </w:pict>
                </mc:Fallback>
              </mc:AlternateContent>
            </w:r>
            <w:r>
              <w:rPr>
                <w:color w:val="000000" w:themeColor="text1"/>
                <w14:textFill>
                  <w14:solidFill>
                    <w14:schemeClr w14:val="tx1"/>
                  </w14:solidFill>
                </w14:textFill>
              </w:rPr>
              <w:drawing>
                <wp:inline distT="0" distB="0" distL="114300" distR="114300">
                  <wp:extent cx="4321810" cy="2732405"/>
                  <wp:effectExtent l="0" t="0" r="6350" b="10795"/>
                  <wp:docPr id="5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8"/>
                          <pic:cNvPicPr>
                            <a:picLocks noChangeAspect="1"/>
                          </pic:cNvPicPr>
                        </pic:nvPicPr>
                        <pic:blipFill>
                          <a:blip r:embed="rId12"/>
                          <a:stretch>
                            <a:fillRect/>
                          </a:stretch>
                        </pic:blipFill>
                        <pic:spPr>
                          <a:xfrm>
                            <a:off x="0" y="0"/>
                            <a:ext cx="4321810" cy="2732405"/>
                          </a:xfrm>
                          <a:prstGeom prst="rect">
                            <a:avLst/>
                          </a:prstGeom>
                          <a:noFill/>
                          <a:ln>
                            <a:noFill/>
                          </a:ln>
                        </pic:spPr>
                      </pic:pic>
                    </a:graphicData>
                  </a:graphic>
                </wp:inline>
              </w:drawing>
            </w:r>
          </w:p>
          <w:p w14:paraId="7A7D5D66">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lang w:val="en-US" w:eastAsia="zh-CN"/>
              </w:rPr>
            </w:pPr>
            <w:r>
              <w:rPr>
                <w:rFonts w:hint="eastAsia"/>
                <w:color w:val="000000" w:themeColor="text1"/>
                <w:lang w:val="en-US" w:eastAsia="zh-CN"/>
                <w14:textFill>
                  <w14:solidFill>
                    <w14:schemeClr w14:val="tx1"/>
                  </w14:solidFill>
                </w14:textFill>
              </w:rPr>
              <w:t>图1-1 项目与新局调节库方位图</w:t>
            </w:r>
          </w:p>
        </w:tc>
      </w:tr>
      <w:tr w14:paraId="5D522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567" w:type="dxa"/>
            <w:noWrap w:val="0"/>
            <w:vAlign w:val="center"/>
          </w:tcPr>
          <w:p w14:paraId="1A69D20B">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其他符合性分析</w:t>
            </w:r>
          </w:p>
        </w:tc>
        <w:tc>
          <w:tcPr>
            <w:tcW w:w="8303" w:type="dxa"/>
            <w:gridSpan w:val="4"/>
            <w:noWrap w:val="0"/>
            <w:vAlign w:val="center"/>
          </w:tcPr>
          <w:p w14:paraId="5999E74E">
            <w:pPr>
              <w:pStyle w:val="48"/>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1、产业政策适宜性分析</w:t>
            </w:r>
          </w:p>
          <w:p w14:paraId="03071BF8">
            <w:pPr>
              <w:pStyle w:val="4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项目主要</w:t>
            </w:r>
            <w:r>
              <w:rPr>
                <w:rFonts w:hint="eastAsia" w:cs="Times New Roman"/>
                <w:color w:val="000000" w:themeColor="text1"/>
                <w:lang w:eastAsia="zh-CN"/>
                <w14:textFill>
                  <w14:solidFill>
                    <w14:schemeClr w14:val="tx1"/>
                  </w14:solidFill>
                </w14:textFill>
              </w:rPr>
              <w:t>从事汽车零部件加工</w:t>
            </w:r>
            <w:r>
              <w:rPr>
                <w:rFonts w:hint="default" w:ascii="Times New Roman" w:hAnsi="Times New Roman" w:cs="Times New Roman"/>
                <w:color w:val="000000" w:themeColor="text1"/>
                <w14:textFill>
                  <w14:solidFill>
                    <w14:schemeClr w14:val="tx1"/>
                  </w14:solidFill>
                </w14:textFill>
              </w:rPr>
              <w:t>，项目不属于《产业结构调整指导目录(</w:t>
            </w:r>
            <w:r>
              <w:rPr>
                <w:rFonts w:hint="default" w:ascii="Times New Roman" w:hAnsi="Times New Roman" w:cs="Times New Roman"/>
                <w:color w:val="000000" w:themeColor="text1"/>
                <w:lang w:val="en-US" w:eastAsia="zh-CN"/>
                <w14:textFill>
                  <w14:solidFill>
                    <w14:schemeClr w14:val="tx1"/>
                  </w14:solidFill>
                </w14:textFill>
              </w:rPr>
              <w:t>2024</w:t>
            </w:r>
            <w:r>
              <w:rPr>
                <w:rFonts w:hint="default" w:ascii="Times New Roman" w:hAnsi="Times New Roman" w:cs="Times New Roman"/>
                <w:color w:val="000000" w:themeColor="text1"/>
                <w14:textFill>
                  <w14:solidFill>
                    <w14:schemeClr w14:val="tx1"/>
                  </w14:solidFill>
                </w14:textFill>
              </w:rPr>
              <w:t>年本)》中限制和淘汰类的项目</w:t>
            </w:r>
            <w:r>
              <w:rPr>
                <w:rFonts w:hint="eastAsia" w:cs="Times New Roman"/>
                <w:color w:val="000000" w:themeColor="text1"/>
                <w:lang w:eastAsia="zh-CN"/>
                <w14:textFill>
                  <w14:solidFill>
                    <w14:schemeClr w14:val="tx1"/>
                  </w14:solidFill>
                </w14:textFill>
              </w:rPr>
              <w:t>且</w:t>
            </w:r>
            <w:r>
              <w:rPr>
                <w:rFonts w:hint="default" w:ascii="Times New Roman" w:hAnsi="Times New Roman" w:cs="Times New Roman"/>
                <w:color w:val="000000" w:themeColor="text1"/>
                <w14:textFill>
                  <w14:solidFill>
                    <w14:schemeClr w14:val="tx1"/>
                  </w14:solidFill>
                </w14:textFill>
              </w:rPr>
              <w:t>该项目于</w:t>
            </w:r>
            <w:r>
              <w:rPr>
                <w:rFonts w:hint="eastAsia" w:cs="Times New Roman"/>
                <w:color w:val="000000" w:themeColor="text1"/>
                <w:lang w:eastAsia="zh-CN"/>
                <w14:textFill>
                  <w14:solidFill>
                    <w14:schemeClr w14:val="tx1"/>
                  </w14:solidFill>
                </w14:textFill>
              </w:rPr>
              <w:t>2025年11月6日</w:t>
            </w:r>
            <w:r>
              <w:rPr>
                <w:rFonts w:hint="default" w:ascii="Times New Roman" w:hAnsi="Times New Roman" w:cs="Times New Roman"/>
                <w:color w:val="000000" w:themeColor="text1"/>
                <w14:textFill>
                  <w14:solidFill>
                    <w14:schemeClr w14:val="tx1"/>
                  </w14:solidFill>
                </w14:textFill>
              </w:rPr>
              <w:t>通过了福清市发展和改革局的备案(</w:t>
            </w:r>
            <w:r>
              <w:rPr>
                <w:rFonts w:hint="default" w:ascii="Times New Roman" w:hAnsi="Times New Roman" w:cs="Times New Roman"/>
                <w:color w:val="000000" w:themeColor="text1"/>
                <w:lang w:eastAsia="zh-CN"/>
                <w14:textFill>
                  <w14:solidFill>
                    <w14:schemeClr w14:val="tx1"/>
                  </w14:solidFill>
                </w14:textFill>
              </w:rPr>
              <w:t>编号：</w:t>
            </w:r>
            <w:r>
              <w:rPr>
                <w:rFonts w:hint="eastAsia" w:cs="Times New Roman"/>
                <w:color w:val="000000" w:themeColor="text1"/>
                <w:lang w:eastAsia="zh-CN"/>
                <w14:textFill>
                  <w14:solidFill>
                    <w14:schemeClr w14:val="tx1"/>
                  </w14:solidFill>
                </w14:textFill>
              </w:rPr>
              <w:t>闽发改外备[2025]A060019号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详见附件三)，因此项目的建设内容符合当前国家和地方的产业政策。</w:t>
            </w:r>
          </w:p>
          <w:p w14:paraId="79B7ED14">
            <w:pPr>
              <w:pStyle w:val="48"/>
              <w:bidi w:val="0"/>
              <w:ind w:left="0" w:leftChars="0" w:firstLine="0"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2、与城市土地利用规划符合性分析</w:t>
            </w:r>
          </w:p>
          <w:p w14:paraId="7960554D">
            <w:pPr>
              <w:pStyle w:val="4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本项目位于</w:t>
            </w: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t>出租方</w:t>
            </w:r>
            <w:r>
              <w:rPr>
                <w:rFonts w:hint="default"/>
                <w:color w:val="000000" w:themeColor="text1"/>
                <w:highlight w:val="none"/>
                <w:lang w:val="en-US" w:eastAsia="zh-CN"/>
                <w14:textFill>
                  <w14:solidFill>
                    <w14:schemeClr w14:val="tx1"/>
                  </w14:solidFill>
                </w14:textFill>
              </w:rPr>
              <w:t>不动产权证“</w:t>
            </w:r>
            <w:r>
              <w:rPr>
                <w:rFonts w:hint="eastAsia"/>
                <w:color w:val="000000" w:themeColor="text1"/>
                <w:highlight w:val="none"/>
                <w:lang w:val="en-US" w:eastAsia="zh-CN"/>
                <w14:textFill>
                  <w14:solidFill>
                    <w14:schemeClr w14:val="tx1"/>
                  </w14:solidFill>
                </w14:textFill>
              </w:rPr>
              <w:t>闽(2025)福清市不动产权第9045843号</w:t>
            </w:r>
            <w:r>
              <w:rPr>
                <w:rFonts w:hint="default"/>
                <w:color w:val="000000" w:themeColor="text1"/>
                <w:highlight w:val="none"/>
                <w:lang w:val="en-US" w:eastAsia="zh-CN"/>
                <w14:textFill>
                  <w14:solidFill>
                    <w14:schemeClr w14:val="tx1"/>
                  </w14:solidFill>
                </w14:textFill>
              </w:rPr>
              <w:t>”(详见附件四)</w:t>
            </w:r>
            <w:r>
              <w:rPr>
                <w:rFonts w:hint="eastAsia"/>
                <w:color w:val="000000" w:themeColor="text1"/>
                <w:highlight w:val="none"/>
                <w:lang w:val="en-US" w:eastAsia="zh-CN"/>
                <w14:textFill>
                  <w14:solidFill>
                    <w14:schemeClr w14:val="tx1"/>
                  </w14:solidFill>
                </w14:textFill>
              </w:rPr>
              <w:t>，用途为</w:t>
            </w:r>
            <w:r>
              <w:rPr>
                <w:rFonts w:hint="default" w:ascii="Times New Roman" w:hAnsi="Times New Roman" w:cs="Times New Roman"/>
                <w:color w:val="000000" w:themeColor="text1"/>
                <w:highlight w:val="none"/>
                <w:lang w:val="en-US" w:eastAsia="zh-CN"/>
                <w14:textFill>
                  <w14:solidFill>
                    <w14:schemeClr w14:val="tx1"/>
                  </w14:solidFill>
                </w14:textFill>
              </w:rPr>
              <w:t>工业</w:t>
            </w:r>
            <w:r>
              <w:rPr>
                <w:rFonts w:hint="eastAsia" w:ascii="Times New Roman" w:hAnsi="Times New Roman" w:cs="Times New Roman"/>
                <w:color w:val="000000" w:themeColor="text1"/>
                <w:highlight w:val="none"/>
                <w:lang w:val="en-US" w:eastAsia="zh-CN"/>
                <w14:textFill>
                  <w14:solidFill>
                    <w14:schemeClr w14:val="tx1"/>
                  </w14:solidFill>
                </w14:textFill>
              </w:rPr>
              <w:t>用地</w:t>
            </w:r>
            <w:r>
              <w:rPr>
                <w:rFonts w:hint="eastAsia" w:cs="Times New Roman"/>
                <w:color w:val="000000" w:themeColor="text1"/>
                <w:highlight w:val="none"/>
                <w:lang w:val="en-US" w:eastAsia="zh-CN"/>
                <w14:textFill>
                  <w14:solidFill>
                    <w14:schemeClr w14:val="tx1"/>
                  </w14:solidFill>
                </w14:textFill>
              </w:rPr>
              <w:t>/厂房</w:t>
            </w:r>
            <w:r>
              <w:rPr>
                <w:rFonts w:hint="default" w:ascii="Times New Roman" w:hAnsi="Times New Roman" w:cs="Times New Roman"/>
                <w:color w:val="000000" w:themeColor="text1"/>
                <w:highlight w:val="none"/>
                <w:lang w:val="en-US" w:eastAsia="zh-CN"/>
                <w14:textFill>
                  <w14:solidFill>
                    <w14:schemeClr w14:val="tx1"/>
                  </w14:solidFill>
                </w14:textFill>
              </w:rPr>
              <w:t>，本项目主要从事</w:t>
            </w:r>
            <w:r>
              <w:rPr>
                <w:rFonts w:hint="eastAsia" w:cs="Times New Roman"/>
                <w:color w:val="000000" w:themeColor="text1"/>
                <w:highlight w:val="none"/>
                <w:lang w:val="en-US" w:eastAsia="zh-CN"/>
                <w14:textFill>
                  <w14:solidFill>
                    <w14:schemeClr w14:val="tx1"/>
                  </w14:solidFill>
                </w14:textFill>
              </w:rPr>
              <w:t>汽车零部件生产加工</w:t>
            </w:r>
            <w:r>
              <w:rPr>
                <w:rFonts w:hint="default" w:ascii="Times New Roman" w:hAnsi="Times New Roman" w:cs="Times New Roman"/>
                <w:color w:val="000000" w:themeColor="text1"/>
                <w:highlight w:val="none"/>
                <w:lang w:val="en-US" w:eastAsia="zh-CN"/>
                <w14:textFill>
                  <w14:solidFill>
                    <w14:schemeClr w14:val="tx1"/>
                  </w14:solidFill>
                </w14:textFill>
              </w:rPr>
              <w:t>，属于工业企业，因此，项目选址符合《福清融侨经济技术开发区总体规划</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2018</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2035年</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》要求，故项目选址合理。</w:t>
            </w:r>
          </w:p>
          <w:p w14:paraId="467857FE">
            <w:pPr>
              <w:pStyle w:val="43"/>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、与“三区三线”符合性分析</w:t>
            </w:r>
          </w:p>
          <w:p w14:paraId="6998A327">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三区三线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是根据城镇空间、农业空间、生态空间三种种类的空间，分别对应划定的城镇开发边界、永久基本农田保护红线、生态保护红线三条控制线。</w:t>
            </w:r>
          </w:p>
          <w:p w14:paraId="7293A55A">
            <w:pPr>
              <w:pStyle w:val="43"/>
              <w:numPr>
                <w:ilvl w:val="0"/>
                <w:numId w:val="3"/>
              </w:num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(三类空间)</w:t>
            </w:r>
          </w:p>
          <w:p w14:paraId="4B6F080D">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①城镇空间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指以城镇居民生产、生活为主体功能的国土空间，包括城镇建设空间、工矿建设空间及部分乡级政府驻地的开发建设空间。</w:t>
            </w:r>
          </w:p>
          <w:p w14:paraId="3D4E72C4">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②农业空间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指以农业生产和农村居民生活为主体功能，承担农产品生产和农村生活功能的国土空间，主要包括永久基本农田、一般农田等农业生产用地和村庄等农村生活用地。</w:t>
            </w:r>
          </w:p>
          <w:p w14:paraId="53D63B71">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③生态空间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指具有自然属性的以提供生态服务或生态产品为主体功能的国土空间，包括森林、草原、湿地、河流、湖泊、滩涂、荒地、荒漠等</w:t>
            </w:r>
          </w:p>
          <w:p w14:paraId="33EC5CDB">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(三条控制线)</w:t>
            </w:r>
          </w:p>
          <w:p w14:paraId="45A078AB">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①生态保护红线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是以重要生态功能区、生态敏感区和生态脆弱区为重点而划定的实施强制性保护的空间边界。</w:t>
            </w:r>
          </w:p>
          <w:p w14:paraId="01F397B6">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②永久基本农田保护红线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是按照一定时期人口和经济社会发展对农产品的需求，确定的不得擅自占用或改变用途的耕地。</w:t>
            </w:r>
          </w:p>
          <w:p w14:paraId="3815457E">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③城镇开发边界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是在一定时期内因城市、建制镇以及各类开发区发展需要，可以集中进行开发建设，重点完善其功能的区域边界。</w:t>
            </w:r>
          </w:p>
          <w:p w14:paraId="515B745C">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根据《自然资源部办公厅关于北京等省(区、市)启用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三区三线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划定成果作为报批建设项目用地用海依据的函》(自然资办函</w:t>
            </w:r>
            <w:r>
              <w:rPr>
                <w:rFonts w:hint="default" w:ascii="Times New Roman" w:hAnsi="Times New Roman" w:cs="Times New Roman"/>
                <w:color w:val="000000" w:themeColor="text1"/>
                <w:lang w:eastAsia="zh-CN"/>
                <w14:textFill>
                  <w14:solidFill>
                    <w14:schemeClr w14:val="tx1"/>
                  </w14:solidFill>
                </w14:textFill>
              </w:rPr>
              <w:t>〔2022〕2207号</w:t>
            </w:r>
            <w:r>
              <w:rPr>
                <w:rFonts w:hint="default" w:ascii="Times New Roman" w:hAnsi="Times New Roman" w:cs="Times New Roman"/>
                <w:color w:val="000000" w:themeColor="text1"/>
                <w14:textFill>
                  <w14:solidFill>
                    <w14:schemeClr w14:val="tx1"/>
                  </w14:solidFill>
                </w14:textFill>
              </w:rPr>
              <w:t>)，福建省已按照《全国国土空间规划纲要(2021</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2035年)》确定的耕地和永久基本农田保护红线任务和《全国“三区三线”划定规则》，完成了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三区三线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划定工作，划定成果符合质检要求，从即日起正式启用，作为建设项目用地用海组卷报批的依据，本项目不占用永久基本农田不占用生态保护红线，工程区位于城镇开发边界范围内，能够符合城镇集中建设区的功能定位。</w:t>
            </w:r>
          </w:p>
          <w:p w14:paraId="36E8952B">
            <w:pPr>
              <w:pStyle w:val="49"/>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、环境功能区划符合性分析</w:t>
            </w:r>
          </w:p>
          <w:p w14:paraId="11087FB2">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项目运营期环境空气污染排放源强很低，对周围环境空气不会产生显著影响，符合《环境空气质量标准》(GB3095-2012)及其修改单中二级标准；</w:t>
            </w:r>
            <w:r>
              <w:rPr>
                <w:rFonts w:hint="eastAsia" w:cs="Times New Roman"/>
                <w:color w:val="000000" w:themeColor="text1"/>
                <w:sz w:val="24"/>
                <w:szCs w:val="24"/>
                <w:lang w:val="en-US" w:eastAsia="zh-CN"/>
                <w14:textFill>
                  <w14:solidFill>
                    <w14:schemeClr w14:val="tx1"/>
                  </w14:solidFill>
                </w14:textFill>
              </w:rPr>
              <w:t>项目无生产废水外排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，生活污水经化粪池预处理后排入市政污水管网送往福清市第二污水处理厂集中处理，不直接排入周边地表水体，周边水体太城溪水环境质量目标为《地表水环境质量标准》中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Ⅳ类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纳污水域龙江水环境质量目标为《地表水环境质量标准》(GB3838-2002)V类标准；项目在采取一定的噪声污染防治措施后，项目产生的噪声不会对周围环境产生显著影响，项目所在区域的环境噪声符合《声环境质量标准》(GB3096-2008)的2类区标准，因此，项目建设符合环境功能规划。</w:t>
            </w:r>
          </w:p>
          <w:p w14:paraId="05A7231C">
            <w:pPr>
              <w:pStyle w:val="48"/>
              <w:bidi w:val="0"/>
              <w:ind w:left="0" w:leftChars="0" w:firstLine="0" w:firstLineChars="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5、与周边相容性分析</w:t>
            </w:r>
          </w:p>
          <w:p w14:paraId="2DFAF726">
            <w:pPr>
              <w:pStyle w:val="48"/>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根据现场勘查，东侧毗邻福清市诚烨电子有限公司，南侧隔厂界道路为福州雄远建材有限公司，西侧为福清龙翔中英文学校，北侧为太城新厝村边界。距离周边敏感点太城新厝村居民楼约</w:t>
            </w:r>
            <w:r>
              <w:rPr>
                <w:rFonts w:hint="eastAsia" w:cs="Times New Roman"/>
                <w:color w:val="000000" w:themeColor="text1"/>
                <w:lang w:val="en-US" w:eastAsia="zh-CN"/>
                <w14:textFill>
                  <w14:solidFill>
                    <w14:schemeClr w14:val="tx1"/>
                  </w14:solidFill>
                </w14:textFill>
              </w:rPr>
              <w:t>56</w:t>
            </w:r>
            <w:r>
              <w:rPr>
                <w:rFonts w:hint="default" w:ascii="Times New Roman" w:hAnsi="Times New Roman" w:cs="Times New Roman"/>
                <w:color w:val="000000" w:themeColor="text1"/>
                <w:lang w:val="en-US" w:eastAsia="zh-CN"/>
                <w14:textFill>
                  <w14:solidFill>
                    <w14:schemeClr w14:val="tx1"/>
                  </w14:solidFill>
                </w14:textFill>
              </w:rPr>
              <w:t>m、福清龙翔中英文学校</w:t>
            </w:r>
            <w:r>
              <w:rPr>
                <w:rFonts w:hint="eastAsia" w:cs="Times New Roman"/>
                <w:color w:val="000000" w:themeColor="text1"/>
                <w:lang w:val="en-US" w:eastAsia="zh-CN"/>
                <w14:textFill>
                  <w14:solidFill>
                    <w14:schemeClr w14:val="tx1"/>
                  </w14:solidFill>
                </w14:textFill>
              </w:rPr>
              <w:t>27</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项目周边环境示意图详见附图</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项目周边环境现状拍摄图详见附图</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建设单位在</w:t>
            </w:r>
            <w:r>
              <w:rPr>
                <w:rFonts w:hint="eastAsia" w:cs="Times New Roman"/>
                <w:color w:val="000000" w:themeColor="text1"/>
                <w:lang w:eastAsia="zh-CN"/>
                <w14:textFill>
                  <w14:solidFill>
                    <w14:schemeClr w14:val="tx1"/>
                  </w14:solidFill>
                </w14:textFill>
              </w:rPr>
              <w:t>切实落实</w:t>
            </w:r>
            <w:r>
              <w:rPr>
                <w:rFonts w:hint="default" w:ascii="Times New Roman" w:hAnsi="Times New Roman" w:cs="Times New Roman"/>
                <w:color w:val="000000" w:themeColor="text1"/>
                <w:lang w:eastAsia="zh-CN"/>
                <w14:textFill>
                  <w14:solidFill>
                    <w14:schemeClr w14:val="tx1"/>
                  </w14:solidFill>
                </w14:textFill>
              </w:rPr>
              <w:t>本评价提出的各项污染治理措施的前提下，可实现污染物达标排放</w:t>
            </w:r>
            <w:r>
              <w:rPr>
                <w:rFonts w:hint="eastAsia" w:cs="Times New Roman"/>
                <w:color w:val="000000" w:themeColor="text1"/>
                <w:lang w:eastAsia="zh-CN"/>
                <w14:textFill>
                  <w14:solidFill>
                    <w14:schemeClr w14:val="tx1"/>
                  </w14:solidFill>
                </w14:textFill>
              </w:rPr>
              <w:t>且</w:t>
            </w:r>
            <w:r>
              <w:rPr>
                <w:rFonts w:hint="default" w:ascii="Times New Roman" w:hAnsi="Times New Roman" w:cs="Times New Roman"/>
                <w:color w:val="000000" w:themeColor="text1"/>
                <w:lang w:eastAsia="zh-CN"/>
                <w14:textFill>
                  <w14:solidFill>
                    <w14:schemeClr w14:val="tx1"/>
                  </w14:solidFill>
                </w14:textFill>
              </w:rPr>
              <w:t>各污染物排放源强较低，运营期产生的“三废”及噪声对周边环境影响不明显，因此，项目建设与周边环境基本相容。</w:t>
            </w:r>
          </w:p>
          <w:p w14:paraId="093871FD">
            <w:pPr>
              <w:pStyle w:val="48"/>
              <w:keepNext w:val="0"/>
              <w:keepLines w:val="0"/>
              <w:pageBreakBefore w:val="0"/>
              <w:widowControl w:val="0"/>
              <w:numPr>
                <w:ilvl w:val="0"/>
                <w:numId w:val="4"/>
              </w:numPr>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cs="Times New Roman"/>
                <w:b/>
                <w:bCs/>
                <w:color w:val="000000" w:themeColor="text1"/>
                <w:kern w:val="2"/>
                <w:sz w:val="24"/>
                <w:szCs w:val="24"/>
                <w:highlight w:val="none"/>
                <w:lang w:val="en-US" w:eastAsia="zh-CN" w:bidi="ar"/>
                <w14:textFill>
                  <w14:solidFill>
                    <w14:schemeClr w14:val="tx1"/>
                  </w14:solidFill>
                </w14:textFill>
              </w:rPr>
              <w:t>与《福州市生态环境分区管控方案(2023年更新)》</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符合性分析</w:t>
            </w:r>
          </w:p>
          <w:p w14:paraId="5EC4BB3B">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根据福州市人民政府办公厅关于印发《福州市生态环境分区管控方案(2023年更新)》的通知，榕政办规〔2024〕20号，项目与福州市生态环境分区管控方案要求符合性分析如下：</w:t>
            </w:r>
          </w:p>
          <w:p w14:paraId="1BFBC0D8">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表1-4 与福州市生态环境总体准入要求及福州市陆域环境管控单元准入要求的符合性分析</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47"/>
              <w:gridCol w:w="786"/>
              <w:gridCol w:w="4154"/>
              <w:gridCol w:w="1914"/>
              <w:gridCol w:w="911"/>
            </w:tblGrid>
            <w:tr w14:paraId="39D501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572" w:type="dxa"/>
                  <w:noWrap w:val="0"/>
                  <w:vAlign w:val="center"/>
                </w:tcPr>
                <w:p w14:paraId="2EB362E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适用范围</w:t>
                  </w:r>
                </w:p>
              </w:tc>
              <w:tc>
                <w:tcPr>
                  <w:tcW w:w="4364" w:type="dxa"/>
                  <w:gridSpan w:val="2"/>
                  <w:noWrap w:val="0"/>
                  <w:vAlign w:val="center"/>
                </w:tcPr>
                <w:p w14:paraId="33DCFC2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准入要求</w:t>
                  </w:r>
                </w:p>
              </w:tc>
              <w:tc>
                <w:tcPr>
                  <w:tcW w:w="1691" w:type="dxa"/>
                  <w:noWrap w:val="0"/>
                  <w:vAlign w:val="center"/>
                </w:tcPr>
                <w:p w14:paraId="11DA8F0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项目情况</w:t>
                  </w:r>
                </w:p>
              </w:tc>
              <w:tc>
                <w:tcPr>
                  <w:tcW w:w="805" w:type="dxa"/>
                  <w:noWrap w:val="0"/>
                  <w:vAlign w:val="center"/>
                </w:tcPr>
                <w:p w14:paraId="249B5E6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14:paraId="1B5D34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572" w:type="dxa"/>
                  <w:vMerge w:val="restart"/>
                  <w:noWrap w:val="0"/>
                  <w:vAlign w:val="center"/>
                </w:tcPr>
                <w:p w14:paraId="3DBECF1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福州市陆域</w:t>
                  </w:r>
                </w:p>
              </w:tc>
              <w:tc>
                <w:tcPr>
                  <w:tcW w:w="694" w:type="dxa"/>
                  <w:noWrap w:val="0"/>
                  <w:vAlign w:val="center"/>
                </w:tcPr>
                <w:p w14:paraId="56616F2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3670" w:type="dxa"/>
                  <w:noWrap w:val="0"/>
                  <w:vAlign w:val="center"/>
                </w:tcPr>
                <w:p w14:paraId="552409E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三、其它要求</w:t>
                  </w:r>
                </w:p>
                <w:p w14:paraId="646E654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1.福州市石化中上游项目重点在福州江阴港城经济区、可门港经济区化工新材料产业园布局。</w:t>
                  </w:r>
                </w:p>
                <w:p w14:paraId="4680928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2.禁止在闽江马尾罗星塔以上流域范围新、扩建制革项目，严控新(扩)建植物制浆、印染、合成革及人造革、电镀项目。</w:t>
                  </w:r>
                </w:p>
                <w:p w14:paraId="404EC1D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3.禁止在通风廊道和主导风向的上风向布局大气重污染企业，推进建成区大气重污染企业搬迁或升级改造、环境风险企业搬迁或关闭退出。</w:t>
                  </w:r>
                </w:p>
                <w:p w14:paraId="22F077C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4.禁止新、改、扩建生产高VOCs含量有机溶剂型涂料、油墨和胶黏剂的项目。</w:t>
                  </w:r>
                </w:p>
                <w:p w14:paraId="63964ED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5.持续加强闽清等地建陶产业的环境综合治理，充分衔接国土空间规划和生态环境分区管控，并对照产业政策、城市总体发展规划等要求，进一步明确发展定位，优化产业布局和规模。</w:t>
                  </w:r>
                </w:p>
                <w:p w14:paraId="36038E5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6B7D783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7.禁止在流域上游新建、扩建重污染企业和项目。</w:t>
                  </w:r>
                </w:p>
                <w:p w14:paraId="7E45F2D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8.重要敏感水体及富营养化湖库生态缓冲带除相关政府部门批准的科学研究活动外，禁止其它可能对保护区构成危害或不良影响的大规模生产、建设活动。</w:t>
                  </w:r>
                </w:p>
                <w:p w14:paraId="34CD8F8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9.新、改、扩建煤电、钢铁、建材、石化、化工等“两高”项目，严格落实国家、省、市产业规划、产业政策、“三线一单”、规划环评，以及产能置换、煤炭消费减量替代、区域污染削减等相关要求。</w:t>
                  </w:r>
                </w:p>
                <w:p w14:paraId="2E6A152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10.单元内涉及永久基本农田的，应按照《福建省基本农田保护条例》(2010年修正本)、《国土资源部关于全面实行永久</w:t>
                  </w:r>
                  <w:r>
                    <w:rPr>
                      <w:rFonts w:hint="eastAsia" w:ascii="Times New Roman" w:hAnsi="Times New Roman" w:cs="Times New Roman"/>
                      <w:color w:val="000000" w:themeColor="text1"/>
                      <w:lang w:val="en-US" w:eastAsia="zh-CN"/>
                      <w14:textFill>
                        <w14:solidFill>
                          <w14:schemeClr w14:val="tx1"/>
                        </w14:solidFill>
                      </w14:textFill>
                    </w:rPr>
                    <w:t>基本农田</w:t>
                  </w:r>
                  <w:r>
                    <w:rPr>
                      <w:rFonts w:hint="default" w:ascii="Times New Roman" w:hAnsi="Times New Roman" w:cs="Times New Roman"/>
                      <w:color w:val="000000" w:themeColor="text1"/>
                      <w:lang w:val="en-US" w:eastAsia="zh-CN"/>
                      <w14:textFill>
                        <w14:solidFill>
                          <w14:schemeClr w14:val="tx1"/>
                        </w14:solidFill>
                      </w14:textFill>
                    </w:rPr>
                    <w:t>特殊保护的通知》(国土资规〔2018〕1号)、《中共中央国务院关于加强耕地保护和改进占补平衡的意见》(2017年1月9日)等相关文件要求进</w:t>
                  </w:r>
                  <w:r>
                    <w:rPr>
                      <w:rFonts w:hint="eastAsia" w:ascii="Times New Roman" w:hAnsi="Times New Roman" w:cs="Times New Roman"/>
                      <w:color w:val="000000" w:themeColor="text1"/>
                      <w:lang w:val="en-US" w:eastAsia="zh-CN"/>
                      <w14:textFill>
                        <w14:solidFill>
                          <w14:schemeClr w14:val="tx1"/>
                        </w14:solidFill>
                      </w14:textFill>
                    </w:rPr>
                    <w:t>行严</w:t>
                  </w:r>
                  <w:r>
                    <w:rPr>
                      <w:rFonts w:hint="default" w:ascii="Times New Roman" w:hAnsi="Times New Roman" w:cs="Times New Roman"/>
                      <w:color w:val="000000" w:themeColor="text1"/>
                      <w:lang w:val="en-US" w:eastAsia="zh-CN"/>
                      <w14:textFill>
                        <w14:solidFill>
                          <w14:schemeClr w14:val="tx1"/>
                        </w14:solidFill>
                      </w14:textFill>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691" w:type="dxa"/>
                  <w:noWrap w:val="0"/>
                  <w:vAlign w:val="center"/>
                </w:tcPr>
                <w:p w14:paraId="4BC525A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1、项目不属于石化企业；</w:t>
                  </w:r>
                </w:p>
                <w:p w14:paraId="14322176">
                  <w:pPr>
                    <w:pStyle w:val="47"/>
                    <w:bidi w:val="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、项目不属于大气重污染企业，产生的废气经采取有效治理措施后，对周边敏感目标影响较小</w:t>
                  </w:r>
                  <w:r>
                    <w:rPr>
                      <w:rFonts w:hint="eastAsia" w:ascii="Times New Roman" w:hAnsi="Times New Roman" w:cs="Times New Roman"/>
                      <w:color w:val="000000" w:themeColor="text1"/>
                      <w:lang w:val="en-US" w:eastAsia="zh-CN"/>
                      <w14:textFill>
                        <w14:solidFill>
                          <w14:schemeClr w14:val="tx1"/>
                        </w14:solidFill>
                      </w14:textFill>
                    </w:rPr>
                    <w:t>；</w:t>
                  </w:r>
                </w:p>
                <w:p w14:paraId="1CAEC67C">
                  <w:pPr>
                    <w:pStyle w:val="4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4、根据建设单位提供胶水MSDS及VOCs含量检测报告可知，本项目使用的胶水为底</w:t>
                  </w:r>
                  <w:r>
                    <w:rPr>
                      <w:rFonts w:hint="default"/>
                      <w:color w:val="000000" w:themeColor="text1"/>
                      <w:lang w:val="en-US" w:eastAsia="zh-CN"/>
                      <w14:textFill>
                        <w14:solidFill>
                          <w14:schemeClr w14:val="tx1"/>
                        </w14:solidFill>
                      </w14:textFill>
                    </w:rPr>
                    <w:t>VOCs含量</w:t>
                  </w:r>
                  <w:r>
                    <w:rPr>
                      <w:rFonts w:hint="eastAsia"/>
                      <w:color w:val="000000" w:themeColor="text1"/>
                      <w:lang w:val="en-US" w:eastAsia="zh-CN"/>
                      <w14:textFill>
                        <w14:solidFill>
                          <w14:schemeClr w14:val="tx1"/>
                        </w14:solidFill>
                      </w14:textFill>
                    </w:rPr>
                    <w:t>胶粘剂；</w:t>
                  </w:r>
                </w:p>
                <w:p w14:paraId="5DBEF502">
                  <w:pPr>
                    <w:pStyle w:val="4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5、本项目不位于闽清等地，不涉及建陶产业；</w:t>
                  </w:r>
                </w:p>
                <w:p w14:paraId="3DF58CAA">
                  <w:pPr>
                    <w:pStyle w:val="4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6、本项目不涉及重点重金属污染物的有色金属冶炼、电镀、制革、铅蓄电池制造；</w:t>
                  </w:r>
                </w:p>
                <w:p w14:paraId="60D54800">
                  <w:pPr>
                    <w:pStyle w:val="47"/>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7、项目不属于大气重污染企业和项目；</w:t>
                  </w:r>
                </w:p>
                <w:p w14:paraId="6E637C36">
                  <w:pPr>
                    <w:pStyle w:val="47"/>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8、本项目所在单元不涉及永久基本农田。</w:t>
                  </w:r>
                </w:p>
              </w:tc>
              <w:tc>
                <w:tcPr>
                  <w:tcW w:w="805" w:type="dxa"/>
                  <w:noWrap w:val="0"/>
                  <w:vAlign w:val="center"/>
                </w:tcPr>
                <w:p w14:paraId="018FF01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709B01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572" w:type="dxa"/>
                  <w:vMerge w:val="continue"/>
                  <w:noWrap w:val="0"/>
                  <w:vAlign w:val="center"/>
                </w:tcPr>
                <w:p w14:paraId="0554F783">
                  <w:pPr>
                    <w:pStyle w:val="47"/>
                    <w:bidi w:val="0"/>
                    <w:rPr>
                      <w:rFonts w:hint="default" w:ascii="Times New Roman" w:hAnsi="Times New Roman" w:cs="Times New Roman"/>
                      <w:color w:val="000000" w:themeColor="text1"/>
                      <w14:textFill>
                        <w14:solidFill>
                          <w14:schemeClr w14:val="tx1"/>
                        </w14:solidFill>
                      </w14:textFill>
                    </w:rPr>
                  </w:pPr>
                </w:p>
              </w:tc>
              <w:tc>
                <w:tcPr>
                  <w:tcW w:w="694" w:type="dxa"/>
                  <w:noWrap w:val="0"/>
                  <w:vAlign w:val="center"/>
                </w:tcPr>
                <w:p w14:paraId="5F47C45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污染物排放管控</w:t>
                  </w:r>
                </w:p>
              </w:tc>
              <w:tc>
                <w:tcPr>
                  <w:tcW w:w="3670" w:type="dxa"/>
                  <w:noWrap w:val="0"/>
                  <w:vAlign w:val="center"/>
                </w:tcPr>
                <w:p w14:paraId="5372F70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1.工业类新(改、扩)建项目新增主要污染物(水污染物化学需氧量、氨氮和大气污染物二氧化硫、氮氧化物)排放总量指标应符</w:t>
                  </w:r>
                </w:p>
                <w:p w14:paraId="321B5B8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合区域环境质量和总量控制要求，立足于通过“以新带老”、削减存量，努力实现区域、企业自身总量平衡。总量指标来源、审核和监督管理按照“榕环保综〔2017〕90号”等相关文件执行。</w:t>
                  </w:r>
                </w:p>
                <w:p w14:paraId="2E3165B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2.新、改、扩建涉VOCs排放项目污染物排放量应满足《福州市“十四五”空气质量持续改善计划》(榕环保综〔2023〕40号)，应从源头加强控制，使用低(无)VOCs含量的原辅材料。</w:t>
                  </w:r>
                </w:p>
                <w:p w14:paraId="7D3F97B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3.严格控制新建、改建、扩建钢铁、水泥、平板玻璃、有色金属冶炼、化工等工业项目。新改扩建钢铁、火电项目应执行超低排放</w:t>
                  </w:r>
                </w:p>
                <w:p w14:paraId="2CDC44B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限值，有色项目应当执行大气污染物特别排放限值。重点控制区新建化工、石化应当执行大气污染物特别排放限值。</w:t>
                  </w:r>
                </w:p>
                <w:p w14:paraId="4FF31B0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4.氟化工、印染、电镀等行业企业实行水污染物特别排放限值。</w:t>
                  </w:r>
                </w:p>
                <w:p w14:paraId="7440A0C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5.新、改、扩建重点行业［2］建设项目要遵循重点重金属污染物排放“等量替代”原则，总量来源原则上应是同一重点行业内的削减量，当同一重点行业无法满足时可从其他重点行业调剂。</w:t>
                  </w:r>
                </w:p>
                <w:p w14:paraId="5FE3CAD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6.每小时35(含)—65蒸吨燃煤锅炉和位于县级及以上城市建成区内保留的燃煤、燃油、燃生物质锅炉，原则上2024年底前必须全面实现超低排放。</w:t>
                  </w:r>
                </w:p>
                <w:p w14:paraId="1C71820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7.水泥行业新改扩建项目严格对照超低排放、能效标杆水平建设实施；现有项目超低排放改造应按文件(闽环规〔2023〕2号)的时限要求分步推进，2025年底前全面完成。</w:t>
                  </w:r>
                </w:p>
                <w:p w14:paraId="381BAF6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691" w:type="dxa"/>
                  <w:noWrap w:val="0"/>
                  <w:vAlign w:val="center"/>
                </w:tcPr>
                <w:p w14:paraId="63486F16">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1、本项目不涉及二氧化硫、氮氧化物等污染物排放；</w:t>
                  </w:r>
                </w:p>
                <w:p w14:paraId="6731ABE7">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2、本项目使用低VOCs含量的</w:t>
                  </w:r>
                  <w:r>
                    <w:rPr>
                      <w:rFonts w:hint="eastAsia" w:cs="Times New Roman"/>
                      <w:color w:val="000000" w:themeColor="text1"/>
                      <w:lang w:val="en-US" w:eastAsia="zh-CN"/>
                      <w14:textFill>
                        <w14:solidFill>
                          <w14:schemeClr w14:val="tx1"/>
                        </w14:solidFill>
                      </w14:textFill>
                    </w:rPr>
                    <w:t>胶水；</w:t>
                  </w:r>
                </w:p>
                <w:p w14:paraId="408BDF3B">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，不属于钢铁、水泥、平板玻璃、有色金属冶炼、化工等工业项目。</w:t>
                  </w:r>
                </w:p>
                <w:p w14:paraId="34F7C0E4">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4、本项目不属于氟化工、印染、电镀等行业企业</w:t>
                  </w:r>
                </w:p>
                <w:p w14:paraId="6B52B443">
                  <w:pPr>
                    <w:jc w:val="center"/>
                    <w:rPr>
                      <w:rFonts w:hint="default"/>
                      <w:color w:val="000000" w:themeColor="text1"/>
                      <w:lang w:val="en-US"/>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5、本项目不涉及燃煤、燃油、燃生物质锅炉使用。</w:t>
                  </w:r>
                </w:p>
              </w:tc>
              <w:tc>
                <w:tcPr>
                  <w:tcW w:w="805" w:type="dxa"/>
                  <w:noWrap w:val="0"/>
                  <w:vAlign w:val="center"/>
                </w:tcPr>
                <w:p w14:paraId="3CD3A4D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04CAC5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trPr>
              <w:tc>
                <w:tcPr>
                  <w:tcW w:w="572" w:type="dxa"/>
                  <w:vMerge w:val="continue"/>
                  <w:noWrap w:val="0"/>
                  <w:vAlign w:val="center"/>
                </w:tcPr>
                <w:p w14:paraId="44F9E814">
                  <w:pPr>
                    <w:pStyle w:val="47"/>
                    <w:bidi w:val="0"/>
                    <w:rPr>
                      <w:rFonts w:hint="default" w:ascii="Times New Roman" w:hAnsi="Times New Roman" w:cs="Times New Roman"/>
                      <w:color w:val="000000" w:themeColor="text1"/>
                      <w14:textFill>
                        <w14:solidFill>
                          <w14:schemeClr w14:val="tx1"/>
                        </w14:solidFill>
                      </w14:textFill>
                    </w:rPr>
                  </w:pPr>
                </w:p>
              </w:tc>
              <w:tc>
                <w:tcPr>
                  <w:tcW w:w="694" w:type="dxa"/>
                  <w:noWrap w:val="0"/>
                  <w:vAlign w:val="center"/>
                </w:tcPr>
                <w:p w14:paraId="1C9E43F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资源</w:t>
                  </w:r>
                </w:p>
                <w:p w14:paraId="57A81B2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开发</w:t>
                  </w:r>
                </w:p>
                <w:p w14:paraId="21357C7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效率</w:t>
                  </w:r>
                </w:p>
                <w:p w14:paraId="6AC706A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要求</w:t>
                  </w:r>
                </w:p>
                <w:p w14:paraId="4A505843">
                  <w:pPr>
                    <w:pStyle w:val="47"/>
                    <w:bidi w:val="0"/>
                    <w:rPr>
                      <w:rFonts w:hint="default" w:ascii="Times New Roman" w:hAnsi="Times New Roman" w:cs="Times New Roman"/>
                      <w:color w:val="000000" w:themeColor="text1"/>
                      <w14:textFill>
                        <w14:solidFill>
                          <w14:schemeClr w14:val="tx1"/>
                        </w14:solidFill>
                      </w14:textFill>
                    </w:rPr>
                  </w:pPr>
                </w:p>
              </w:tc>
              <w:tc>
                <w:tcPr>
                  <w:tcW w:w="3670" w:type="dxa"/>
                  <w:noWrap w:val="0"/>
                  <w:vAlign w:val="center"/>
                </w:tcPr>
                <w:p w14:paraId="172F979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1F1416D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2.按照“提气、转电、控煤”的发展思路，推动陶瓷行业进一步优化用能结构，实现能源消费清洁低碳化。</w:t>
                  </w:r>
                </w:p>
              </w:tc>
              <w:tc>
                <w:tcPr>
                  <w:tcW w:w="1691" w:type="dxa"/>
                  <w:noWrap w:val="0"/>
                  <w:vAlign w:val="center"/>
                </w:tcPr>
                <w:p w14:paraId="5DC001E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本项目能源为电能，均属于清洁能源。</w:t>
                  </w:r>
                  <w:r>
                    <w:rPr>
                      <w:rFonts w:hint="default" w:ascii="Times New Roman" w:hAnsi="Times New Roman" w:cs="Times New Roman"/>
                      <w:color w:val="000000" w:themeColor="text1"/>
                      <w:lang w:eastAsia="zh-CN"/>
                      <w14:textFill>
                        <w14:solidFill>
                          <w14:schemeClr w14:val="tx1"/>
                        </w14:solidFill>
                      </w14:textFill>
                    </w:rPr>
                    <w:t>不涉及</w:t>
                  </w:r>
                  <w:r>
                    <w:rPr>
                      <w:rFonts w:hint="default" w:ascii="Times New Roman" w:hAnsi="Times New Roman" w:cs="Times New Roman"/>
                      <w:color w:val="000000" w:themeColor="text1"/>
                      <w:lang w:val="en-US" w:eastAsia="zh-CN"/>
                      <w14:textFill>
                        <w14:solidFill>
                          <w14:schemeClr w14:val="tx1"/>
                        </w14:solidFill>
                      </w14:textFill>
                    </w:rPr>
                    <w:t>燃煤、燃油、燃生物质锅炉使用。</w:t>
                  </w:r>
                </w:p>
              </w:tc>
              <w:tc>
                <w:tcPr>
                  <w:tcW w:w="805" w:type="dxa"/>
                  <w:noWrap w:val="0"/>
                  <w:vAlign w:val="center"/>
                </w:tcPr>
                <w:p w14:paraId="0AA137F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bl>
          <w:p w14:paraId="7B52C52C">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项目所选地块涉及1个生态环境管控单元，其中重点管控单元1个，本项目位于“ZH35018120008 福清市重点管控单元1”，与福清市重点管控单元1生态环境准入要求符合性分析详见表1-5</w:t>
            </w:r>
          </w:p>
          <w:p w14:paraId="1EC6A56C">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福清市重点管控单元1</w:t>
            </w:r>
            <w:r>
              <w:rPr>
                <w:rFonts w:hint="default" w:ascii="Times New Roman" w:hAnsi="Times New Roman" w:cs="Times New Roman"/>
                <w:color w:val="000000" w:themeColor="text1"/>
                <w14:textFill>
                  <w14:solidFill>
                    <w14:schemeClr w14:val="tx1"/>
                  </w14:solidFill>
                </w14:textFill>
              </w:rPr>
              <w:t>生态环境准入要求一览表</w:t>
            </w:r>
          </w:p>
          <w:tbl>
            <w:tblPr>
              <w:tblStyle w:val="26"/>
              <w:tblW w:w="83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678"/>
              <w:gridCol w:w="677"/>
              <w:gridCol w:w="3468"/>
              <w:gridCol w:w="1896"/>
            </w:tblGrid>
            <w:tr w14:paraId="42CA2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86" w:type="pct"/>
                  <w:tcBorders>
                    <w:top w:val="single" w:color="auto" w:sz="12" w:space="0"/>
                    <w:bottom w:val="single" w:color="auto" w:sz="4" w:space="0"/>
                    <w:right w:val="single" w:color="auto" w:sz="4" w:space="0"/>
                    <w:tl2br w:val="nil"/>
                    <w:tr2bl w:val="nil"/>
                  </w:tcBorders>
                  <w:noWrap w:val="0"/>
                  <w:vAlign w:val="center"/>
                </w:tcPr>
                <w:p w14:paraId="2421F787">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环境管控单元编码及名称</w:t>
                  </w:r>
                </w:p>
              </w:tc>
              <w:tc>
                <w:tcPr>
                  <w:tcW w:w="405"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20DEA261">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管控单元类别</w:t>
                  </w:r>
                </w:p>
              </w:tc>
              <w:tc>
                <w:tcPr>
                  <w:tcW w:w="2475" w:type="pct"/>
                  <w:gridSpan w:val="2"/>
                  <w:tcBorders>
                    <w:top w:val="single" w:color="auto" w:sz="12" w:space="0"/>
                    <w:left w:val="single" w:color="auto" w:sz="4" w:space="0"/>
                    <w:bottom w:val="single" w:color="auto" w:sz="4" w:space="0"/>
                    <w:right w:val="single" w:color="auto" w:sz="4" w:space="0"/>
                    <w:tl2br w:val="nil"/>
                    <w:tr2bl w:val="nil"/>
                  </w:tcBorders>
                  <w:noWrap w:val="0"/>
                  <w:vAlign w:val="center"/>
                </w:tcPr>
                <w:p w14:paraId="5749B61C">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管控要求</w:t>
                  </w:r>
                </w:p>
              </w:tc>
              <w:tc>
                <w:tcPr>
                  <w:tcW w:w="1132" w:type="pct"/>
                  <w:tcBorders>
                    <w:top w:val="single" w:color="auto" w:sz="12" w:space="0"/>
                    <w:left w:val="single" w:color="auto" w:sz="4" w:space="0"/>
                    <w:bottom w:val="single" w:color="auto" w:sz="4" w:space="0"/>
                    <w:tl2br w:val="nil"/>
                    <w:tr2bl w:val="nil"/>
                  </w:tcBorders>
                  <w:noWrap w:val="0"/>
                  <w:vAlign w:val="center"/>
                </w:tcPr>
                <w:p w14:paraId="24FB5F62">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本项目符合性</w:t>
                  </w:r>
                </w:p>
              </w:tc>
            </w:tr>
            <w:tr w14:paraId="2BD16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Merge w:val="restart"/>
                  <w:tcBorders>
                    <w:top w:val="single" w:color="auto" w:sz="4" w:space="0"/>
                    <w:bottom w:val="single" w:color="auto" w:sz="4" w:space="0"/>
                    <w:right w:val="single" w:color="auto" w:sz="4" w:space="0"/>
                    <w:tl2br w:val="nil"/>
                    <w:tr2bl w:val="nil"/>
                  </w:tcBorders>
                  <w:noWrap w:val="0"/>
                  <w:vAlign w:val="center"/>
                </w:tcPr>
                <w:p w14:paraId="6D628629">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ZH35018120008 福清市重点管控单元1</w:t>
                  </w:r>
                </w:p>
              </w:tc>
              <w:tc>
                <w:tcPr>
                  <w:tcW w:w="40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16D431B">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重点管控单元</w:t>
                  </w:r>
                </w:p>
              </w:tc>
              <w:tc>
                <w:tcPr>
                  <w:tcW w:w="4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D0CDBC">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空间布局约束</w:t>
                  </w:r>
                </w:p>
              </w:tc>
              <w:tc>
                <w:tcPr>
                  <w:tcW w:w="20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2872FD">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3F390D05">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2.严格控制包装印刷、工业涂装、制鞋等高VOCs排放的项目建设，相关新建项目必须进入工业园区。</w:t>
                  </w:r>
                </w:p>
                <w:p w14:paraId="368A50EA">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3.禁止开发利用未经评估和无害化处理的列入建设用地污染地块名录及开发利用负面清单的土地。</w:t>
                  </w:r>
                </w:p>
              </w:tc>
              <w:tc>
                <w:tcPr>
                  <w:tcW w:w="1132" w:type="pct"/>
                  <w:tcBorders>
                    <w:top w:val="single" w:color="auto" w:sz="4" w:space="0"/>
                    <w:left w:val="single" w:color="auto" w:sz="4" w:space="0"/>
                    <w:bottom w:val="single" w:color="auto" w:sz="4" w:space="0"/>
                    <w:tl2br w:val="nil"/>
                    <w:tr2bl w:val="nil"/>
                  </w:tcBorders>
                  <w:noWrap w:val="0"/>
                  <w:vAlign w:val="center"/>
                </w:tcPr>
                <w:p w14:paraId="0EE03B0B">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，位于</w:t>
                  </w:r>
                  <w:r>
                    <w:rPr>
                      <w:rFonts w:hint="eastAsia" w:ascii="Times New Roman" w:hAnsi="Times New Roman" w:cs="Times New Roman"/>
                      <w:color w:val="000000" w:themeColor="text1"/>
                      <w:lang w:val="en-US" w:eastAsia="zh-CN"/>
                      <w14:textFill>
                        <w14:solidFill>
                          <w14:schemeClr w14:val="tx1"/>
                        </w14:solidFill>
                      </w14:textFill>
                    </w:rPr>
                    <w:t>福建省福州市福清市福清融侨经济技术开发区</w:t>
                  </w:r>
                  <w:r>
                    <w:rPr>
                      <w:rFonts w:hint="default" w:ascii="Times New Roman" w:hAnsi="Times New Roman" w:cs="Times New Roman"/>
                      <w:color w:val="000000" w:themeColor="text1"/>
                      <w:lang w:val="en-US" w:eastAsia="zh-CN"/>
                      <w14:textFill>
                        <w14:solidFill>
                          <w14:schemeClr w14:val="tx1"/>
                        </w14:solidFill>
                      </w14:textFill>
                    </w:rPr>
                    <w:t>，项目建设与空间布局约束要求不相冲突</w:t>
                  </w:r>
                </w:p>
              </w:tc>
            </w:tr>
            <w:tr w14:paraId="08178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Merge w:val="continue"/>
                  <w:tcBorders>
                    <w:top w:val="single" w:color="auto" w:sz="4" w:space="0"/>
                    <w:bottom w:val="single" w:color="auto" w:sz="4" w:space="0"/>
                    <w:right w:val="single" w:color="auto" w:sz="4" w:space="0"/>
                    <w:tl2br w:val="nil"/>
                    <w:tr2bl w:val="nil"/>
                  </w:tcBorders>
                  <w:noWrap w:val="0"/>
                  <w:vAlign w:val="center"/>
                </w:tcPr>
                <w:p w14:paraId="50874515">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40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23C903">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4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82BCE3">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污染物排放管控</w:t>
                  </w:r>
                </w:p>
              </w:tc>
              <w:tc>
                <w:tcPr>
                  <w:tcW w:w="20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D42BAE">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落实新增二氧化硫、氮氧化物和VOCs排放总量控制要求。</w:t>
                  </w:r>
                </w:p>
              </w:tc>
              <w:tc>
                <w:tcPr>
                  <w:tcW w:w="1132" w:type="pct"/>
                  <w:tcBorders>
                    <w:top w:val="single" w:color="auto" w:sz="4" w:space="0"/>
                    <w:left w:val="single" w:color="auto" w:sz="4" w:space="0"/>
                    <w:bottom w:val="single" w:color="auto" w:sz="4" w:space="0"/>
                    <w:tl2br w:val="nil"/>
                    <w:tr2bl w:val="nil"/>
                  </w:tcBorders>
                  <w:noWrap w:val="0"/>
                  <w:vAlign w:val="center"/>
                </w:tcPr>
                <w:p w14:paraId="2D83C7BB">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符合，本项目不涉及二氧化硫、氮氧化物排放，新增VOCs实行倍量调剂</w:t>
                  </w:r>
                </w:p>
              </w:tc>
            </w:tr>
            <w:tr w14:paraId="19C46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Merge w:val="continue"/>
                  <w:tcBorders>
                    <w:top w:val="single" w:color="auto" w:sz="4" w:space="0"/>
                    <w:bottom w:val="single" w:color="auto" w:sz="4" w:space="0"/>
                    <w:right w:val="single" w:color="auto" w:sz="4" w:space="0"/>
                    <w:tl2br w:val="nil"/>
                    <w:tr2bl w:val="nil"/>
                  </w:tcBorders>
                  <w:noWrap w:val="0"/>
                  <w:vAlign w:val="center"/>
                </w:tcPr>
                <w:p w14:paraId="25632368">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40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4D98503">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40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1BE349">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环境风险防控</w:t>
                  </w:r>
                </w:p>
              </w:tc>
              <w:tc>
                <w:tcPr>
                  <w:tcW w:w="207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ECE5D1">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132" w:type="pct"/>
                  <w:tcBorders>
                    <w:top w:val="single" w:color="auto" w:sz="4" w:space="0"/>
                    <w:left w:val="single" w:color="auto" w:sz="4" w:space="0"/>
                    <w:bottom w:val="single" w:color="auto" w:sz="4" w:space="0"/>
                    <w:tl2br w:val="nil"/>
                    <w:tr2bl w:val="nil"/>
                  </w:tcBorders>
                  <w:noWrap w:val="0"/>
                  <w:vAlign w:val="center"/>
                </w:tcPr>
                <w:p w14:paraId="721D73C0">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lang w:val="en-US" w:eastAsia="zh-CN"/>
                      <w14:textFill>
                        <w14:solidFill>
                          <w14:schemeClr w14:val="tx1"/>
                        </w14:solidFill>
                      </w14:textFill>
                    </w:rPr>
                    <w:t>，不涉及化学原料和化学制品制造业、有色金属冶炼和压延加工业等具有潜在土壤污染环境风险的企业</w:t>
                  </w:r>
                </w:p>
              </w:tc>
            </w:tr>
            <w:tr w14:paraId="2612A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Merge w:val="continue"/>
                  <w:tcBorders>
                    <w:top w:val="single" w:color="auto" w:sz="4" w:space="0"/>
                    <w:bottom w:val="single" w:color="auto" w:sz="12" w:space="0"/>
                    <w:right w:val="single" w:color="auto" w:sz="4" w:space="0"/>
                    <w:tl2br w:val="nil"/>
                    <w:tr2bl w:val="nil"/>
                  </w:tcBorders>
                  <w:noWrap w:val="0"/>
                  <w:vAlign w:val="center"/>
                </w:tcPr>
                <w:p w14:paraId="5AA513BC">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405" w:type="pct"/>
                  <w:vMerge w:val="continue"/>
                  <w:tcBorders>
                    <w:top w:val="single" w:color="auto" w:sz="4" w:space="0"/>
                    <w:left w:val="single" w:color="auto" w:sz="4" w:space="0"/>
                    <w:bottom w:val="single" w:color="auto" w:sz="12" w:space="0"/>
                    <w:right w:val="single" w:color="auto" w:sz="4" w:space="0"/>
                    <w:tl2br w:val="nil"/>
                    <w:tr2bl w:val="nil"/>
                  </w:tcBorders>
                  <w:noWrap w:val="0"/>
                  <w:vAlign w:val="center"/>
                </w:tcPr>
                <w:p w14:paraId="19963B28">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p>
              </w:tc>
              <w:tc>
                <w:tcPr>
                  <w:tcW w:w="404"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2DB56814">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资源开发效率要求</w:t>
                  </w:r>
                </w:p>
              </w:tc>
              <w:tc>
                <w:tcPr>
                  <w:tcW w:w="2071"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11D66759">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1132" w:type="pct"/>
                  <w:tcBorders>
                    <w:top w:val="single" w:color="auto" w:sz="4" w:space="0"/>
                    <w:left w:val="single" w:color="auto" w:sz="4" w:space="0"/>
                    <w:bottom w:val="single" w:color="auto" w:sz="12" w:space="0"/>
                    <w:tl2br w:val="nil"/>
                    <w:tr2bl w:val="nil"/>
                  </w:tcBorders>
                  <w:noWrap w:val="0"/>
                  <w:vAlign w:val="center"/>
                </w:tcPr>
                <w:p w14:paraId="505E4CBA">
                  <w:pPr>
                    <w:pStyle w:val="47"/>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符合，本项目使用电能为清洁能源</w:t>
                  </w:r>
                </w:p>
              </w:tc>
            </w:tr>
          </w:tbl>
          <w:p w14:paraId="2E941C48">
            <w:pPr>
              <w:pStyle w:val="4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本项目位于“ZH35018120003 福清融侨经济技术开发区”，与福清融侨经济技术开发区生态环境准入要求符合性分析详见表1-6。</w:t>
            </w:r>
          </w:p>
          <w:p w14:paraId="7DBACE27">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表1</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 xml:space="preserve">  福清融侨经济技术开发区生态环境准入要求一览表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51"/>
              <w:gridCol w:w="663"/>
              <w:gridCol w:w="3855"/>
              <w:gridCol w:w="2248"/>
            </w:tblGrid>
            <w:tr w14:paraId="20620F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tblHeader/>
              </w:trPr>
              <w:tc>
                <w:tcPr>
                  <w:tcW w:w="1651" w:type="dxa"/>
                  <w:noWrap w:val="0"/>
                  <w:vAlign w:val="center"/>
                </w:tcPr>
                <w:p w14:paraId="195AF5A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适用范围</w:t>
                  </w:r>
                </w:p>
              </w:tc>
              <w:tc>
                <w:tcPr>
                  <w:tcW w:w="4518" w:type="dxa"/>
                  <w:gridSpan w:val="2"/>
                  <w:noWrap w:val="0"/>
                  <w:vAlign w:val="center"/>
                </w:tcPr>
                <w:p w14:paraId="2D92B55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准入要求</w:t>
                  </w:r>
                </w:p>
              </w:tc>
              <w:tc>
                <w:tcPr>
                  <w:tcW w:w="2248" w:type="dxa"/>
                  <w:noWrap w:val="0"/>
                  <w:vAlign w:val="center"/>
                </w:tcPr>
                <w:p w14:paraId="6995059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项目符合性</w:t>
                  </w:r>
                </w:p>
              </w:tc>
            </w:tr>
            <w:tr w14:paraId="3D975E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1651" w:type="dxa"/>
                  <w:vMerge w:val="restart"/>
                  <w:noWrap w:val="0"/>
                  <w:vAlign w:val="center"/>
                </w:tcPr>
                <w:p w14:paraId="15569CE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ZH35018120003</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福清融侨经济技术开发区</w:t>
                  </w:r>
                </w:p>
              </w:tc>
              <w:tc>
                <w:tcPr>
                  <w:tcW w:w="663" w:type="dxa"/>
                  <w:noWrap w:val="0"/>
                  <w:vAlign w:val="center"/>
                </w:tcPr>
                <w:p w14:paraId="4370390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3855" w:type="dxa"/>
                  <w:noWrap w:val="0"/>
                  <w:vAlign w:val="center"/>
                </w:tcPr>
                <w:p w14:paraId="3D9E9E4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1.禁止引进纺织业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含印染精加工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、造纸和纸制品业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纸制品制造除外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、化学原料和化学制品制造业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工业气体生产除外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和有色金属冶炼及压延加工业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压延加工除外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；禁止引入含电镀工艺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紧密配套型电镀工艺除外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、冶炼工艺、电解铝的项目；主导产业电气机械和器材制造业禁止类铅酸蓄电池制造。</w:t>
                  </w:r>
                </w:p>
                <w:p w14:paraId="454DC74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2.加强京东方一期、二期工程周边用地规划控制。</w:t>
                  </w:r>
                </w:p>
                <w:p w14:paraId="77D09FB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3.积极推进区内高耗水的印染、造纸等重污染企业的搬迁工作。</w:t>
                  </w:r>
                </w:p>
                <w:p w14:paraId="523C7CD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4.居住用地周边禁止布局潜在废气扰民的建设项目。</w:t>
                  </w:r>
                </w:p>
                <w:p w14:paraId="130DB05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5.新局调节库周边200米范围内禁止工业企业生产过程中使用危化品，禁止新建排放烟粉尘、VOCs废气的工业项目。</w:t>
                  </w:r>
                </w:p>
              </w:tc>
              <w:tc>
                <w:tcPr>
                  <w:tcW w:w="2248" w:type="dxa"/>
                  <w:noWrap w:val="0"/>
                  <w:vAlign w:val="center"/>
                </w:tcPr>
                <w:p w14:paraId="1496207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r>
                    <w:rPr>
                      <w:rFonts w:hint="default" w:ascii="Times New Roman" w:hAnsi="Times New Roman" w:cs="Times New Roman"/>
                      <w:color w:val="000000" w:themeColor="text1"/>
                      <w:lang w:val="en-US" w:eastAsia="zh-CN"/>
                      <w14:textFill>
                        <w14:solidFill>
                          <w14:schemeClr w14:val="tx1"/>
                        </w14:solidFill>
                      </w14:textFill>
                    </w:rPr>
                    <w:t>本项目主要</w:t>
                  </w:r>
                  <w:r>
                    <w:rPr>
                      <w:rFonts w:hint="eastAsia" w:cs="Times New Roman"/>
                      <w:color w:val="000000" w:themeColor="text1"/>
                      <w:lang w:val="en-US" w:eastAsia="zh-CN"/>
                      <w14:textFill>
                        <w14:solidFill>
                          <w14:schemeClr w14:val="tx1"/>
                        </w14:solidFill>
                      </w14:textFill>
                    </w:rPr>
                    <w:t>从事汽车零部件加工</w:t>
                  </w:r>
                  <w:r>
                    <w:rPr>
                      <w:rFonts w:hint="default" w:ascii="Times New Roman" w:hAnsi="Times New Roman" w:cs="Times New Roman"/>
                      <w:color w:val="000000" w:themeColor="text1"/>
                      <w14:textFill>
                        <w14:solidFill>
                          <w14:schemeClr w14:val="tx1"/>
                        </w14:solidFill>
                      </w14:textFill>
                    </w:rPr>
                    <w:t>，位于</w:t>
                  </w:r>
                  <w:r>
                    <w:rPr>
                      <w:rFonts w:hint="eastAsia" w:ascii="Times New Roman" w:hAnsi="Times New Roman" w:cs="Times New Roman"/>
                      <w:color w:val="000000" w:themeColor="text1"/>
                      <w:lang w:val="en-US" w:eastAsia="zh-CN"/>
                      <w14:textFill>
                        <w14:solidFill>
                          <w14:schemeClr w14:val="tx1"/>
                        </w14:solidFill>
                      </w14:textFill>
                    </w:rPr>
                    <w:t>福建省福州市福清市福清融侨经济技术开发区</w:t>
                  </w:r>
                  <w:r>
                    <w:rPr>
                      <w:rFonts w:hint="default" w:ascii="Times New Roman" w:hAnsi="Times New Roman" w:cs="Times New Roman"/>
                      <w:color w:val="000000" w:themeColor="text1"/>
                      <w14:textFill>
                        <w14:solidFill>
                          <w14:schemeClr w14:val="tx1"/>
                        </w14:solidFill>
                      </w14:textFill>
                    </w:rPr>
                    <w:t>，项目建设与空间布局约束要求不相冲突</w:t>
                  </w:r>
                </w:p>
              </w:tc>
            </w:tr>
            <w:tr w14:paraId="238888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1651" w:type="dxa"/>
                  <w:vMerge w:val="continue"/>
                  <w:noWrap w:val="0"/>
                  <w:vAlign w:val="center"/>
                </w:tcPr>
                <w:p w14:paraId="757B8ED4">
                  <w:pPr>
                    <w:pStyle w:val="47"/>
                    <w:bidi w:val="0"/>
                    <w:rPr>
                      <w:rFonts w:hint="default" w:ascii="Times New Roman" w:hAnsi="Times New Roman" w:cs="Times New Roman"/>
                      <w:color w:val="000000" w:themeColor="text1"/>
                      <w14:textFill>
                        <w14:solidFill>
                          <w14:schemeClr w14:val="tx1"/>
                        </w14:solidFill>
                      </w14:textFill>
                    </w:rPr>
                  </w:pPr>
                </w:p>
              </w:tc>
              <w:tc>
                <w:tcPr>
                  <w:tcW w:w="663" w:type="dxa"/>
                  <w:noWrap w:val="0"/>
                  <w:vAlign w:val="center"/>
                </w:tcPr>
                <w:p w14:paraId="27B55DA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污染物排放管控</w:t>
                  </w:r>
                </w:p>
              </w:tc>
              <w:tc>
                <w:tcPr>
                  <w:tcW w:w="3855" w:type="dxa"/>
                  <w:noWrap w:val="0"/>
                  <w:vAlign w:val="center"/>
                </w:tcPr>
                <w:p w14:paraId="13C2E66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1.完善建设污水收集管网，确保园区内所有工业废水、生活污水纳入污水处理厂处理并达标排放。</w:t>
                  </w:r>
                </w:p>
                <w:p w14:paraId="5BE494B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2.包装印刷业有机废气排放及控制应符合国家和地方相关标准和规范要求。</w:t>
                  </w:r>
                </w:p>
                <w:p w14:paraId="4019B30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3.落实新增二氧化硫、氮氧化物和VOCs排放总量控制要求。</w:t>
                  </w:r>
                </w:p>
              </w:tc>
              <w:tc>
                <w:tcPr>
                  <w:tcW w:w="2248" w:type="dxa"/>
                  <w:noWrap w:val="0"/>
                  <w:vAlign w:val="center"/>
                </w:tcPr>
                <w:p w14:paraId="487B58F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符合，项目无生产废水</w:t>
                  </w:r>
                  <w:r>
                    <w:rPr>
                      <w:rFonts w:hint="eastAsia" w:cs="Times New Roman"/>
                      <w:color w:val="000000" w:themeColor="text1"/>
                      <w:lang w:eastAsia="zh-CN"/>
                      <w14:textFill>
                        <w14:solidFill>
                          <w14:schemeClr w14:val="tx1"/>
                        </w14:solidFill>
                      </w14:textFill>
                    </w:rPr>
                    <w:t>外排</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生活污水经化粪池处理达标后排入市政污水管网。</w:t>
                  </w:r>
                  <w:r>
                    <w:rPr>
                      <w:rFonts w:hint="default" w:ascii="Times New Roman" w:hAnsi="Times New Roman" w:cs="Times New Roman"/>
                      <w:color w:val="000000" w:themeColor="text1"/>
                      <w14:textFill>
                        <w14:solidFill>
                          <w14:schemeClr w14:val="tx1"/>
                        </w14:solidFill>
                      </w14:textFill>
                    </w:rPr>
                    <w:t>项目废气经收集后</w:t>
                  </w:r>
                  <w:r>
                    <w:rPr>
                      <w:rFonts w:hint="default" w:ascii="Times New Roman" w:hAnsi="Times New Roman" w:cs="Times New Roman"/>
                      <w:color w:val="000000" w:themeColor="text1"/>
                      <w:lang w:val="en-US" w:eastAsia="zh-CN"/>
                      <w14:textFill>
                        <w14:solidFill>
                          <w14:schemeClr w14:val="tx1"/>
                        </w14:solidFill>
                      </w14:textFill>
                    </w:rPr>
                    <w:t>通过</w:t>
                  </w:r>
                  <w:r>
                    <w:rPr>
                      <w:rFonts w:hint="eastAsia" w:cs="Times New Roman"/>
                      <w:color w:val="000000" w:themeColor="text1"/>
                      <w:lang w:val="en-US" w:eastAsia="zh-CN"/>
                      <w14:textFill>
                        <w14:solidFill>
                          <w14:schemeClr w14:val="tx1"/>
                        </w14:solidFill>
                      </w14:textFill>
                    </w:rPr>
                    <w:t>干式过滤器+二级活性炭吸附装置</w:t>
                  </w:r>
                  <w:r>
                    <w:rPr>
                      <w:rFonts w:hint="default" w:ascii="Times New Roman" w:hAnsi="Times New Roman" w:cs="Times New Roman"/>
                      <w:color w:val="000000" w:themeColor="text1"/>
                      <w14:textFill>
                        <w14:solidFill>
                          <w14:schemeClr w14:val="tx1"/>
                        </w14:solidFill>
                      </w14:textFill>
                    </w:rPr>
                    <w:t>处理</w:t>
                  </w:r>
                  <w:r>
                    <w:rPr>
                      <w:rFonts w:hint="default" w:ascii="Times New Roman" w:hAnsi="Times New Roman" w:cs="Times New Roman"/>
                      <w:color w:val="000000" w:themeColor="text1"/>
                      <w:lang w:val="en-US" w:eastAsia="zh-CN"/>
                      <w14:textFill>
                        <w14:solidFill>
                          <w14:schemeClr w14:val="tx1"/>
                        </w14:solidFill>
                      </w14:textFill>
                    </w:rPr>
                    <w:t>达标</w:t>
                  </w:r>
                  <w:r>
                    <w:rPr>
                      <w:rFonts w:hint="default" w:ascii="Times New Roman" w:hAnsi="Times New Roman" w:cs="Times New Roman"/>
                      <w:color w:val="000000" w:themeColor="text1"/>
                      <w14:textFill>
                        <w14:solidFill>
                          <w14:schemeClr w14:val="tx1"/>
                        </w14:solidFill>
                      </w14:textFill>
                    </w:rPr>
                    <w:t>排放</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VOCs实行倍量调剂</w:t>
                  </w:r>
                </w:p>
              </w:tc>
            </w:tr>
            <w:tr w14:paraId="256451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36" w:hRule="atLeast"/>
              </w:trPr>
              <w:tc>
                <w:tcPr>
                  <w:tcW w:w="1651" w:type="dxa"/>
                  <w:vMerge w:val="continue"/>
                  <w:noWrap w:val="0"/>
                  <w:vAlign w:val="center"/>
                </w:tcPr>
                <w:p w14:paraId="104E9D14">
                  <w:pPr>
                    <w:pStyle w:val="47"/>
                    <w:bidi w:val="0"/>
                    <w:rPr>
                      <w:rFonts w:hint="default" w:ascii="Times New Roman" w:hAnsi="Times New Roman" w:cs="Times New Roman"/>
                      <w:color w:val="000000" w:themeColor="text1"/>
                      <w14:textFill>
                        <w14:solidFill>
                          <w14:schemeClr w14:val="tx1"/>
                        </w14:solidFill>
                      </w14:textFill>
                    </w:rPr>
                  </w:pPr>
                </w:p>
              </w:tc>
              <w:tc>
                <w:tcPr>
                  <w:tcW w:w="663" w:type="dxa"/>
                  <w:noWrap w:val="0"/>
                  <w:vAlign w:val="center"/>
                </w:tcPr>
                <w:p w14:paraId="2CE8E3F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环境风险防控</w:t>
                  </w:r>
                </w:p>
              </w:tc>
              <w:tc>
                <w:tcPr>
                  <w:tcW w:w="3855" w:type="dxa"/>
                  <w:noWrap w:val="0"/>
                  <w:vAlign w:val="center"/>
                </w:tcPr>
                <w:p w14:paraId="7D0381D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1.建立健全环境风险防控体系，制定环境风险应急预案，建设事故应急池，成立应急组织机构，防止在处理安全生产事故过程中产生的可能严重污染水体的消防废水、废液直接排入水体。</w:t>
                  </w:r>
                </w:p>
                <w:p w14:paraId="3A689E3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2.应采取有效措施防止园区建设对区域地下水、土壤造成污染。</w:t>
                  </w:r>
                </w:p>
              </w:tc>
              <w:tc>
                <w:tcPr>
                  <w:tcW w:w="2248" w:type="dxa"/>
                  <w:noWrap w:val="0"/>
                  <w:vAlign w:val="center"/>
                </w:tcPr>
                <w:p w14:paraId="6E183772">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危废间</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化学品库</w:t>
                  </w:r>
                  <w:r>
                    <w:rPr>
                      <w:rFonts w:hint="default" w:ascii="Times New Roman" w:hAnsi="Times New Roman" w:cs="Times New Roman"/>
                      <w:color w:val="000000" w:themeColor="text1"/>
                      <w:lang w:val="en-US" w:eastAsia="zh-CN"/>
                      <w14:textFill>
                        <w14:solidFill>
                          <w14:schemeClr w14:val="tx1"/>
                        </w14:solidFill>
                      </w14:textFill>
                    </w:rPr>
                    <w:t>、生产车间等严格按照要求进行分区防渗防控，不存在土壤环境风险</w:t>
                  </w:r>
                </w:p>
              </w:tc>
            </w:tr>
            <w:tr w14:paraId="3FECCA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1651" w:type="dxa"/>
                  <w:vMerge w:val="continue"/>
                  <w:noWrap w:val="0"/>
                  <w:vAlign w:val="center"/>
                </w:tcPr>
                <w:p w14:paraId="321E7B59">
                  <w:pPr>
                    <w:pStyle w:val="47"/>
                    <w:bidi w:val="0"/>
                    <w:rPr>
                      <w:rFonts w:hint="default" w:ascii="Times New Roman" w:hAnsi="Times New Roman" w:cs="Times New Roman"/>
                      <w:color w:val="000000" w:themeColor="text1"/>
                      <w14:textFill>
                        <w14:solidFill>
                          <w14:schemeClr w14:val="tx1"/>
                        </w14:solidFill>
                      </w14:textFill>
                    </w:rPr>
                  </w:pPr>
                </w:p>
              </w:tc>
              <w:tc>
                <w:tcPr>
                  <w:tcW w:w="663" w:type="dxa"/>
                  <w:noWrap w:val="0"/>
                  <w:vAlign w:val="center"/>
                </w:tcPr>
                <w:p w14:paraId="6D3CEA8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资源开发效率要求</w:t>
                  </w:r>
                </w:p>
              </w:tc>
              <w:tc>
                <w:tcPr>
                  <w:tcW w:w="3855" w:type="dxa"/>
                  <w:noWrap w:val="0"/>
                  <w:vAlign w:val="center"/>
                </w:tcPr>
                <w:p w14:paraId="6E33578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2248" w:type="dxa"/>
                  <w:noWrap w:val="0"/>
                  <w:vAlign w:val="center"/>
                </w:tcPr>
                <w:p w14:paraId="1CE99B1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项目使用电</w:t>
                  </w:r>
                  <w:r>
                    <w:rPr>
                      <w:rFonts w:hint="default" w:ascii="Times New Roman" w:hAnsi="Times New Roman" w:cs="Times New Roman"/>
                      <w:color w:val="000000" w:themeColor="text1"/>
                      <w:lang w:val="en-US" w:eastAsia="zh-CN"/>
                      <w14:textFill>
                        <w14:solidFill>
                          <w14:schemeClr w14:val="tx1"/>
                        </w14:solidFill>
                      </w14:textFill>
                    </w:rPr>
                    <w:t>能</w:t>
                  </w:r>
                  <w:r>
                    <w:rPr>
                      <w:rFonts w:hint="default" w:ascii="Times New Roman" w:hAnsi="Times New Roman" w:cs="Times New Roman"/>
                      <w:color w:val="000000" w:themeColor="text1"/>
                      <w14:textFill>
                        <w14:solidFill>
                          <w14:schemeClr w14:val="tx1"/>
                        </w14:solidFill>
                      </w14:textFill>
                    </w:rPr>
                    <w:t>为清洁能源</w:t>
                  </w:r>
                </w:p>
              </w:tc>
            </w:tr>
          </w:tbl>
          <w:p w14:paraId="4DD5044C">
            <w:pPr>
              <w:pStyle w:val="48"/>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14:textFill>
                  <w14:solidFill>
                    <w14:schemeClr w14:val="tx1"/>
                  </w14:solidFill>
                </w14:textFill>
              </w:rPr>
              <w:t>、与挥发性有机物污染防治相关政策符合性分析</w:t>
            </w:r>
          </w:p>
          <w:p w14:paraId="37C8D316">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本项目与污染防治相关政策符合性分析详见表</w:t>
            </w:r>
            <w:r>
              <w:rPr>
                <w:rFonts w:hint="default" w:ascii="Times New Roman" w:hAnsi="Times New Roman" w:cs="Times New Roman"/>
                <w:color w:val="000000" w:themeColor="text1"/>
                <w:lang w:val="en-US" w:eastAsia="zh-CN"/>
                <w14:textFill>
                  <w14:solidFill>
                    <w14:schemeClr w14:val="tx1"/>
                  </w14:solidFill>
                </w14:textFill>
              </w:rPr>
              <w:t>1-7。</w:t>
            </w:r>
          </w:p>
          <w:p w14:paraId="2855F976">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 xml:space="preserve">  挥发性有机物污染防治政策相关内容</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650"/>
              <w:gridCol w:w="3830"/>
              <w:gridCol w:w="2077"/>
              <w:gridCol w:w="857"/>
            </w:tblGrid>
            <w:tr w14:paraId="2FA7F2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80" w:type="pct"/>
                  <w:noWrap w:val="0"/>
                  <w:vAlign w:val="center"/>
                </w:tcPr>
                <w:p w14:paraId="5C33CC7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相关文件名称</w:t>
                  </w:r>
                </w:p>
              </w:tc>
              <w:tc>
                <w:tcPr>
                  <w:tcW w:w="2275" w:type="pct"/>
                  <w:tcBorders>
                    <w:right w:val="single" w:color="auto" w:sz="4" w:space="0"/>
                  </w:tcBorders>
                  <w:noWrap w:val="0"/>
                  <w:vAlign w:val="center"/>
                </w:tcPr>
                <w:p w14:paraId="7568B89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相关内容</w:t>
                  </w:r>
                </w:p>
              </w:tc>
              <w:tc>
                <w:tcPr>
                  <w:tcW w:w="1234" w:type="pct"/>
                  <w:tcBorders>
                    <w:left w:val="single" w:color="auto" w:sz="4" w:space="0"/>
                    <w:right w:val="single" w:color="auto" w:sz="4" w:space="0"/>
                  </w:tcBorders>
                  <w:noWrap w:val="0"/>
                  <w:vAlign w:val="center"/>
                </w:tcPr>
                <w:p w14:paraId="5A2DA4C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项目情况</w:t>
                  </w:r>
                </w:p>
              </w:tc>
              <w:tc>
                <w:tcPr>
                  <w:tcW w:w="509" w:type="pct"/>
                  <w:tcBorders>
                    <w:left w:val="single" w:color="auto" w:sz="4" w:space="0"/>
                  </w:tcBorders>
                  <w:noWrap w:val="0"/>
                  <w:vAlign w:val="center"/>
                </w:tcPr>
                <w:p w14:paraId="0D74EF8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14:paraId="7D502C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80" w:type="pct"/>
                  <w:noWrap w:val="0"/>
                  <w:vAlign w:val="center"/>
                </w:tcPr>
                <w:p w14:paraId="240DCCE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《福建省“十四五”空气质量改善规划》(2022年)</w:t>
                  </w:r>
                </w:p>
              </w:tc>
              <w:tc>
                <w:tcPr>
                  <w:tcW w:w="2275" w:type="pct"/>
                  <w:tcBorders>
                    <w:right w:val="single" w:color="auto" w:sz="4" w:space="0"/>
                  </w:tcBorders>
                  <w:noWrap w:val="0"/>
                  <w:vAlign w:val="center"/>
                </w:tcPr>
                <w:p w14:paraId="727331D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推广使用水性、高固体分、无溶剂、粉末等低VOCs含量涂料，......木质家具制造、汽车零部件、工程机械使用比例达到50%以上；......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1234" w:type="pct"/>
                  <w:tcBorders>
                    <w:left w:val="single" w:color="auto" w:sz="4" w:space="0"/>
                    <w:right w:val="single" w:color="auto" w:sz="4" w:space="0"/>
                  </w:tcBorders>
                  <w:noWrap w:val="0"/>
                  <w:vAlign w:val="center"/>
                </w:tcPr>
                <w:p w14:paraId="0196337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w:t>
                  </w:r>
                  <w:r>
                    <w:rPr>
                      <w:rFonts w:hint="eastAsia" w:cs="Times New Roman"/>
                      <w:color w:val="000000" w:themeColor="text1"/>
                      <w:lang w:val="en-US" w:eastAsia="zh-CN"/>
                      <w14:textFill>
                        <w14:solidFill>
                          <w14:schemeClr w14:val="tx1"/>
                        </w14:solidFill>
                      </w14:textFill>
                    </w:rPr>
                    <w:t>的水性胶粘剂（配套水固化剂）为低</w:t>
                  </w:r>
                  <w:r>
                    <w:rPr>
                      <w:rFonts w:hint="default" w:ascii="Times New Roman" w:hAnsi="Times New Roman" w:cs="Times New Roman"/>
                      <w:color w:val="000000" w:themeColor="text1"/>
                      <w:lang w:val="en-US" w:eastAsia="zh-CN"/>
                      <w14:textFill>
                        <w14:solidFill>
                          <w14:schemeClr w14:val="tx1"/>
                        </w14:solidFill>
                      </w14:textFill>
                    </w:rPr>
                    <w:t>VOCs含量</w:t>
                  </w:r>
                  <w:r>
                    <w:rPr>
                      <w:rFonts w:hint="eastAsia" w:cs="Times New Roman"/>
                      <w:color w:val="000000" w:themeColor="text1"/>
                      <w:lang w:val="en-US" w:eastAsia="zh-CN"/>
                      <w14:textFill>
                        <w14:solidFill>
                          <w14:schemeClr w14:val="tx1"/>
                        </w14:solidFill>
                      </w14:textFill>
                    </w:rPr>
                    <w:t>胶粘剂</w:t>
                  </w:r>
                  <w:r>
                    <w:rPr>
                      <w:rFonts w:hint="default" w:ascii="Times New Roman" w:hAnsi="Times New Roman" w:cs="Times New Roman"/>
                      <w:color w:val="000000" w:themeColor="text1"/>
                      <w14:textFill>
                        <w14:solidFill>
                          <w14:schemeClr w14:val="tx1"/>
                        </w14:solidFill>
                      </w14:textFill>
                    </w:rPr>
                    <w:t>，项目排放的VOCs</w:t>
                  </w:r>
                  <w:r>
                    <w:rPr>
                      <w:rFonts w:hint="eastAsia" w:cs="Times New Roman"/>
                      <w:color w:val="000000" w:themeColor="text1"/>
                      <w:lang w:eastAsia="zh-CN"/>
                      <w14:textFill>
                        <w14:solidFill>
                          <w14:schemeClr w14:val="tx1"/>
                        </w14:solidFill>
                      </w14:textFill>
                    </w:rPr>
                    <w:t>较少</w:t>
                  </w:r>
                  <w:r>
                    <w:rPr>
                      <w:rFonts w:hint="default" w:ascii="Times New Roman" w:hAnsi="Times New Roman" w:cs="Times New Roman"/>
                      <w:color w:val="000000" w:themeColor="text1"/>
                      <w14:textFill>
                        <w14:solidFill>
                          <w14:schemeClr w14:val="tx1"/>
                        </w14:solidFill>
                      </w14:textFill>
                    </w:rPr>
                    <w:t>，不属于高VOCs排放项目；项目排放的</w:t>
                  </w:r>
                  <w:r>
                    <w:rPr>
                      <w:rFonts w:hint="eastAsia" w:cs="Times New Roman"/>
                      <w:color w:val="000000" w:themeColor="text1"/>
                      <w:lang w:eastAsia="zh-CN"/>
                      <w14:textFill>
                        <w14:solidFill>
                          <w14:schemeClr w14:val="tx1"/>
                        </w14:solidFill>
                      </w14:textFill>
                    </w:rPr>
                    <w:t>VOCs</w:t>
                  </w:r>
                  <w:r>
                    <w:rPr>
                      <w:rFonts w:hint="default" w:ascii="Times New Roman" w:hAnsi="Times New Roman" w:cs="Times New Roman"/>
                      <w:color w:val="000000" w:themeColor="text1"/>
                      <w14:textFill>
                        <w14:solidFill>
                          <w14:schemeClr w14:val="tx1"/>
                        </w14:solidFill>
                      </w14:textFill>
                    </w:rPr>
                    <w:t>拟实行区域内倍量替代</w:t>
                  </w:r>
                </w:p>
              </w:tc>
              <w:tc>
                <w:tcPr>
                  <w:tcW w:w="509" w:type="pct"/>
                  <w:tcBorders>
                    <w:left w:val="single" w:color="auto" w:sz="4" w:space="0"/>
                  </w:tcBorders>
                  <w:noWrap w:val="0"/>
                  <w:vAlign w:val="center"/>
                </w:tcPr>
                <w:p w14:paraId="1EC1BEB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50FD8C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80" w:type="pct"/>
                  <w:noWrap w:val="0"/>
                  <w:vAlign w:val="center"/>
                </w:tcPr>
                <w:p w14:paraId="2132DC8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《福州市“十四五”生态环境保护规划》(榕政办〔2021〕123 号)</w:t>
                  </w:r>
                </w:p>
              </w:tc>
              <w:tc>
                <w:tcPr>
                  <w:tcW w:w="2275" w:type="pct"/>
                  <w:tcBorders>
                    <w:right w:val="single" w:color="auto" w:sz="4" w:space="0"/>
                  </w:tcBorders>
                  <w:noWrap w:val="0"/>
                  <w:vAlign w:val="center"/>
                </w:tcPr>
                <w:p w14:paraId="06F3457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强化挥发性有机物整治。......实行挥发性有机物排放倍量替代。加大涉VOCs企业源头替代力度，推广使用低(无)VOCs原辅材料替代，禁止生产高VOCs含量有机溶剂型涂料、油墨和胶黏剂的新、改、扩建项目，推进重点企业</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油改水</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治理，提高有机溶剂回收率。</w:t>
                  </w:r>
                </w:p>
              </w:tc>
              <w:tc>
                <w:tcPr>
                  <w:tcW w:w="1234" w:type="pct"/>
                  <w:tcBorders>
                    <w:left w:val="single" w:color="auto" w:sz="4" w:space="0"/>
                    <w:right w:val="single" w:color="auto" w:sz="4" w:space="0"/>
                  </w:tcBorders>
                  <w:noWrap w:val="0"/>
                  <w:vAlign w:val="center"/>
                </w:tcPr>
                <w:p w14:paraId="764531E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项目排放的VOC</w:t>
                  </w:r>
                  <w:r>
                    <w:rPr>
                      <w:rFonts w:hint="default" w:ascii="Times New Roman" w:hAnsi="Times New Roman" w:cs="Times New Roman"/>
                      <w:color w:val="000000" w:themeColor="text1"/>
                      <w:vertAlign w:val="subscript"/>
                      <w14:textFill>
                        <w14:solidFill>
                          <w14:schemeClr w14:val="tx1"/>
                        </w14:solidFill>
                      </w14:textFill>
                    </w:rPr>
                    <w:t>S</w:t>
                  </w:r>
                  <w:r>
                    <w:rPr>
                      <w:rFonts w:hint="default" w:ascii="Times New Roman" w:hAnsi="Times New Roman" w:cs="Times New Roman"/>
                      <w:color w:val="000000" w:themeColor="text1"/>
                      <w14:textFill>
                        <w14:solidFill>
                          <w14:schemeClr w14:val="tx1"/>
                        </w14:solidFill>
                      </w14:textFill>
                    </w:rPr>
                    <w:t>拟实行区域内倍量替代；</w:t>
                  </w:r>
                  <w:r>
                    <w:rPr>
                      <w:rFonts w:hint="default" w:ascii="Times New Roman" w:hAnsi="Times New Roman" w:cs="Times New Roman"/>
                      <w:color w:val="000000" w:themeColor="text1"/>
                      <w:lang w:val="en-US" w:eastAsia="zh-CN"/>
                      <w14:textFill>
                        <w14:solidFill>
                          <w14:schemeClr w14:val="tx1"/>
                        </w14:solidFill>
                      </w14:textFill>
                    </w:rPr>
                    <w:t>项目使用</w:t>
                  </w:r>
                  <w:r>
                    <w:rPr>
                      <w:rFonts w:hint="eastAsia" w:cs="Times New Roman"/>
                      <w:color w:val="000000" w:themeColor="text1"/>
                      <w:lang w:val="en-US" w:eastAsia="zh-CN"/>
                      <w14:textFill>
                        <w14:solidFill>
                          <w14:schemeClr w14:val="tx1"/>
                        </w14:solidFill>
                      </w14:textFill>
                    </w:rPr>
                    <w:t>的水性胶粘剂（配套水固化剂）</w:t>
                  </w:r>
                  <w:r>
                    <w:rPr>
                      <w:rFonts w:hint="default" w:ascii="Times New Roman" w:hAnsi="Times New Roman" w:cs="Times New Roman"/>
                      <w:color w:val="000000" w:themeColor="text1"/>
                      <w14:textFill>
                        <w14:solidFill>
                          <w14:schemeClr w14:val="tx1"/>
                        </w14:solidFill>
                      </w14:textFill>
                    </w:rPr>
                    <w:t>，项目不涉及VOCs含量原料的生产，</w:t>
                  </w:r>
                  <w:r>
                    <w:rPr>
                      <w:rFonts w:hint="eastAsia" w:cs="Times New Roman"/>
                      <w:color w:val="000000" w:themeColor="text1"/>
                      <w:lang w:eastAsia="zh-CN"/>
                      <w14:textFill>
                        <w14:solidFill>
                          <w14:schemeClr w14:val="tx1"/>
                        </w14:solidFill>
                      </w14:textFill>
                    </w:rPr>
                    <w:t>原料</w:t>
                  </w:r>
                  <w:r>
                    <w:rPr>
                      <w:rFonts w:hint="default" w:ascii="Times New Roman" w:hAnsi="Times New Roman" w:cs="Times New Roman"/>
                      <w:color w:val="000000" w:themeColor="text1"/>
                      <w14:textFill>
                        <w14:solidFill>
                          <w14:schemeClr w14:val="tx1"/>
                        </w14:solidFill>
                      </w14:textFill>
                    </w:rPr>
                    <w:t>全部外购</w:t>
                  </w:r>
                </w:p>
              </w:tc>
              <w:tc>
                <w:tcPr>
                  <w:tcW w:w="509" w:type="pct"/>
                  <w:tcBorders>
                    <w:left w:val="single" w:color="auto" w:sz="4" w:space="0"/>
                  </w:tcBorders>
                  <w:noWrap w:val="0"/>
                  <w:vAlign w:val="center"/>
                </w:tcPr>
                <w:p w14:paraId="16E1CE1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499088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80" w:type="pct"/>
                  <w:noWrap w:val="0"/>
                  <w:vAlign w:val="center"/>
                </w:tcPr>
                <w:p w14:paraId="0982A5D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《福建省2020年挥发性有机物治理攻坚实施方案》的通知(闽环保大气〔2020〕6号)</w:t>
                  </w:r>
                </w:p>
              </w:tc>
              <w:tc>
                <w:tcPr>
                  <w:tcW w:w="2275" w:type="pct"/>
                  <w:tcBorders>
                    <w:right w:val="single" w:color="auto" w:sz="4" w:space="0"/>
                  </w:tcBorders>
                  <w:noWrap w:val="0"/>
                  <w:vAlign w:val="center"/>
                </w:tcPr>
                <w:p w14:paraId="024F288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(1)大力推进源头替代，有效减少VOCs产生；</w:t>
                  </w:r>
                </w:p>
                <w:p w14:paraId="188495B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7D2860D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聚焦治污设施“三率”，提升综合治理效率。......除恶臭异味治理外，一般不采用低温等离子、光催化、光氧化等技术。优先采用密闭设备、在密闭空间中操作或采用全密闭集气罩收集方式；......采用活性炭吸附技术的，应选择碘值不低于800毫克/克的活性炭，并按设计要求足量添加</w:t>
                  </w:r>
                  <w:r>
                    <w:rPr>
                      <w:rFonts w:hint="eastAsia" w:cs="Times New Roman"/>
                      <w:color w:val="000000" w:themeColor="text1"/>
                      <w:lang w:eastAsia="zh-CN"/>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时更换。</w:t>
                  </w:r>
                </w:p>
              </w:tc>
              <w:tc>
                <w:tcPr>
                  <w:tcW w:w="1234" w:type="pct"/>
                  <w:tcBorders>
                    <w:left w:val="single" w:color="auto" w:sz="4" w:space="0"/>
                    <w:right w:val="single" w:color="auto" w:sz="4" w:space="0"/>
                  </w:tcBorders>
                  <w:noWrap w:val="0"/>
                  <w:vAlign w:val="center"/>
                </w:tcPr>
                <w:p w14:paraId="2B9321A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项目使用</w:t>
                  </w:r>
                  <w:r>
                    <w:rPr>
                      <w:rFonts w:hint="eastAsia" w:cs="Times New Roman"/>
                      <w:color w:val="000000" w:themeColor="text1"/>
                      <w:lang w:val="en-US" w:eastAsia="zh-CN"/>
                      <w14:textFill>
                        <w14:solidFill>
                          <w14:schemeClr w14:val="tx1"/>
                        </w14:solidFill>
                      </w14:textFill>
                    </w:rPr>
                    <w:t>的胶水为低</w:t>
                  </w:r>
                  <w:r>
                    <w:rPr>
                      <w:rFonts w:hint="default" w:ascii="Times New Roman" w:hAnsi="Times New Roman" w:cs="Times New Roman"/>
                      <w:color w:val="000000" w:themeColor="text1"/>
                      <w:lang w:val="en-US" w:eastAsia="zh-CN"/>
                      <w14:textFill>
                        <w14:solidFill>
                          <w14:schemeClr w14:val="tx1"/>
                        </w14:solidFill>
                      </w14:textFill>
                    </w:rPr>
                    <w:t>VOCs含量</w:t>
                  </w:r>
                  <w:r>
                    <w:rPr>
                      <w:rFonts w:hint="eastAsia" w:cs="Times New Roman"/>
                      <w:color w:val="000000" w:themeColor="text1"/>
                      <w:lang w:val="en-US" w:eastAsia="zh-CN"/>
                      <w14:textFill>
                        <w14:solidFill>
                          <w14:schemeClr w14:val="tx1"/>
                        </w14:solidFill>
                      </w14:textFill>
                    </w:rPr>
                    <w:t>胶粘剂</w:t>
                  </w:r>
                  <w:r>
                    <w:rPr>
                      <w:rFonts w:hint="default" w:ascii="Times New Roman" w:hAnsi="Times New Roman" w:cs="Times New Roman"/>
                      <w:color w:val="000000" w:themeColor="text1"/>
                      <w14:textFill>
                        <w14:solidFill>
                          <w14:schemeClr w14:val="tx1"/>
                        </w14:solidFill>
                      </w14:textFill>
                    </w:rPr>
                    <w:t>；</w:t>
                  </w:r>
                </w:p>
                <w:p w14:paraId="4FAD228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(2)项目</w:t>
                  </w:r>
                  <w:r>
                    <w:rPr>
                      <w:rFonts w:hint="eastAsia" w:cs="Times New Roman"/>
                      <w:color w:val="000000" w:themeColor="text1"/>
                      <w:lang w:eastAsia="zh-CN"/>
                      <w14:textFill>
                        <w14:solidFill>
                          <w14:schemeClr w14:val="tx1"/>
                        </w14:solidFill>
                      </w14:textFill>
                    </w:rPr>
                    <w:t>涉</w:t>
                  </w:r>
                  <w:r>
                    <w:rPr>
                      <w:rFonts w:hint="eastAsia" w:cs="Times New Roman"/>
                      <w:color w:val="000000" w:themeColor="text1"/>
                      <w:lang w:val="en-US" w:eastAsia="zh-CN"/>
                      <w14:textFill>
                        <w14:solidFill>
                          <w14:schemeClr w14:val="tx1"/>
                        </w14:solidFill>
                      </w14:textFill>
                    </w:rPr>
                    <w:t>VOC</w:t>
                  </w:r>
                  <w:r>
                    <w:rPr>
                      <w:rFonts w:hint="default" w:ascii="Times New Roman" w:hAnsi="Times New Roman" w:cs="Times New Roman"/>
                      <w:color w:val="000000" w:themeColor="text1"/>
                      <w14:textFill>
                        <w14:solidFill>
                          <w14:schemeClr w14:val="tx1"/>
                        </w14:solidFill>
                      </w14:textFill>
                    </w:rPr>
                    <w:t>原料</w:t>
                  </w:r>
                  <w:r>
                    <w:rPr>
                      <w:rFonts w:hint="eastAsia" w:cs="Times New Roman"/>
                      <w:color w:val="000000" w:themeColor="text1"/>
                      <w:lang w:eastAsia="zh-CN"/>
                      <w14:textFill>
                        <w14:solidFill>
                          <w14:schemeClr w14:val="tx1"/>
                        </w14:solidFill>
                      </w14:textFill>
                    </w:rPr>
                    <w:t>桶装密封</w:t>
                  </w:r>
                  <w:r>
                    <w:rPr>
                      <w:rFonts w:hint="default" w:ascii="Times New Roman" w:hAnsi="Times New Roman" w:cs="Times New Roman"/>
                      <w:color w:val="000000" w:themeColor="text1"/>
                      <w14:textFill>
                        <w14:solidFill>
                          <w14:schemeClr w14:val="tx1"/>
                        </w14:solidFill>
                      </w14:textFill>
                    </w:rPr>
                    <w:t>暂存在</w:t>
                  </w:r>
                  <w:r>
                    <w:rPr>
                      <w:rFonts w:hint="eastAsia" w:cs="Times New Roman"/>
                      <w:color w:val="000000" w:themeColor="text1"/>
                      <w:lang w:eastAsia="zh-CN"/>
                      <w14:textFill>
                        <w14:solidFill>
                          <w14:schemeClr w14:val="tx1"/>
                        </w14:solidFill>
                      </w14:textFill>
                    </w:rPr>
                    <w:t>化学品库</w:t>
                  </w:r>
                  <w:r>
                    <w:rPr>
                      <w:rFonts w:hint="default" w:ascii="Times New Roman" w:hAnsi="Times New Roman" w:cs="Times New Roman"/>
                      <w:color w:val="000000" w:themeColor="text1"/>
                      <w14:textFill>
                        <w14:solidFill>
                          <w14:schemeClr w14:val="tx1"/>
                        </w14:solidFill>
                      </w14:textFill>
                    </w:rPr>
                    <w:t>；拟将更换的</w:t>
                  </w:r>
                  <w:r>
                    <w:rPr>
                      <w:rFonts w:hint="eastAsia" w:cs="Times New Roman"/>
                      <w:color w:val="000000" w:themeColor="text1"/>
                      <w:lang w:eastAsia="zh-CN"/>
                      <w14:textFill>
                        <w14:solidFill>
                          <w14:schemeClr w14:val="tx1"/>
                        </w14:solidFill>
                      </w14:textFill>
                    </w:rPr>
                    <w:t>废活性炭</w:t>
                  </w:r>
                  <w:r>
                    <w:rPr>
                      <w:rFonts w:hint="default" w:ascii="Times New Roman" w:hAnsi="Times New Roman" w:cs="Times New Roman"/>
                      <w:color w:val="000000" w:themeColor="text1"/>
                      <w:lang w:eastAsia="zh-CN"/>
                      <w14:textFill>
                        <w14:solidFill>
                          <w14:schemeClr w14:val="tx1"/>
                        </w14:solidFill>
                      </w14:textFill>
                    </w:rPr>
                    <w:t>当作</w:t>
                  </w:r>
                  <w:r>
                    <w:rPr>
                      <w:rFonts w:hint="default" w:ascii="Times New Roman" w:hAnsi="Times New Roman" w:cs="Times New Roman"/>
                      <w:color w:val="000000" w:themeColor="text1"/>
                      <w14:textFill>
                        <w14:solidFill>
                          <w14:schemeClr w14:val="tx1"/>
                        </w14:solidFill>
                      </w14:textFill>
                    </w:rPr>
                    <w:t>危险废物，袋装密闭暂存于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14:textFill>
                        <w14:solidFill>
                          <w14:schemeClr w14:val="tx1"/>
                        </w14:solidFill>
                      </w14:textFill>
                    </w:rPr>
                    <w:t>内，定期委托有资质单位统一处置；</w:t>
                  </w:r>
                </w:p>
                <w:p w14:paraId="6BB4212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(3)本项目</w:t>
                  </w:r>
                  <w:r>
                    <w:rPr>
                      <w:rFonts w:hint="eastAsia" w:cs="Times New Roman"/>
                      <w:color w:val="000000" w:themeColor="text1"/>
                      <w:lang w:eastAsia="zh-CN"/>
                      <w14:textFill>
                        <w14:solidFill>
                          <w14:schemeClr w14:val="tx1"/>
                        </w14:solidFill>
                      </w14:textFill>
                    </w:rPr>
                    <w:t>二级活性炭吸附装置</w:t>
                  </w:r>
                  <w:r>
                    <w:rPr>
                      <w:rFonts w:hint="default" w:ascii="Times New Roman" w:hAnsi="Times New Roman" w:cs="Times New Roman"/>
                      <w:color w:val="000000" w:themeColor="text1"/>
                      <w14:textFill>
                        <w14:solidFill>
                          <w14:schemeClr w14:val="tx1"/>
                        </w14:solidFill>
                      </w14:textFill>
                    </w:rPr>
                    <w:t>采用碘值不低于800毫克/克的活性炭</w:t>
                  </w:r>
                  <w:r>
                    <w:rPr>
                      <w:rFonts w:hint="default" w:ascii="Times New Roman" w:hAnsi="Times New Roman" w:cs="Times New Roman"/>
                      <w:color w:val="000000" w:themeColor="text1"/>
                      <w:lang w:val="en-US" w:eastAsia="zh-CN"/>
                      <w14:textFill>
                        <w14:solidFill>
                          <w14:schemeClr w14:val="tx1"/>
                        </w14:solidFill>
                      </w14:textFill>
                    </w:rPr>
                    <w:t>装填</w:t>
                  </w:r>
                  <w:r>
                    <w:rPr>
                      <w:rFonts w:hint="default" w:ascii="Times New Roman" w:hAnsi="Times New Roman" w:cs="Times New Roman"/>
                      <w:color w:val="000000" w:themeColor="text1"/>
                      <w14:textFill>
                        <w14:solidFill>
                          <w14:schemeClr w14:val="tx1"/>
                        </w14:solidFill>
                      </w14:textFill>
                    </w:rPr>
                    <w:t>，并定期更换。</w:t>
                  </w:r>
                </w:p>
              </w:tc>
              <w:tc>
                <w:tcPr>
                  <w:tcW w:w="509" w:type="pct"/>
                  <w:tcBorders>
                    <w:left w:val="single" w:color="auto" w:sz="4" w:space="0"/>
                  </w:tcBorders>
                  <w:noWrap w:val="0"/>
                  <w:vAlign w:val="center"/>
                </w:tcPr>
                <w:p w14:paraId="5B085A7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7D8659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80" w:type="pct"/>
                  <w:noWrap w:val="0"/>
                  <w:vAlign w:val="center"/>
                </w:tcPr>
                <w:p w14:paraId="160F56A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《福州市生态环境保护委员会办公室关于印发2022年度福州市蓝天碧海净土保卫战行动计划通知》(榕环委办[2022]49号)</w:t>
                  </w:r>
                </w:p>
              </w:tc>
              <w:tc>
                <w:tcPr>
                  <w:tcW w:w="2275" w:type="pct"/>
                  <w:tcBorders>
                    <w:right w:val="single" w:color="auto" w:sz="4" w:space="0"/>
                  </w:tcBorders>
                  <w:noWrap w:val="0"/>
                  <w:vAlign w:val="center"/>
                </w:tcPr>
                <w:p w14:paraId="5EF6B5E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是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1234" w:type="pct"/>
                  <w:tcBorders>
                    <w:left w:val="single" w:color="auto" w:sz="4" w:space="0"/>
                    <w:right w:val="single" w:color="auto" w:sz="4" w:space="0"/>
                  </w:tcBorders>
                  <w:noWrap w:val="0"/>
                  <w:vAlign w:val="center"/>
                </w:tcPr>
                <w:p w14:paraId="7101B3A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项目使用</w:t>
                  </w:r>
                  <w:r>
                    <w:rPr>
                      <w:rFonts w:hint="eastAsia" w:cs="Times New Roman"/>
                      <w:color w:val="000000" w:themeColor="text1"/>
                      <w:lang w:val="en-US" w:eastAsia="zh-CN"/>
                      <w14:textFill>
                        <w14:solidFill>
                          <w14:schemeClr w14:val="tx1"/>
                        </w14:solidFill>
                      </w14:textFill>
                    </w:rPr>
                    <w:t>的胶水为低</w:t>
                  </w:r>
                  <w:r>
                    <w:rPr>
                      <w:rFonts w:hint="default" w:ascii="Times New Roman" w:hAnsi="Times New Roman" w:cs="Times New Roman"/>
                      <w:color w:val="000000" w:themeColor="text1"/>
                      <w:lang w:val="en-US" w:eastAsia="zh-CN"/>
                      <w14:textFill>
                        <w14:solidFill>
                          <w14:schemeClr w14:val="tx1"/>
                        </w14:solidFill>
                      </w14:textFill>
                    </w:rPr>
                    <w:t>VOCs含量</w:t>
                  </w:r>
                  <w:r>
                    <w:rPr>
                      <w:rFonts w:hint="eastAsia" w:cs="Times New Roman"/>
                      <w:color w:val="000000" w:themeColor="text1"/>
                      <w:lang w:val="en-US" w:eastAsia="zh-CN"/>
                      <w14:textFill>
                        <w14:solidFill>
                          <w14:schemeClr w14:val="tx1"/>
                        </w14:solidFill>
                      </w14:textFill>
                    </w:rPr>
                    <w:t>胶粘剂</w:t>
                  </w:r>
                  <w:r>
                    <w:rPr>
                      <w:rFonts w:hint="default" w:ascii="Times New Roman" w:hAnsi="Times New Roman" w:cs="Times New Roman"/>
                      <w:color w:val="000000" w:themeColor="text1"/>
                      <w14:textFill>
                        <w14:solidFill>
                          <w14:schemeClr w14:val="tx1"/>
                        </w14:solidFill>
                      </w14:textFill>
                    </w:rPr>
                    <w:t>；项目VOCs排放拟实行区域内倍量替代，项目VOCs年排放量远小于5吨，不需安装VOCs在线监控设备。</w:t>
                  </w:r>
                </w:p>
              </w:tc>
              <w:tc>
                <w:tcPr>
                  <w:tcW w:w="509" w:type="pct"/>
                  <w:tcBorders>
                    <w:left w:val="single" w:color="auto" w:sz="4" w:space="0"/>
                  </w:tcBorders>
                  <w:noWrap w:val="0"/>
                  <w:vAlign w:val="center"/>
                </w:tcPr>
                <w:p w14:paraId="27F48F1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078E4E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80" w:type="pct"/>
                  <w:noWrap w:val="0"/>
                  <w:vAlign w:val="center"/>
                </w:tcPr>
                <w:p w14:paraId="0170B32B">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挥发性有机物无组织排放控制标准</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（GB 37822—2019）</w:t>
                  </w:r>
                </w:p>
              </w:tc>
              <w:tc>
                <w:tcPr>
                  <w:tcW w:w="2275" w:type="pct"/>
                  <w:tcBorders>
                    <w:right w:val="single" w:color="auto" w:sz="4" w:space="0"/>
                  </w:tcBorders>
                  <w:noWrap w:val="0"/>
                  <w:vAlign w:val="center"/>
                </w:tcPr>
                <w:p w14:paraId="7CAF5810">
                  <w:pPr>
                    <w:pStyle w:val="47"/>
                    <w:bidi w:val="0"/>
                    <w:jc w:val="both"/>
                    <w:outlineLvl w:val="9"/>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Times New Roman"/>
                      <w:b w:val="0"/>
                      <w:bCs/>
                      <w:color w:val="000000" w:themeColor="text1"/>
                      <w:lang w:val="en-US" w:eastAsia="zh-CN"/>
                      <w14:textFill>
                        <w14:solidFill>
                          <w14:schemeClr w14:val="tx1"/>
                        </w14:solidFill>
                      </w14:textFill>
                    </w:rPr>
                    <w:t>5.1基本要求</w:t>
                  </w:r>
                </w:p>
                <w:p w14:paraId="1ABBD00D">
                  <w:pPr>
                    <w:pStyle w:val="47"/>
                    <w:bidi w:val="0"/>
                    <w:jc w:val="both"/>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5.1.1VOCs物料应储存于密闭的容器、包装袋、储罐、储库、料仓中。</w:t>
                  </w:r>
                </w:p>
                <w:p w14:paraId="2E1089B9">
                  <w:pPr>
                    <w:pStyle w:val="47"/>
                    <w:bidi w:val="0"/>
                    <w:jc w:val="both"/>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5.1.2盛装VOCs物料的容器或包装袋应存放于室内，或存放于设置有雨棚、遮阳和防渗设施的专用场地。盛装 VOCs物料的容器或包装袋在非取用状态时应加盖、封口，保持密闭。</w:t>
                  </w:r>
                </w:p>
                <w:p w14:paraId="4B1EDCC2">
                  <w:pPr>
                    <w:pStyle w:val="47"/>
                    <w:bidi w:val="0"/>
                    <w:jc w:val="both"/>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7.2含VOCs产品的使用过程</w:t>
                  </w:r>
                </w:p>
                <w:p w14:paraId="759075D1">
                  <w:pPr>
                    <w:pStyle w:val="47"/>
                    <w:bidi w:val="0"/>
                    <w:jc w:val="both"/>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7.2.1VOCs质量占比大于等于10%的含VOCs产品，其使用过程应采用密闭设备或在密闭空间内操作，废气应排至VOCs废气收集处理系统</w:t>
                  </w:r>
                  <w:r>
                    <w:rPr>
                      <w:rFonts w:hint="eastAsia"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14:textFill>
                        <w14:solidFill>
                          <w14:schemeClr w14:val="tx1"/>
                        </w14:solidFill>
                      </w14:textFill>
                    </w:rPr>
                    <w:t>无法密闭的，应采取局部气体收集措施，废气应排至VOCs废气收集处理系统。含VOCs产品的使用过程包括但不限于以下作业</w:t>
                  </w:r>
                  <w:r>
                    <w:rPr>
                      <w:rFonts w:hint="eastAsia" w:ascii="Times New Roman" w:hAnsi="Times New Roman" w:eastAsia="宋体" w:cs="Times New Roman"/>
                      <w:b w:val="0"/>
                      <w:bCs/>
                      <w:color w:val="000000" w:themeColor="text1"/>
                      <w:lang w:eastAsia="zh-CN"/>
                      <w14:textFill>
                        <w14:solidFill>
                          <w14:schemeClr w14:val="tx1"/>
                        </w14:solidFill>
                      </w14:textFill>
                    </w:rPr>
                    <w:t>：</w:t>
                  </w:r>
                </w:p>
                <w:p w14:paraId="0403FCB4">
                  <w:pPr>
                    <w:pStyle w:val="47"/>
                    <w:bidi w:val="0"/>
                    <w:jc w:val="both"/>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a)调配(混合、搅拌等);</w:t>
                  </w:r>
                </w:p>
                <w:p w14:paraId="75905849">
                  <w:pPr>
                    <w:pStyle w:val="47"/>
                    <w:bidi w:val="0"/>
                    <w:jc w:val="both"/>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b)涂装(喷涂、浸涂、淋涂、辊涂、刷涂、涂布等);</w:t>
                  </w:r>
                </w:p>
                <w:p w14:paraId="730BD1DF">
                  <w:pPr>
                    <w:pStyle w:val="47"/>
                    <w:bidi w:val="0"/>
                    <w:jc w:val="both"/>
                    <w:outlineLvl w:val="9"/>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f)干燥(烘干、风干、晾干等):</w:t>
                  </w:r>
                </w:p>
                <w:p w14:paraId="186EB417">
                  <w:pPr>
                    <w:pStyle w:val="47"/>
                    <w:bidi w:val="0"/>
                    <w:jc w:val="both"/>
                    <w:outlineLvl w:val="9"/>
                    <w:rPr>
                      <w:rFonts w:hint="default"/>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g)清洗(浸洗、喷洗、淋洗、冲洗、擦洗等)。</w:t>
                  </w:r>
                </w:p>
              </w:tc>
              <w:tc>
                <w:tcPr>
                  <w:tcW w:w="1234" w:type="pct"/>
                  <w:tcBorders>
                    <w:left w:val="single" w:color="auto" w:sz="4" w:space="0"/>
                    <w:right w:val="single" w:color="auto" w:sz="4" w:space="0"/>
                  </w:tcBorders>
                  <w:noWrap w:val="0"/>
                  <w:vAlign w:val="center"/>
                </w:tcPr>
                <w:p w14:paraId="5237832F">
                  <w:pPr>
                    <w:pStyle w:val="47"/>
                    <w:numPr>
                      <w:ilvl w:val="0"/>
                      <w:numId w:val="0"/>
                    </w:numPr>
                    <w:bidi w:val="0"/>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kern w:val="44"/>
                      <w:sz w:val="21"/>
                      <w:szCs w:val="30"/>
                      <w:lang w:val="en-US" w:eastAsia="zh-CN" w:bidi="ar-SA"/>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胶水</w:t>
                  </w:r>
                  <w:r>
                    <w:rPr>
                      <w:rFonts w:hint="eastAsia" w:ascii="Times New Roman" w:hAnsi="Times New Roman" w:cs="Times New Roman"/>
                      <w:color w:val="000000" w:themeColor="text1"/>
                      <w:lang w:val="en-US" w:eastAsia="zh-CN"/>
                      <w14:textFill>
                        <w14:solidFill>
                          <w14:schemeClr w14:val="tx1"/>
                        </w14:solidFill>
                      </w14:textFill>
                    </w:rPr>
                    <w:t>贮存在</w:t>
                  </w:r>
                  <w:r>
                    <w:rPr>
                      <w:rFonts w:hint="eastAsia" w:cs="Times New Roman"/>
                      <w:color w:val="000000" w:themeColor="text1"/>
                      <w:lang w:val="en-US" w:eastAsia="zh-CN"/>
                      <w14:textFill>
                        <w14:solidFill>
                          <w14:schemeClr w14:val="tx1"/>
                        </w14:solidFill>
                      </w14:textFill>
                    </w:rPr>
                    <w:t>化学品库</w:t>
                  </w:r>
                  <w:r>
                    <w:rPr>
                      <w:rFonts w:hint="eastAsia" w:ascii="Times New Roman" w:hAnsi="Times New Roman" w:cs="Times New Roman"/>
                      <w:color w:val="000000" w:themeColor="text1"/>
                      <w:lang w:val="en-US" w:eastAsia="zh-CN"/>
                      <w14:textFill>
                        <w14:solidFill>
                          <w14:schemeClr w14:val="tx1"/>
                        </w14:solidFill>
                      </w14:textFill>
                    </w:rPr>
                    <w:t>内，</w:t>
                  </w:r>
                  <w:r>
                    <w:rPr>
                      <w:rFonts w:hint="eastAsia" w:cs="Times New Roman"/>
                      <w:color w:val="000000" w:themeColor="text1"/>
                      <w:lang w:val="en-US" w:eastAsia="zh-CN"/>
                      <w14:textFill>
                        <w14:solidFill>
                          <w14:schemeClr w14:val="tx1"/>
                        </w14:solidFill>
                      </w14:textFill>
                    </w:rPr>
                    <w:t>化学品库</w:t>
                  </w:r>
                  <w:r>
                    <w:rPr>
                      <w:rFonts w:hint="eastAsia" w:ascii="Times New Roman" w:hAnsi="Times New Roman" w:cs="Times New Roman"/>
                      <w:color w:val="000000" w:themeColor="text1"/>
                      <w:lang w:val="en-US" w:eastAsia="zh-CN"/>
                      <w14:textFill>
                        <w14:solidFill>
                          <w14:schemeClr w14:val="tx1"/>
                        </w14:solidFill>
                      </w14:textFill>
                    </w:rPr>
                    <w:t>独立且密闭、具有防渗措施；</w:t>
                  </w:r>
                </w:p>
                <w:p w14:paraId="0D4BEB7D">
                  <w:pPr>
                    <w:pStyle w:val="47"/>
                    <w:numPr>
                      <w:ilvl w:val="0"/>
                      <w:numId w:val="0"/>
                    </w:numPr>
                    <w:bidi w:val="0"/>
                    <w:ind w:left="0" w:leftChars="0" w:firstLine="0" w:firstLineChars="0"/>
                    <w:jc w:val="both"/>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kern w:val="44"/>
                      <w:sz w:val="21"/>
                      <w:szCs w:val="30"/>
                      <w:lang w:val="en-US" w:eastAsia="zh-CN" w:bidi="ar-SA"/>
                      <w14:textFill>
                        <w14:solidFill>
                          <w14:schemeClr w14:val="tx1"/>
                        </w14:solidFill>
                      </w14:textFill>
                    </w:rPr>
                    <w:t>2、</w:t>
                  </w:r>
                  <w:r>
                    <w:rPr>
                      <w:rFonts w:hint="eastAsia" w:ascii="Times New Roman" w:hAnsi="Times New Roman" w:cs="Times New Roman"/>
                      <w:bCs/>
                      <w:color w:val="000000" w:themeColor="text1"/>
                      <w:kern w:val="44"/>
                      <w:sz w:val="21"/>
                      <w:szCs w:val="30"/>
                      <w:lang w:val="en-US" w:eastAsia="zh-CN" w:bidi="ar-SA"/>
                      <w14:textFill>
                        <w14:solidFill>
                          <w14:schemeClr w14:val="tx1"/>
                        </w14:solidFill>
                      </w14:textFill>
                    </w:rPr>
                    <w:t>项目废气经收集后通过</w:t>
                  </w:r>
                  <w:r>
                    <w:rPr>
                      <w:rFonts w:hint="eastAsia" w:cs="Times New Roman"/>
                      <w:bCs/>
                      <w:color w:val="000000" w:themeColor="text1"/>
                      <w:kern w:val="44"/>
                      <w:sz w:val="21"/>
                      <w:szCs w:val="30"/>
                      <w:lang w:val="en-US" w:eastAsia="zh-CN" w:bidi="ar-SA"/>
                      <w14:textFill>
                        <w14:solidFill>
                          <w14:schemeClr w14:val="tx1"/>
                        </w14:solidFill>
                      </w14:textFill>
                    </w:rPr>
                    <w:t>干式过滤器+二级活性炭吸附装置</w:t>
                  </w:r>
                  <w:r>
                    <w:rPr>
                      <w:rFonts w:hint="eastAsia" w:ascii="Times New Roman" w:hAnsi="Times New Roman" w:cs="Times New Roman"/>
                      <w:bCs/>
                      <w:color w:val="000000" w:themeColor="text1"/>
                      <w:kern w:val="44"/>
                      <w:sz w:val="21"/>
                      <w:szCs w:val="30"/>
                      <w:lang w:val="en-US" w:eastAsia="zh-CN" w:bidi="ar-SA"/>
                      <w14:textFill>
                        <w14:solidFill>
                          <w14:schemeClr w14:val="tx1"/>
                        </w14:solidFill>
                      </w14:textFill>
                    </w:rPr>
                    <w:t>处理后排放。</w:t>
                  </w:r>
                </w:p>
              </w:tc>
              <w:tc>
                <w:tcPr>
                  <w:tcW w:w="509" w:type="pct"/>
                  <w:tcBorders>
                    <w:left w:val="single" w:color="auto" w:sz="4" w:space="0"/>
                  </w:tcBorders>
                  <w:noWrap w:val="0"/>
                  <w:vAlign w:val="center"/>
                </w:tcPr>
                <w:p w14:paraId="604E89F7">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符合</w:t>
                  </w:r>
                </w:p>
              </w:tc>
            </w:tr>
          </w:tbl>
          <w:p w14:paraId="7AE9FDB4">
            <w:pPr>
              <w:adjustRightInd w:val="0"/>
              <w:snapToGrid w:val="0"/>
              <w:spacing w:before="120" w:beforeLines="50" w:line="360" w:lineRule="auto"/>
              <w:ind w:firstLine="480" w:firstLineChars="200"/>
              <w:rPr>
                <w:rFonts w:hint="default" w:eastAsia="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根据以上分析，项目产生</w:t>
            </w:r>
            <w:r>
              <w:rPr>
                <w:rFonts w:hint="eastAsia" w:cs="Times New Roman"/>
                <w:color w:val="000000" w:themeColor="text1"/>
                <w:sz w:val="24"/>
                <w:lang w:eastAsia="zh-CN"/>
                <w14:textFill>
                  <w14:solidFill>
                    <w14:schemeClr w14:val="tx1"/>
                  </w14:solidFill>
                </w14:textFill>
              </w:rPr>
              <w:t>有机废气</w:t>
            </w:r>
            <w:r>
              <w:rPr>
                <w:rFonts w:hint="default" w:ascii="Times New Roman" w:hAnsi="Times New Roman" w:cs="Times New Roman"/>
                <w:color w:val="000000" w:themeColor="text1"/>
                <w:sz w:val="24"/>
                <w14:textFill>
                  <w14:solidFill>
                    <w14:schemeClr w14:val="tx1"/>
                  </w14:solidFill>
                </w14:textFill>
              </w:rPr>
              <w:t>可以得到有效</w:t>
            </w:r>
            <w:r>
              <w:rPr>
                <w:rFonts w:hint="eastAsia" w:cs="Times New Roman"/>
                <w:color w:val="000000" w:themeColor="text1"/>
                <w:sz w:val="24"/>
                <w:lang w:eastAsia="zh-CN"/>
                <w14:textFill>
                  <w14:solidFill>
                    <w14:schemeClr w14:val="tx1"/>
                  </w14:solidFill>
                </w14:textFill>
              </w:rPr>
              <w:t>地</w:t>
            </w:r>
            <w:r>
              <w:rPr>
                <w:rFonts w:hint="default" w:ascii="Times New Roman" w:hAnsi="Times New Roman" w:cs="Times New Roman"/>
                <w:color w:val="000000" w:themeColor="text1"/>
                <w:sz w:val="24"/>
                <w14:textFill>
                  <w14:solidFill>
                    <w14:schemeClr w14:val="tx1"/>
                  </w14:solidFill>
                </w14:textFill>
              </w:rPr>
              <w:t>控制，采取有效治理措施后，符合挥发性有机物污染防治相关政策的要求。</w:t>
            </w:r>
          </w:p>
        </w:tc>
      </w:tr>
    </w:tbl>
    <w:p w14:paraId="791D3F30">
      <w:pPr>
        <w:spacing w:line="360" w:lineRule="auto"/>
        <w:outlineLvl w:val="9"/>
        <w:rPr>
          <w:rFonts w:hint="default" w:ascii="Times New Roman" w:hAnsi="Times New Roman" w:eastAsia="黑体" w:cs="Times New Roman"/>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95358AF">
      <w:pPr>
        <w:pStyle w:val="22"/>
        <w:jc w:val="center"/>
        <w:outlineLvl w:val="0"/>
        <w:rPr>
          <w:rFonts w:hint="default" w:ascii="Times New Roman" w:hAnsi="Times New Roman" w:eastAsia="黑体" w:cs="Times New Roman"/>
          <w:snapToGrid w:val="0"/>
          <w:sz w:val="30"/>
          <w:szCs w:val="30"/>
        </w:rPr>
      </w:pPr>
      <w:bookmarkStart w:id="16" w:name="_Toc23203"/>
      <w:bookmarkStart w:id="17" w:name="_Toc24652"/>
      <w:bookmarkStart w:id="18" w:name="_Toc8765"/>
      <w:bookmarkStart w:id="19" w:name="_Toc5802"/>
      <w:r>
        <w:rPr>
          <w:rFonts w:hint="default" w:ascii="Times New Roman" w:hAnsi="Times New Roman" w:eastAsia="黑体" w:cs="Times New Roman"/>
          <w:snapToGrid w:val="0"/>
          <w:sz w:val="30"/>
          <w:szCs w:val="30"/>
        </w:rPr>
        <w:t>二、建设项目工程分析</w:t>
      </w:r>
      <w:bookmarkEnd w:id="16"/>
      <w:bookmarkEnd w:id="17"/>
      <w:bookmarkEnd w:id="18"/>
      <w:bookmarkEnd w:id="19"/>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8542"/>
      </w:tblGrid>
      <w:tr w14:paraId="00111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dxa"/>
            <w:noWrap w:val="0"/>
            <w:vAlign w:val="center"/>
          </w:tcPr>
          <w:p w14:paraId="5F621125">
            <w:pPr>
              <w:pStyle w:val="22"/>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542" w:type="dxa"/>
            <w:noWrap w:val="0"/>
            <w:vAlign w:val="top"/>
          </w:tcPr>
          <w:p w14:paraId="54EA57D6">
            <w:pPr>
              <w:pStyle w:val="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 项目由来</w:t>
            </w:r>
          </w:p>
          <w:p w14:paraId="52E852A9">
            <w:pPr>
              <w:pStyle w:val="7"/>
              <w:keepNext w:val="0"/>
              <w:keepLines w:val="0"/>
              <w:pageBreakBefore w:val="0"/>
              <w:widowControl w:val="0"/>
              <w:kinsoku/>
              <w:wordWrap/>
              <w:overflowPunct/>
              <w:topLinePunct w:val="0"/>
              <w:bidi w:val="0"/>
              <w:adjustRightInd/>
              <w:snapToGrid/>
              <w:spacing w:line="360" w:lineRule="auto"/>
              <w:ind w:left="0" w:leftChars="0" w:firstLine="480" w:firstLineChars="200"/>
              <w:rPr>
                <w:rFonts w:hint="default" w:ascii="Times New Roman" w:hAnsi="Times New Roman" w:eastAsia="宋体" w:cs="Times New Roman"/>
                <w:color w:val="auto"/>
                <w:spacing w:val="0"/>
                <w:sz w:val="24"/>
                <w:szCs w:val="24"/>
                <w:lang w:val="en-US" w:eastAsia="zh-CN"/>
              </w:rPr>
            </w:pPr>
            <w:r>
              <w:rPr>
                <w:rFonts w:hint="eastAsia" w:cs="Times New Roman"/>
                <w:color w:val="auto"/>
                <w:spacing w:val="0"/>
                <w:sz w:val="24"/>
                <w:szCs w:val="24"/>
                <w:lang w:val="en-US" w:eastAsia="zh-CN"/>
              </w:rPr>
              <w:t>格拉默车辆内饰（合肥）有限公司福州分公司</w:t>
            </w:r>
            <w:r>
              <w:rPr>
                <w:rFonts w:hint="default" w:ascii="Times New Roman" w:hAnsi="Times New Roman" w:eastAsia="宋体" w:cs="Times New Roman"/>
                <w:color w:val="auto"/>
                <w:spacing w:val="0"/>
                <w:sz w:val="24"/>
                <w:szCs w:val="24"/>
                <w:lang w:val="en-US" w:eastAsia="zh-CN"/>
              </w:rPr>
              <w:t>(后文简述为建设单位)成立于</w:t>
            </w:r>
            <w:r>
              <w:rPr>
                <w:rFonts w:hint="eastAsia" w:cs="Times New Roman"/>
                <w:color w:val="auto"/>
                <w:spacing w:val="0"/>
                <w:sz w:val="24"/>
                <w:szCs w:val="24"/>
                <w:lang w:val="en-US" w:eastAsia="zh-CN"/>
              </w:rPr>
              <w:t>2025年11月4日</w:t>
            </w:r>
            <w:r>
              <w:rPr>
                <w:rFonts w:hint="default" w:ascii="Times New Roman" w:hAnsi="Times New Roman" w:eastAsia="宋体" w:cs="Times New Roman"/>
                <w:color w:val="auto"/>
                <w:spacing w:val="0"/>
                <w:sz w:val="24"/>
                <w:szCs w:val="24"/>
                <w:lang w:val="en-US" w:eastAsia="zh-CN"/>
              </w:rPr>
              <w:t>，经营范围包括：汽车零部件及配件制造；机械设备销售；金属制品销售；模具销售；汽车装饰用品销售；汽车零配件零售；技术服务、技术开发、技术咨询、技术交流、技术转让、技术推广；货物进出口。(营业执照及法人身份证复印件见附件二)。</w:t>
            </w:r>
          </w:p>
          <w:p w14:paraId="175DC800">
            <w:pPr>
              <w:pStyle w:val="40"/>
              <w:bidi w:val="0"/>
              <w:outlineLvl w:val="9"/>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lang w:val="en-US" w:eastAsia="zh-CN"/>
              </w:rPr>
              <w:t>格拉默车辆内饰（合肥）有限公司福州分公司</w:t>
            </w:r>
            <w:r>
              <w:rPr>
                <w:rFonts w:hint="default" w:ascii="Times New Roman" w:hAnsi="Times New Roman" w:eastAsia="宋体" w:cs="Times New Roman"/>
                <w:color w:val="000000"/>
                <w:lang w:val="en-US" w:eastAsia="zh-CN"/>
              </w:rPr>
              <w:t>拟投资</w:t>
            </w:r>
            <w:r>
              <w:rPr>
                <w:rFonts w:hint="eastAsia" w:cs="Times New Roman"/>
                <w:color w:val="000000"/>
                <w:lang w:val="en-US" w:eastAsia="zh-CN"/>
              </w:rPr>
              <w:t>630</w:t>
            </w:r>
            <w:r>
              <w:rPr>
                <w:rFonts w:hint="default" w:ascii="Times New Roman" w:hAnsi="Times New Roman" w:eastAsia="宋体" w:cs="Times New Roman"/>
                <w:color w:val="000000"/>
                <w:lang w:val="en-US" w:eastAsia="zh-CN"/>
              </w:rPr>
              <w:t>万元，选址于福建省福州市福清市石竹街道融侨开发区（租赁福州聚德电子有限公司1号厂房三层）</w:t>
            </w:r>
            <w:r>
              <w:rPr>
                <w:rFonts w:hint="eastAsia" w:eastAsia="宋体" w:cs="Times New Roman"/>
                <w:color w:val="000000"/>
                <w:lang w:val="en-US" w:eastAsia="zh-CN"/>
              </w:rPr>
              <w:t>；</w:t>
            </w:r>
            <w:r>
              <w:rPr>
                <w:rFonts w:hint="eastAsia" w:cs="Times New Roman"/>
                <w:color w:val="000000"/>
                <w:lang w:val="en-US" w:eastAsia="zh-CN"/>
              </w:rPr>
              <w:t>租赁厂房2000平方米</w:t>
            </w:r>
            <w:r>
              <w:rPr>
                <w:rFonts w:hint="default" w:ascii="Times New Roman" w:hAnsi="Times New Roman" w:eastAsia="宋体" w:cs="Times New Roman"/>
                <w:color w:val="000000"/>
                <w:spacing w:val="0"/>
                <w:sz w:val="24"/>
                <w:szCs w:val="24"/>
                <w:lang w:val="en-US" w:eastAsia="zh-CN"/>
              </w:rPr>
              <w:t>。</w:t>
            </w:r>
            <w:r>
              <w:rPr>
                <w:rFonts w:hint="default" w:ascii="Times New Roman" w:hAnsi="Times New Roman" w:eastAsia="宋体" w:cs="Times New Roman"/>
                <w:color w:val="000000"/>
                <w:kern w:val="2"/>
                <w:sz w:val="24"/>
                <w:szCs w:val="24"/>
                <w:highlight w:val="none"/>
                <w:lang w:val="en-US" w:eastAsia="zh-CN" w:bidi="ar-SA"/>
              </w:rPr>
              <w:t>预计</w:t>
            </w:r>
            <w:r>
              <w:rPr>
                <w:rFonts w:hint="eastAsia" w:cs="Times New Roman"/>
                <w:color w:val="000000" w:themeColor="text1"/>
                <w:szCs w:val="21"/>
                <w:lang w:eastAsia="zh-CN"/>
                <w14:textFill>
                  <w14:solidFill>
                    <w14:schemeClr w14:val="tx1"/>
                  </w14:solidFill>
                </w14:textFill>
              </w:rPr>
              <w:t>年加工汽车零部件20万套</w:t>
            </w:r>
            <w:r>
              <w:rPr>
                <w:rFonts w:hint="default" w:ascii="Times New Roman" w:hAnsi="Times New Roman" w:eastAsia="宋体" w:cs="Times New Roman"/>
                <w:color w:val="000000"/>
                <w:kern w:val="2"/>
                <w:sz w:val="24"/>
                <w:szCs w:val="24"/>
                <w:highlight w:val="none"/>
                <w:lang w:val="en-US" w:eastAsia="zh-CN" w:bidi="ar-SA"/>
              </w:rPr>
              <w:t>。该项目于</w:t>
            </w:r>
            <w:r>
              <w:rPr>
                <w:rFonts w:hint="eastAsia" w:cs="Times New Roman"/>
                <w:color w:val="000000"/>
                <w:kern w:val="2"/>
                <w:sz w:val="24"/>
                <w:szCs w:val="24"/>
                <w:highlight w:val="none"/>
                <w:lang w:val="en-US" w:eastAsia="zh-CN" w:bidi="ar-SA"/>
              </w:rPr>
              <w:t>2025年11月6日</w:t>
            </w:r>
            <w:r>
              <w:rPr>
                <w:rFonts w:hint="default" w:ascii="Times New Roman" w:hAnsi="Times New Roman" w:eastAsia="宋体" w:cs="Times New Roman"/>
                <w:color w:val="000000"/>
                <w:kern w:val="2"/>
                <w:sz w:val="24"/>
                <w:szCs w:val="24"/>
                <w:highlight w:val="none"/>
                <w:lang w:val="en-US" w:eastAsia="zh-CN" w:bidi="ar-SA"/>
              </w:rPr>
              <w:t>通过了福清市发展和改革局的备案(</w:t>
            </w:r>
            <w:r>
              <w:rPr>
                <w:rFonts w:hint="eastAsia" w:cs="Times New Roman"/>
                <w:color w:val="000000"/>
                <w:kern w:val="2"/>
                <w:sz w:val="24"/>
                <w:szCs w:val="24"/>
                <w:highlight w:val="none"/>
                <w:lang w:val="en-US" w:eastAsia="zh-CN" w:bidi="ar-SA"/>
              </w:rPr>
              <w:t>闽发改外备[2025]A060019号</w:t>
            </w:r>
            <w:r>
              <w:rPr>
                <w:rFonts w:hint="default" w:ascii="Times New Roman" w:hAnsi="Times New Roman" w:eastAsia="宋体" w:cs="Times New Roman"/>
                <w:color w:val="000000"/>
                <w:kern w:val="2"/>
                <w:sz w:val="24"/>
                <w:szCs w:val="24"/>
                <w:highlight w:val="none"/>
                <w:lang w:val="en-US" w:eastAsia="zh-CN" w:bidi="ar-SA"/>
              </w:rPr>
              <w:t>，附件</w:t>
            </w:r>
            <w:r>
              <w:rPr>
                <w:rFonts w:hint="eastAsia" w:cs="Times New Roman"/>
                <w:color w:val="000000"/>
                <w:kern w:val="2"/>
                <w:sz w:val="24"/>
                <w:szCs w:val="24"/>
                <w:highlight w:val="none"/>
                <w:lang w:val="en-US" w:eastAsia="zh-CN" w:bidi="ar-SA"/>
              </w:rPr>
              <w:t>三</w:t>
            </w:r>
            <w:r>
              <w:rPr>
                <w:rFonts w:hint="default" w:ascii="Times New Roman" w:hAnsi="Times New Roman" w:eastAsia="宋体" w:cs="Times New Roman"/>
                <w:color w:val="000000"/>
                <w:kern w:val="2"/>
                <w:sz w:val="24"/>
                <w:szCs w:val="24"/>
                <w:highlight w:val="none"/>
                <w:lang w:val="en-US" w:eastAsia="zh-CN" w:bidi="ar-SA"/>
              </w:rPr>
              <w:t>)。</w:t>
            </w:r>
          </w:p>
          <w:p w14:paraId="621A06B4">
            <w:pPr>
              <w:pStyle w:val="7"/>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根据《中华人民共和国环境保护法》(2015年)、《中华人民共和国环境影响评价法》(2018年修正)、《建设项目环境保护管理条例》(2017年)的相关规定，项目需要办理环境影响评价手续；根据《建设项目环境影响评价分类管理名录》(2021年版)规定，</w:t>
            </w:r>
            <w:r>
              <w:rPr>
                <w:rFonts w:hint="default" w:ascii="Times New Roman" w:hAnsi="Times New Roman" w:cs="Times New Roman"/>
                <w:color w:val="auto"/>
                <w:sz w:val="24"/>
                <w:lang w:eastAsia="zh-CN"/>
              </w:rPr>
              <w:t>本项目主要从事</w:t>
            </w:r>
            <w:r>
              <w:rPr>
                <w:rFonts w:hint="eastAsia" w:cs="Times New Roman"/>
                <w:color w:val="auto"/>
                <w:sz w:val="24"/>
                <w:lang w:eastAsia="zh-CN"/>
              </w:rPr>
              <w:t>汽车零部件生产加工，属于</w:t>
            </w:r>
            <w:r>
              <w:rPr>
                <w:rFonts w:hint="default" w:ascii="Times New Roman" w:hAnsi="Times New Roman" w:eastAsia="宋体" w:cs="Times New Roman"/>
                <w:color w:val="auto"/>
                <w:sz w:val="24"/>
                <w:lang w:val="en-US" w:eastAsia="zh-CN"/>
              </w:rPr>
              <w:t>C3670 汽车零部件及配件制造；</w:t>
            </w:r>
            <w:r>
              <w:rPr>
                <w:rFonts w:hint="default" w:ascii="Times New Roman" w:hAnsi="Times New Roman" w:cs="Times New Roman"/>
                <w:color w:val="auto"/>
                <w:sz w:val="24"/>
              </w:rPr>
              <w:t>环评类别为环境影响报告表，详见表2</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r>
              <w:rPr>
                <w:rFonts w:hint="eastAsia" w:cs="Times New Roman"/>
                <w:color w:val="auto"/>
                <w:sz w:val="24"/>
                <w:lang w:val="en-US" w:eastAsia="zh-CN"/>
              </w:rPr>
              <w:t>1</w:t>
            </w:r>
            <w:r>
              <w:rPr>
                <w:rFonts w:hint="default" w:ascii="Times New Roman" w:hAnsi="Times New Roman" w:cs="Times New Roman"/>
                <w:color w:val="auto"/>
                <w:sz w:val="24"/>
              </w:rPr>
              <w:t>。为此，建设单位委托</w:t>
            </w:r>
            <w:r>
              <w:rPr>
                <w:rFonts w:hint="default" w:ascii="Times New Roman" w:hAnsi="Times New Roman" w:cs="Times New Roman"/>
                <w:color w:val="auto"/>
                <w:sz w:val="24"/>
                <w:lang w:eastAsia="zh-CN"/>
              </w:rPr>
              <w:t>福建中森亚环保科技有限公司</w:t>
            </w:r>
            <w:r>
              <w:rPr>
                <w:rFonts w:hint="default" w:ascii="Times New Roman" w:hAnsi="Times New Roman" w:cs="Times New Roman"/>
                <w:color w:val="auto"/>
                <w:sz w:val="24"/>
              </w:rPr>
              <w:t>编制该项目的环境影响报告表(委托书详见</w:t>
            </w:r>
            <w:r>
              <w:rPr>
                <w:rFonts w:hint="default" w:ascii="Times New Roman" w:hAnsi="Times New Roman" w:cs="Times New Roman"/>
                <w:b w:val="0"/>
                <w:bCs w:val="0"/>
                <w:color w:val="auto"/>
                <w:sz w:val="24"/>
              </w:rPr>
              <w:t>附件一</w:t>
            </w:r>
            <w:r>
              <w:rPr>
                <w:rFonts w:hint="default" w:ascii="Times New Roman" w:hAnsi="Times New Roman" w:cs="Times New Roman"/>
                <w:color w:val="auto"/>
                <w:sz w:val="24"/>
              </w:rPr>
              <w:t>)。本环评单位接受委托后，立即派技术人员踏勘现场和收集有关资料，按照《建设项目环境影响报告表编制技术指南(污染影响类)》(试行)及相关技术规范要求，因为项目原料</w:t>
            </w:r>
            <w:r>
              <w:rPr>
                <w:rFonts w:hint="default" w:ascii="Times New Roman" w:hAnsi="Times New Roman" w:cs="Times New Roman"/>
                <w:color w:val="auto"/>
                <w:sz w:val="24"/>
                <w:lang w:eastAsia="zh-CN"/>
              </w:rPr>
              <w:t>不涉及再生塑料</w:t>
            </w:r>
            <w:r>
              <w:rPr>
                <w:rFonts w:hint="default" w:ascii="Times New Roman" w:hAnsi="Times New Roman" w:cs="Times New Roman"/>
                <w:color w:val="auto"/>
                <w:sz w:val="24"/>
              </w:rPr>
              <w:t>的使用，应</w:t>
            </w:r>
            <w:r>
              <w:rPr>
                <w:rFonts w:hint="default" w:ascii="Times New Roman" w:hAnsi="Times New Roman" w:cs="Times New Roman"/>
                <w:color w:val="auto"/>
                <w:kern w:val="0"/>
                <w:sz w:val="24"/>
              </w:rPr>
              <w:t>编制环境影响报告表，供建设单位上报生态环境行政主管部门审批。</w:t>
            </w:r>
          </w:p>
          <w:p w14:paraId="5369C3E2">
            <w:pPr>
              <w:pStyle w:val="46"/>
              <w:bidi w:val="0"/>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r>
              <w:rPr>
                <w:rFonts w:hint="eastAsia" w:cs="Times New Roman"/>
                <w:color w:val="auto"/>
                <w:lang w:val="en-US" w:eastAsia="zh-CN"/>
              </w:rPr>
              <w:t>1</w:t>
            </w:r>
            <w:r>
              <w:rPr>
                <w:rFonts w:hint="default" w:ascii="Times New Roman" w:hAnsi="Times New Roman" w:cs="Times New Roman"/>
                <w:color w:val="auto"/>
              </w:rPr>
              <w:t xml:space="preserve">  建设项目环境影响评价分类管理名录(摘录)</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993"/>
              <w:gridCol w:w="2817"/>
              <w:gridCol w:w="2109"/>
              <w:gridCol w:w="896"/>
            </w:tblGrid>
            <w:tr w14:paraId="16429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gridSpan w:val="2"/>
                  <w:tcBorders>
                    <w:tl2br w:val="single" w:color="auto" w:sz="4" w:space="0"/>
                  </w:tcBorders>
                  <w:shd w:val="clear" w:color="auto" w:fill="auto"/>
                  <w:noWrap w:val="0"/>
                  <w:vAlign w:val="top"/>
                </w:tcPr>
                <w:p w14:paraId="3FF8D62F">
                  <w:pPr>
                    <w:pStyle w:val="47"/>
                    <w:bidi w:val="0"/>
                    <w:jc w:val="right"/>
                    <w:rPr>
                      <w:rFonts w:hint="default" w:ascii="Times New Roman" w:hAnsi="Times New Roman" w:cs="Times New Roman"/>
                      <w:color w:val="auto"/>
                    </w:rPr>
                  </w:pPr>
                  <w:r>
                    <w:rPr>
                      <w:rFonts w:hint="default" w:ascii="Times New Roman" w:hAnsi="Times New Roman" w:cs="Times New Roman"/>
                      <w:color w:val="auto"/>
                    </w:rPr>
                    <w:t xml:space="preserve">       环评类别</w:t>
                  </w:r>
                </w:p>
                <w:p w14:paraId="3D11B44B">
                  <w:pPr>
                    <w:pStyle w:val="47"/>
                    <w:bidi w:val="0"/>
                    <w:jc w:val="left"/>
                    <w:rPr>
                      <w:rFonts w:hint="default" w:ascii="Times New Roman" w:hAnsi="Times New Roman" w:cs="Times New Roman"/>
                      <w:color w:val="auto"/>
                    </w:rPr>
                  </w:pPr>
                  <w:r>
                    <w:rPr>
                      <w:rFonts w:hint="default" w:ascii="Times New Roman" w:hAnsi="Times New Roman" w:cs="Times New Roman"/>
                      <w:color w:val="auto"/>
                    </w:rPr>
                    <w:t>项目类别</w:t>
                  </w:r>
                </w:p>
              </w:tc>
              <w:tc>
                <w:tcPr>
                  <w:tcW w:w="1692" w:type="pct"/>
                  <w:shd w:val="clear" w:color="auto" w:fill="auto"/>
                  <w:noWrap w:val="0"/>
                  <w:vAlign w:val="center"/>
                </w:tcPr>
                <w:p w14:paraId="73A1255B">
                  <w:pPr>
                    <w:pStyle w:val="47"/>
                    <w:bidi w:val="0"/>
                    <w:rPr>
                      <w:rFonts w:hint="default" w:ascii="Times New Roman" w:hAnsi="Times New Roman" w:cs="Times New Roman"/>
                      <w:color w:val="auto"/>
                    </w:rPr>
                  </w:pPr>
                  <w:r>
                    <w:rPr>
                      <w:rFonts w:hint="default" w:ascii="Times New Roman" w:hAnsi="Times New Roman" w:cs="Times New Roman"/>
                      <w:color w:val="auto"/>
                    </w:rPr>
                    <w:t>报告书</w:t>
                  </w:r>
                </w:p>
              </w:tc>
              <w:tc>
                <w:tcPr>
                  <w:tcW w:w="1267" w:type="pct"/>
                  <w:shd w:val="clear" w:color="auto" w:fill="D7D7D7"/>
                  <w:noWrap w:val="0"/>
                  <w:vAlign w:val="center"/>
                </w:tcPr>
                <w:p w14:paraId="4C44EF48">
                  <w:pPr>
                    <w:pStyle w:val="47"/>
                    <w:bidi w:val="0"/>
                    <w:rPr>
                      <w:rFonts w:hint="default" w:ascii="Times New Roman" w:hAnsi="Times New Roman" w:cs="Times New Roman"/>
                      <w:color w:val="auto"/>
                    </w:rPr>
                  </w:pPr>
                  <w:r>
                    <w:rPr>
                      <w:rFonts w:hint="default" w:ascii="Times New Roman" w:hAnsi="Times New Roman" w:cs="Times New Roman"/>
                      <w:color w:val="auto"/>
                    </w:rPr>
                    <w:t>报告表</w:t>
                  </w:r>
                </w:p>
              </w:tc>
              <w:tc>
                <w:tcPr>
                  <w:tcW w:w="536" w:type="pct"/>
                  <w:noWrap w:val="0"/>
                  <w:vAlign w:val="center"/>
                </w:tcPr>
                <w:p w14:paraId="7BE0CCDA">
                  <w:pPr>
                    <w:pStyle w:val="47"/>
                    <w:bidi w:val="0"/>
                    <w:rPr>
                      <w:rFonts w:hint="default" w:ascii="Times New Roman" w:hAnsi="Times New Roman" w:cs="Times New Roman"/>
                      <w:color w:val="auto"/>
                    </w:rPr>
                  </w:pPr>
                  <w:r>
                    <w:rPr>
                      <w:rFonts w:hint="default" w:ascii="Times New Roman" w:hAnsi="Times New Roman" w:cs="Times New Roman"/>
                      <w:color w:val="auto"/>
                    </w:rPr>
                    <w:t>登记表</w:t>
                  </w:r>
                </w:p>
              </w:tc>
            </w:tr>
            <w:tr w14:paraId="7B24C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shd w:val="clear" w:color="auto" w:fill="D7D7D7"/>
                  <w:noWrap w:val="0"/>
                  <w:vAlign w:val="center"/>
                </w:tcPr>
                <w:p w14:paraId="1E26EF8B">
                  <w:pPr>
                    <w:pStyle w:val="47"/>
                    <w:bidi w:val="0"/>
                    <w:jc w:val="both"/>
                    <w:rPr>
                      <w:rFonts w:hint="default" w:ascii="Times New Roman" w:hAnsi="Times New Roman" w:cs="Times New Roman"/>
                      <w:color w:val="auto"/>
                    </w:rPr>
                  </w:pPr>
                  <w:r>
                    <w:rPr>
                      <w:rFonts w:hint="default" w:ascii="Times New Roman" w:hAnsi="Times New Roman" w:cs="Times New Roman"/>
                      <w:color w:val="auto"/>
                    </w:rPr>
                    <w:t>三十三、汽车制造业 36</w:t>
                  </w:r>
                </w:p>
              </w:tc>
            </w:tr>
            <w:tr w14:paraId="59C97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6" w:type="pct"/>
                  <w:shd w:val="clear" w:color="auto" w:fill="auto"/>
                  <w:noWrap w:val="0"/>
                  <w:vAlign w:val="center"/>
                </w:tcPr>
                <w:p w14:paraId="11BA72F6">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71</w:t>
                  </w:r>
                </w:p>
              </w:tc>
              <w:tc>
                <w:tcPr>
                  <w:tcW w:w="1196" w:type="pct"/>
                  <w:shd w:val="clear" w:color="auto" w:fill="auto"/>
                  <w:noWrap w:val="0"/>
                  <w:vAlign w:val="center"/>
                </w:tcPr>
                <w:p w14:paraId="3F61B110">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汽车零部件及配件制造367</w:t>
                  </w:r>
                </w:p>
              </w:tc>
              <w:tc>
                <w:tcPr>
                  <w:tcW w:w="1692" w:type="pct"/>
                  <w:shd w:val="clear" w:color="auto" w:fill="auto"/>
                  <w:noWrap w:val="0"/>
                  <w:vAlign w:val="center"/>
                </w:tcPr>
                <w:p w14:paraId="1F434C07">
                  <w:pPr>
                    <w:pStyle w:val="4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汽车整车制造(仅组装的除外)</w:t>
                  </w:r>
                  <w:r>
                    <w:rPr>
                      <w:rFonts w:hint="default" w:ascii="Times New Roman" w:hAnsi="Times New Roman" w:cs="Times New Roman"/>
                      <w:color w:val="auto"/>
                      <w:lang w:eastAsia="zh-CN"/>
                    </w:rPr>
                    <w:t>；</w:t>
                  </w:r>
                  <w:r>
                    <w:rPr>
                      <w:rFonts w:hint="default" w:ascii="Times New Roman" w:hAnsi="Times New Roman" w:cs="Times New Roman"/>
                      <w:color w:val="auto"/>
                    </w:rPr>
                    <w:t>汽车用发动机制造(仅组装的除外)</w:t>
                  </w:r>
                  <w:r>
                    <w:rPr>
                      <w:rFonts w:hint="default" w:ascii="Times New Roman" w:hAnsi="Times New Roman" w:cs="Times New Roman"/>
                      <w:color w:val="auto"/>
                      <w:lang w:eastAsia="zh-CN"/>
                    </w:rPr>
                    <w:t>；</w:t>
                  </w:r>
                  <w:r>
                    <w:rPr>
                      <w:rFonts w:hint="default" w:ascii="Times New Roman" w:hAnsi="Times New Roman" w:cs="Times New Roman"/>
                      <w:color w:val="auto"/>
                    </w:rPr>
                    <w:t>有电镀工</w:t>
                  </w:r>
                  <w:r>
                    <w:rPr>
                      <w:rFonts w:hint="default" w:ascii="Times New Roman" w:hAnsi="Times New Roman" w:cs="Times New Roman"/>
                      <w:color w:val="auto"/>
                      <w:lang w:val="en-US" w:eastAsia="zh-CN"/>
                    </w:rPr>
                    <w:t>艺的；年用溶剂型涂料(含稀释剂)10吨及以上的</w:t>
                  </w:r>
                </w:p>
              </w:tc>
              <w:tc>
                <w:tcPr>
                  <w:tcW w:w="1267" w:type="pct"/>
                  <w:shd w:val="clear" w:color="auto" w:fill="D7D7D7"/>
                  <w:noWrap w:val="0"/>
                  <w:vAlign w:val="center"/>
                </w:tcPr>
                <w:p w14:paraId="18181028">
                  <w:pPr>
                    <w:pStyle w:val="47"/>
                    <w:bidi w:val="0"/>
                    <w:rPr>
                      <w:rFonts w:hint="default" w:ascii="Times New Roman" w:hAnsi="Times New Roman" w:cs="Times New Roman"/>
                      <w:color w:val="auto"/>
                    </w:rPr>
                  </w:pPr>
                  <w:r>
                    <w:rPr>
                      <w:rFonts w:hint="default" w:ascii="Times New Roman" w:hAnsi="Times New Roman" w:cs="Times New Roman"/>
                      <w:color w:val="auto"/>
                      <w:lang w:val="en-US" w:eastAsia="zh-CN"/>
                    </w:rPr>
                    <w:t>其他(年用非溶剂型低V0Cs含量涂料10吨以下的除外)</w:t>
                  </w:r>
                </w:p>
              </w:tc>
              <w:tc>
                <w:tcPr>
                  <w:tcW w:w="536" w:type="pct"/>
                  <w:noWrap w:val="0"/>
                  <w:vAlign w:val="center"/>
                </w:tcPr>
                <w:p w14:paraId="145293ED">
                  <w:pPr>
                    <w:pStyle w:val="47"/>
                    <w:bidi w:val="0"/>
                    <w:rPr>
                      <w:rFonts w:hint="default" w:ascii="Times New Roman" w:hAnsi="Times New Roman" w:cs="Times New Roman"/>
                      <w:color w:val="auto"/>
                    </w:rPr>
                  </w:pPr>
                  <w:r>
                    <w:rPr>
                      <w:rFonts w:hint="default" w:ascii="Times New Roman" w:hAnsi="Times New Roman" w:cs="Times New Roman"/>
                      <w:color w:val="auto"/>
                    </w:rPr>
                    <w:t>/</w:t>
                  </w:r>
                </w:p>
              </w:tc>
            </w:tr>
          </w:tbl>
          <w:p w14:paraId="36134FB4">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 工程概况</w:t>
            </w:r>
          </w:p>
          <w:p w14:paraId="2D69369D">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1</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出租方</w:t>
            </w:r>
            <w:r>
              <w:rPr>
                <w:rFonts w:hint="default" w:ascii="Times New Roman" w:hAnsi="Times New Roman" w:cs="Times New Roman"/>
                <w:color w:val="auto"/>
                <w:lang w:val="en-US" w:eastAsia="zh-CN"/>
              </w:rPr>
              <w:t>概况</w:t>
            </w:r>
          </w:p>
          <w:p w14:paraId="267439E3">
            <w:pPr>
              <w:pStyle w:val="43"/>
              <w:bidi w:val="0"/>
              <w:rPr>
                <w:rFonts w:hint="eastAsia"/>
                <w:lang w:val="en-US" w:eastAsia="zh-CN"/>
              </w:rPr>
            </w:pPr>
            <w:r>
              <w:rPr>
                <w:rFonts w:hint="default"/>
                <w:lang w:val="en-US" w:eastAsia="zh-CN"/>
              </w:rPr>
              <w:t>福州聚德电子有限公司成立于2022年11月16日</w:t>
            </w:r>
            <w:r>
              <w:rPr>
                <w:rFonts w:hint="eastAsia"/>
                <w:lang w:val="en-US" w:eastAsia="zh-CN"/>
              </w:rPr>
              <w:t>，选址于福建省福州市福清市福清融侨经济技术开发区(福清市规划部门划定的红线范围内)</w:t>
            </w:r>
            <w:r>
              <w:rPr>
                <w:rFonts w:hint="default"/>
                <w:lang w:val="en-US" w:eastAsia="zh-CN"/>
              </w:rPr>
              <w:t>作为</w:t>
            </w:r>
            <w:r>
              <w:rPr>
                <w:rFonts w:hint="eastAsia"/>
                <w:lang w:val="en-US" w:eastAsia="zh-CN"/>
              </w:rPr>
              <w:t>生产经营场所</w:t>
            </w:r>
            <w:r>
              <w:rPr>
                <w:rFonts w:hint="default"/>
                <w:lang w:val="en-US" w:eastAsia="zh-CN"/>
              </w:rPr>
              <w:t>，占地面积：8925平方米，</w:t>
            </w:r>
            <w:r>
              <w:rPr>
                <w:rFonts w:hint="eastAsia"/>
                <w:lang w:val="en-US" w:eastAsia="zh-CN"/>
              </w:rPr>
              <w:t>建设1号厂房，综合楼、宿舍楼等，</w:t>
            </w:r>
            <w:r>
              <w:rPr>
                <w:rFonts w:hint="default"/>
                <w:lang w:val="en-US" w:eastAsia="zh-CN"/>
              </w:rPr>
              <w:t>总建筑面积：18702.85平方米</w:t>
            </w:r>
            <w:r>
              <w:rPr>
                <w:rFonts w:hint="eastAsia"/>
                <w:lang w:val="en-US" w:eastAsia="zh-CN"/>
              </w:rPr>
              <w:t>，2024年12委托福建中森亚环保科技有限公司编制了《福州聚德电子有限公司年</w:t>
            </w:r>
            <w:r>
              <w:rPr>
                <w:rFonts w:hint="default"/>
                <w:lang w:val="en-US" w:eastAsia="zh-CN"/>
              </w:rPr>
              <w:t>产2000万个显示器塑料外壳、年组装20万套抖音直播无线麦克风、年加工汽车内外饰件15万套</w:t>
            </w:r>
            <w:r>
              <w:rPr>
                <w:rFonts w:hint="eastAsia"/>
                <w:lang w:val="en-US" w:eastAsia="zh-CN"/>
              </w:rPr>
              <w:t>项目环境影响报告表》，该项目于2025年8月14日取得福州市福清生态环境局批复（榕融环评〔2025〕66号）。</w:t>
            </w:r>
          </w:p>
          <w:p w14:paraId="38AE0592">
            <w:pPr>
              <w:pStyle w:val="43"/>
              <w:bidi w:val="0"/>
              <w:rPr>
                <w:rFonts w:hint="default"/>
                <w:lang w:val="en-US" w:eastAsia="zh-CN"/>
              </w:rPr>
            </w:pPr>
            <w:r>
              <w:rPr>
                <w:rFonts w:hint="eastAsia"/>
                <w:lang w:val="en-US" w:eastAsia="zh-CN"/>
              </w:rPr>
              <w:t>经现场调查，</w:t>
            </w:r>
            <w:r>
              <w:rPr>
                <w:rFonts w:hint="default"/>
                <w:lang w:val="en-US" w:eastAsia="zh-CN"/>
              </w:rPr>
              <w:t>福州聚德电子有限公司</w:t>
            </w:r>
            <w:r>
              <w:rPr>
                <w:rFonts w:hint="eastAsia"/>
                <w:lang w:val="en-US" w:eastAsia="zh-CN"/>
              </w:rPr>
              <w:t>目前仅1号厂房1层注塑生产线投入使用，1号厂房其余楼层暂时作为仓库使用，为了提高厂房利用率，聚德电子将1号厂房3层北侧2000㎡租赁给本项目作为汽车零部件加工场所。</w:t>
            </w:r>
            <w:r>
              <w:rPr>
                <w:rFonts w:hint="eastAsia"/>
              </w:rPr>
              <w:t>该厂区内未建设</w:t>
            </w:r>
            <w:r>
              <w:rPr>
                <w:rFonts w:hint="eastAsia"/>
                <w:lang w:eastAsia="zh-CN"/>
              </w:rPr>
              <w:t>废气环保</w:t>
            </w:r>
            <w:r>
              <w:rPr>
                <w:rFonts w:hint="eastAsia"/>
              </w:rPr>
              <w:t>设施</w:t>
            </w:r>
            <w:r>
              <w:rPr>
                <w:rFonts w:hint="eastAsia"/>
                <w:lang w:eastAsia="zh-CN"/>
              </w:rPr>
              <w:t>可供本项目使用</w:t>
            </w:r>
            <w:r>
              <w:rPr>
                <w:rFonts w:hint="eastAsia"/>
              </w:rPr>
              <w:t>，本项目可依托的设施主要为</w:t>
            </w:r>
            <w:r>
              <w:rPr>
                <w:rFonts w:hint="default"/>
                <w:lang w:val="en-US" w:eastAsia="zh-CN"/>
              </w:rPr>
              <w:t>福州聚德电子有限公司</w:t>
            </w:r>
            <w:r>
              <w:rPr>
                <w:rFonts w:hint="eastAsia"/>
              </w:rPr>
              <w:t>厂区内的</w:t>
            </w:r>
            <w:r>
              <w:rPr>
                <w:rFonts w:hint="eastAsia"/>
                <w:lang w:eastAsia="zh-CN"/>
              </w:rPr>
              <w:t>化粪池、</w:t>
            </w:r>
            <w:r>
              <w:rPr>
                <w:rFonts w:hint="eastAsia"/>
              </w:rPr>
              <w:t>给水管网、排水管网、供电管网及消防等公用工程设施。</w:t>
            </w:r>
          </w:p>
          <w:p w14:paraId="3D866BA4">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2</w:t>
            </w:r>
            <w:r>
              <w:rPr>
                <w:rFonts w:hint="default" w:ascii="Times New Roman" w:hAnsi="Times New Roman" w:cs="Times New Roman"/>
                <w:color w:val="auto"/>
                <w:lang w:val="en-US" w:eastAsia="zh-CN"/>
              </w:rPr>
              <w:t xml:space="preserve"> 项目基本概况</w:t>
            </w:r>
          </w:p>
          <w:p w14:paraId="4DCE971F">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)项目名称：</w:t>
            </w:r>
            <w:r>
              <w:rPr>
                <w:rFonts w:hint="eastAsia" w:cs="Times New Roman"/>
                <w:color w:val="auto"/>
                <w:lang w:val="en-US" w:eastAsia="zh-CN"/>
              </w:rPr>
              <w:t>格拉默车辆内饰（合肥）有限公司福州分公司年加工汽车零部件20万套</w:t>
            </w:r>
          </w:p>
          <w:p w14:paraId="1C658FD8">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)建设单位：</w:t>
            </w:r>
            <w:r>
              <w:rPr>
                <w:rFonts w:hint="eastAsia" w:cs="Times New Roman"/>
                <w:color w:val="auto"/>
                <w:lang w:eastAsia="zh-CN"/>
              </w:rPr>
              <w:t>格拉默车辆内饰（合肥）有限公司福州分公司</w:t>
            </w:r>
          </w:p>
          <w:p w14:paraId="6F989F34">
            <w:pPr>
              <w:pStyle w:val="40"/>
              <w:bidi w:val="0"/>
              <w:rPr>
                <w:rFonts w:hint="default" w:ascii="Times New Roman" w:hAnsi="Times New Roman" w:eastAsia="宋体" w:cs="Times New Roman"/>
                <w:color w:val="000000"/>
                <w:lang w:eastAsia="zh-CN"/>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3</w:t>
            </w:r>
            <w:r>
              <w:rPr>
                <w:rFonts w:hint="default" w:ascii="Times New Roman" w:hAnsi="Times New Roman" w:cs="Times New Roman"/>
                <w:color w:val="000000"/>
              </w:rPr>
              <w:t>)建设地点：</w:t>
            </w:r>
            <w:r>
              <w:rPr>
                <w:rFonts w:hint="eastAsia" w:cs="Times New Roman"/>
                <w:color w:val="000000"/>
                <w:lang w:eastAsia="zh-CN"/>
              </w:rPr>
              <w:t>福建省福州市福清市石竹街道融侨开发区（租赁福州聚德电子有限公司1号厂房三层）</w:t>
            </w:r>
          </w:p>
          <w:p w14:paraId="3C35AE00">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eastAsia="zh-CN"/>
              </w:rPr>
              <w:t>建设性质：新建</w:t>
            </w:r>
          </w:p>
          <w:p w14:paraId="20462AC5">
            <w:pPr>
              <w:pStyle w:val="40"/>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)企业性质：</w:t>
            </w:r>
            <w:r>
              <w:rPr>
                <w:rFonts w:hint="eastAsia" w:cs="Times New Roman"/>
                <w:color w:val="auto"/>
                <w:lang w:eastAsia="zh-CN"/>
              </w:rPr>
              <w:t>外</w:t>
            </w:r>
            <w:r>
              <w:rPr>
                <w:rFonts w:hint="default" w:ascii="Times New Roman" w:hAnsi="Times New Roman" w:cs="Times New Roman"/>
                <w:color w:val="auto"/>
              </w:rPr>
              <w:t>资企业</w:t>
            </w:r>
          </w:p>
          <w:p w14:paraId="7526F5BE">
            <w:pPr>
              <w:pStyle w:val="40"/>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)项目总投资：</w:t>
            </w:r>
            <w:r>
              <w:rPr>
                <w:rFonts w:hint="eastAsia" w:cs="Times New Roman"/>
                <w:color w:val="auto"/>
                <w:lang w:val="en-US" w:eastAsia="zh-CN"/>
              </w:rPr>
              <w:t>630万元</w:t>
            </w:r>
          </w:p>
          <w:p w14:paraId="18EB0E80">
            <w:pPr>
              <w:pStyle w:val="4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)建设规模</w:t>
            </w:r>
            <w:r>
              <w:rPr>
                <w:rFonts w:hint="default" w:ascii="Times New Roman" w:hAnsi="Times New Roman" w:cs="Times New Roman"/>
                <w:color w:val="auto"/>
                <w:lang w:eastAsia="zh-CN"/>
              </w:rPr>
              <w:t>及内容</w:t>
            </w:r>
            <w:r>
              <w:rPr>
                <w:rFonts w:hint="default" w:ascii="Times New Roman" w:hAnsi="Times New Roman" w:cs="Times New Roman"/>
                <w:color w:val="auto"/>
              </w:rPr>
              <w:t>：</w:t>
            </w:r>
            <w:r>
              <w:rPr>
                <w:rFonts w:hint="eastAsia" w:cs="Times New Roman"/>
                <w:color w:val="auto"/>
                <w:lang w:eastAsia="zh-CN"/>
              </w:rPr>
              <w:t>租赁厂房面积</w:t>
            </w:r>
            <w:r>
              <w:rPr>
                <w:rFonts w:hint="eastAsia" w:cs="Times New Roman"/>
                <w:color w:val="auto"/>
                <w:lang w:val="en-US" w:eastAsia="zh-CN"/>
              </w:rPr>
              <w:t>2000㎡</w:t>
            </w:r>
          </w:p>
          <w:p w14:paraId="284B8633">
            <w:pPr>
              <w:pStyle w:val="40"/>
              <w:bidi w:val="0"/>
              <w:rPr>
                <w:rFonts w:hint="eastAsia" w:ascii="Times New Roman" w:hAnsi="Times New Roman" w:eastAsia="宋体"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8</w:t>
            </w:r>
            <w:r>
              <w:rPr>
                <w:rFonts w:hint="default" w:ascii="Times New Roman" w:hAnsi="Times New Roman" w:cs="Times New Roman"/>
                <w:color w:val="auto"/>
              </w:rPr>
              <w:t>)生产规模：</w:t>
            </w:r>
            <w:r>
              <w:rPr>
                <w:rFonts w:hint="eastAsia" w:cs="Times New Roman"/>
                <w:color w:val="auto"/>
                <w:lang w:eastAsia="zh-CN"/>
              </w:rPr>
              <w:t>年加工汽车零部件20万套</w:t>
            </w:r>
          </w:p>
          <w:p w14:paraId="0C106E97">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9</w:t>
            </w:r>
            <w:r>
              <w:rPr>
                <w:rFonts w:hint="default" w:ascii="Times New Roman" w:hAnsi="Times New Roman" w:cs="Times New Roman"/>
                <w:color w:val="auto"/>
              </w:rPr>
              <w:t>)职工人数：职工人数</w:t>
            </w:r>
            <w:r>
              <w:rPr>
                <w:rFonts w:hint="eastAsia" w:cs="Times New Roman"/>
                <w:color w:val="auto"/>
                <w:lang w:val="en-US" w:eastAsia="zh-CN"/>
              </w:rPr>
              <w:t>69</w:t>
            </w:r>
            <w:r>
              <w:rPr>
                <w:rFonts w:hint="default" w:ascii="Times New Roman" w:hAnsi="Times New Roman" w:cs="Times New Roman"/>
                <w:color w:val="auto"/>
              </w:rPr>
              <w:t>人</w:t>
            </w:r>
          </w:p>
          <w:p w14:paraId="501B420D">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10</w:t>
            </w:r>
            <w:r>
              <w:rPr>
                <w:rFonts w:hint="default" w:ascii="Times New Roman" w:hAnsi="Times New Roman" w:cs="Times New Roman"/>
                <w:color w:val="auto"/>
              </w:rPr>
              <w:t>)工作制度：年工作日</w:t>
            </w:r>
            <w:r>
              <w:rPr>
                <w:rFonts w:hint="default" w:ascii="Times New Roman" w:hAnsi="Times New Roman" w:cs="Times New Roman"/>
                <w:color w:val="auto"/>
                <w:lang w:val="en-US" w:eastAsia="zh-CN"/>
              </w:rPr>
              <w:t>300</w:t>
            </w:r>
            <w:r>
              <w:rPr>
                <w:rFonts w:hint="default" w:ascii="Times New Roman" w:hAnsi="Times New Roman" w:cs="Times New Roman"/>
                <w:color w:val="auto"/>
              </w:rPr>
              <w:t>天，</w:t>
            </w:r>
            <w:r>
              <w:rPr>
                <w:rFonts w:hint="eastAsia" w:cs="Times New Roman"/>
                <w:color w:val="auto"/>
                <w:lang w:val="en-US" w:eastAsia="zh-CN"/>
              </w:rPr>
              <w:t>双</w:t>
            </w:r>
            <w:r>
              <w:rPr>
                <w:rFonts w:hint="default" w:ascii="Times New Roman" w:hAnsi="Times New Roman" w:cs="Times New Roman"/>
                <w:color w:val="auto"/>
                <w:lang w:eastAsia="zh-CN"/>
              </w:rPr>
              <w:t>班制，每班</w:t>
            </w:r>
            <w:r>
              <w:rPr>
                <w:rFonts w:hint="eastAsia" w:cs="Times New Roman"/>
                <w:color w:val="auto"/>
                <w:lang w:val="en-US" w:eastAsia="zh-CN"/>
              </w:rPr>
              <w:t>8</w:t>
            </w:r>
            <w:r>
              <w:rPr>
                <w:rFonts w:hint="default" w:ascii="Times New Roman" w:hAnsi="Times New Roman" w:cs="Times New Roman"/>
                <w:color w:val="auto"/>
                <w:lang w:val="en-US" w:eastAsia="zh-CN"/>
              </w:rPr>
              <w:t>h</w:t>
            </w:r>
            <w:r>
              <w:rPr>
                <w:rFonts w:hint="eastAsia" w:cs="Times New Roman"/>
                <w:color w:val="auto"/>
                <w:lang w:val="en-US" w:eastAsia="zh-CN"/>
              </w:rPr>
              <w:t>，工作时间为8:30~20:30</w:t>
            </w:r>
            <w:r>
              <w:rPr>
                <w:rFonts w:hint="default" w:ascii="Times New Roman" w:hAnsi="Times New Roman" w:cs="Times New Roman"/>
                <w:color w:val="auto"/>
                <w:lang w:val="en-US" w:eastAsia="zh-CN"/>
              </w:rPr>
              <w:t>夜间不生产</w:t>
            </w:r>
          </w:p>
          <w:p w14:paraId="74E73773">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3</w:t>
            </w:r>
            <w:r>
              <w:rPr>
                <w:rFonts w:hint="default" w:ascii="Times New Roman" w:hAnsi="Times New Roman" w:cs="Times New Roman"/>
                <w:color w:val="auto"/>
                <w:lang w:val="en-US" w:eastAsia="zh-CN"/>
              </w:rPr>
              <w:t xml:space="preserve"> 项目产品方案</w:t>
            </w:r>
          </w:p>
          <w:p w14:paraId="0A332432">
            <w:pPr>
              <w:pStyle w:val="22"/>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根据建设单位提供资料，</w:t>
            </w:r>
            <w:r>
              <w:rPr>
                <w:rFonts w:hint="default" w:ascii="Times New Roman" w:hAnsi="Times New Roman" w:cs="Times New Roman"/>
                <w:color w:val="auto"/>
                <w:kern w:val="2"/>
              </w:rPr>
              <w:t>本项目具体产品方案详见表2.2-1。</w:t>
            </w:r>
          </w:p>
          <w:p w14:paraId="65E5C69D">
            <w:pPr>
              <w:pStyle w:val="46"/>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-1  本项目产品方案说明表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787"/>
              <w:gridCol w:w="1903"/>
              <w:gridCol w:w="1560"/>
              <w:gridCol w:w="4073"/>
            </w:tblGrid>
            <w:tr w14:paraId="051A8F0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473" w:type="pct"/>
                  <w:tcBorders>
                    <w:tl2br w:val="nil"/>
                    <w:tr2bl w:val="nil"/>
                  </w:tcBorders>
                  <w:noWrap w:val="0"/>
                  <w:vAlign w:val="center"/>
                </w:tcPr>
                <w:p w14:paraId="03D7F573">
                  <w:pPr>
                    <w:pStyle w:val="47"/>
                    <w:bidi w:val="0"/>
                    <w:rPr>
                      <w:rFonts w:hint="default" w:ascii="Times New Roman" w:hAnsi="Times New Roman" w:cs="Times New Roman"/>
                      <w:color w:val="auto"/>
                    </w:rPr>
                  </w:pPr>
                  <w:r>
                    <w:rPr>
                      <w:rFonts w:hint="default" w:ascii="Times New Roman" w:hAnsi="Times New Roman" w:cs="Times New Roman"/>
                      <w:color w:val="auto"/>
                    </w:rPr>
                    <w:t>序号</w:t>
                  </w:r>
                </w:p>
              </w:tc>
              <w:tc>
                <w:tcPr>
                  <w:tcW w:w="1143" w:type="pct"/>
                  <w:tcBorders>
                    <w:tl2br w:val="nil"/>
                    <w:tr2bl w:val="nil"/>
                  </w:tcBorders>
                  <w:noWrap w:val="0"/>
                  <w:vAlign w:val="center"/>
                </w:tcPr>
                <w:p w14:paraId="59EA2633">
                  <w:pPr>
                    <w:pStyle w:val="47"/>
                    <w:bidi w:val="0"/>
                    <w:rPr>
                      <w:rFonts w:hint="default" w:ascii="Times New Roman" w:hAnsi="Times New Roman" w:cs="Times New Roman"/>
                      <w:color w:val="auto"/>
                    </w:rPr>
                  </w:pPr>
                  <w:r>
                    <w:rPr>
                      <w:rFonts w:hint="default" w:ascii="Times New Roman" w:hAnsi="Times New Roman" w:cs="Times New Roman"/>
                      <w:color w:val="auto"/>
                    </w:rPr>
                    <w:t>产品名称</w:t>
                  </w:r>
                </w:p>
              </w:tc>
              <w:tc>
                <w:tcPr>
                  <w:tcW w:w="937" w:type="pct"/>
                  <w:tcBorders>
                    <w:tl2br w:val="nil"/>
                    <w:tr2bl w:val="nil"/>
                  </w:tcBorders>
                  <w:noWrap w:val="0"/>
                  <w:vAlign w:val="center"/>
                </w:tcPr>
                <w:p w14:paraId="7BDE5598">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产品产量</w:t>
                  </w:r>
                </w:p>
              </w:tc>
              <w:tc>
                <w:tcPr>
                  <w:tcW w:w="2446" w:type="pct"/>
                  <w:tcBorders>
                    <w:tl2br w:val="nil"/>
                    <w:tr2bl w:val="nil"/>
                  </w:tcBorders>
                  <w:noWrap w:val="0"/>
                  <w:vAlign w:val="center"/>
                </w:tcPr>
                <w:p w14:paraId="563F119C">
                  <w:pPr>
                    <w:pStyle w:val="47"/>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备注</w:t>
                  </w:r>
                </w:p>
              </w:tc>
            </w:tr>
            <w:tr w14:paraId="2FF6D94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75" w:hRule="atLeast"/>
                <w:jc w:val="center"/>
              </w:trPr>
              <w:tc>
                <w:tcPr>
                  <w:tcW w:w="473" w:type="pct"/>
                  <w:tcBorders>
                    <w:tl2br w:val="nil"/>
                    <w:tr2bl w:val="nil"/>
                  </w:tcBorders>
                  <w:noWrap w:val="0"/>
                  <w:vAlign w:val="center"/>
                </w:tcPr>
                <w:p w14:paraId="62566DFC">
                  <w:pPr>
                    <w:pStyle w:val="4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1143" w:type="pct"/>
                  <w:tcBorders>
                    <w:tl2br w:val="nil"/>
                    <w:tr2bl w:val="nil"/>
                  </w:tcBorders>
                  <w:noWrap w:val="0"/>
                  <w:vAlign w:val="center"/>
                </w:tcPr>
                <w:p w14:paraId="141D366F">
                  <w:pPr>
                    <w:pStyle w:val="47"/>
                    <w:bidi w:val="0"/>
                    <w:rPr>
                      <w:rFonts w:hint="default" w:ascii="Times New Roman" w:hAnsi="Times New Roman" w:cs="Times New Roman"/>
                      <w:color w:val="auto"/>
                      <w:lang w:val="en-US" w:eastAsia="zh-CN"/>
                    </w:rPr>
                  </w:pPr>
                  <w:r>
                    <w:rPr>
                      <w:rFonts w:hint="eastAsia" w:cs="Times New Roman"/>
                      <w:color w:val="auto"/>
                      <w:lang w:val="en-US" w:eastAsia="zh-CN"/>
                    </w:rPr>
                    <w:t>汽车零部件</w:t>
                  </w:r>
                </w:p>
              </w:tc>
              <w:tc>
                <w:tcPr>
                  <w:tcW w:w="937" w:type="pct"/>
                  <w:tcBorders>
                    <w:tl2br w:val="nil"/>
                    <w:tr2bl w:val="nil"/>
                  </w:tcBorders>
                  <w:noWrap w:val="0"/>
                  <w:vAlign w:val="center"/>
                </w:tcPr>
                <w:p w14:paraId="325A1FCD">
                  <w:pPr>
                    <w:pStyle w:val="47"/>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lang w:val="en-US" w:eastAsia="zh-CN"/>
                    </w:rPr>
                    <w:t>20万</w:t>
                  </w:r>
                  <w:r>
                    <w:rPr>
                      <w:rFonts w:hint="eastAsia" w:cs="Times New Roman"/>
                      <w:color w:val="auto"/>
                      <w:lang w:val="en-US" w:eastAsia="zh-CN"/>
                    </w:rPr>
                    <w:t>套</w:t>
                  </w:r>
                  <w:r>
                    <w:rPr>
                      <w:rFonts w:hint="default" w:ascii="Times New Roman" w:hAnsi="Times New Roman" w:cs="Times New Roman"/>
                      <w:color w:val="auto"/>
                      <w:lang w:val="en-US" w:eastAsia="zh-CN"/>
                    </w:rPr>
                    <w:t>/年</w:t>
                  </w:r>
                </w:p>
              </w:tc>
              <w:tc>
                <w:tcPr>
                  <w:tcW w:w="2446" w:type="pct"/>
                  <w:tcBorders>
                    <w:tl2br w:val="nil"/>
                    <w:tr2bl w:val="nil"/>
                  </w:tcBorders>
                  <w:noWrap w:val="0"/>
                  <w:vAlign w:val="center"/>
                </w:tcPr>
                <w:p w14:paraId="145CF937">
                  <w:pPr>
                    <w:pStyle w:val="47"/>
                    <w:bidi w:val="0"/>
                    <w:rPr>
                      <w:rFonts w:hint="default" w:ascii="Times New Roman" w:hAnsi="Times New Roman" w:cs="Times New Roman"/>
                      <w:color w:val="auto"/>
                      <w:lang w:val="en-US" w:eastAsia="zh-CN"/>
                    </w:rPr>
                  </w:pPr>
                  <w:r>
                    <w:rPr>
                      <w:rFonts w:hint="eastAsia" w:cs="Times New Roman"/>
                      <w:color w:val="auto"/>
                      <w:lang w:val="en-US" w:eastAsia="zh-CN"/>
                    </w:rPr>
                    <w:t>产品主要为汽车内饰件</w:t>
                  </w:r>
                </w:p>
              </w:tc>
            </w:tr>
          </w:tbl>
          <w:p w14:paraId="30D49CF2">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4</w:t>
            </w:r>
            <w:r>
              <w:rPr>
                <w:rFonts w:hint="default" w:ascii="Times New Roman" w:hAnsi="Times New Roman" w:cs="Times New Roman"/>
                <w:color w:val="auto"/>
                <w:lang w:val="en-US" w:eastAsia="zh-CN"/>
              </w:rPr>
              <w:t xml:space="preserve"> 项目组成及建设内容</w:t>
            </w:r>
          </w:p>
          <w:p w14:paraId="516A6C98">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项目工程组成及建设内容见表2.2-2。</w:t>
            </w:r>
          </w:p>
          <w:p w14:paraId="12E2CDFE">
            <w:pPr>
              <w:pStyle w:val="46"/>
              <w:bidi w:val="0"/>
              <w:rPr>
                <w:rFonts w:hint="default" w:ascii="Times New Roman" w:hAnsi="Times New Roman" w:cs="Times New Roman"/>
                <w:color w:val="auto"/>
              </w:rPr>
            </w:pPr>
            <w:r>
              <w:rPr>
                <w:rFonts w:hint="default" w:ascii="Times New Roman" w:hAnsi="Times New Roman" w:cs="Times New Roman"/>
                <w:color w:val="auto"/>
              </w:rPr>
              <w:t>表2.2-</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项目组成一览表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056"/>
              <w:gridCol w:w="6466"/>
            </w:tblGrid>
            <w:tr w14:paraId="0E9D9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noWrap w:val="0"/>
                  <w:vAlign w:val="center"/>
                </w:tcPr>
                <w:p w14:paraId="15538818">
                  <w:pPr>
                    <w:pStyle w:val="47"/>
                    <w:bidi w:val="0"/>
                    <w:rPr>
                      <w:rFonts w:hint="default" w:ascii="Times New Roman" w:hAnsi="Times New Roman" w:cs="Times New Roman"/>
                      <w:color w:val="000000"/>
                    </w:rPr>
                  </w:pPr>
                  <w:r>
                    <w:rPr>
                      <w:rFonts w:hint="default" w:ascii="Times New Roman" w:hAnsi="Times New Roman" w:cs="Times New Roman"/>
                      <w:color w:val="000000"/>
                    </w:rPr>
                    <w:t>工程</w:t>
                  </w:r>
                </w:p>
                <w:p w14:paraId="6D7AD9B7">
                  <w:pPr>
                    <w:pStyle w:val="47"/>
                    <w:bidi w:val="0"/>
                    <w:rPr>
                      <w:rFonts w:hint="default" w:ascii="Times New Roman" w:hAnsi="Times New Roman" w:cs="Times New Roman"/>
                      <w:color w:val="000000"/>
                    </w:rPr>
                  </w:pPr>
                  <w:r>
                    <w:rPr>
                      <w:rFonts w:hint="default" w:ascii="Times New Roman" w:hAnsi="Times New Roman" w:cs="Times New Roman"/>
                      <w:color w:val="000000"/>
                    </w:rPr>
                    <w:t>类别</w:t>
                  </w:r>
                </w:p>
              </w:tc>
              <w:tc>
                <w:tcPr>
                  <w:tcW w:w="634" w:type="pct"/>
                  <w:noWrap w:val="0"/>
                  <w:vAlign w:val="center"/>
                </w:tcPr>
                <w:p w14:paraId="75BFA23F">
                  <w:pPr>
                    <w:pStyle w:val="47"/>
                    <w:bidi w:val="0"/>
                    <w:rPr>
                      <w:rFonts w:hint="default" w:ascii="Times New Roman" w:hAnsi="Times New Roman" w:cs="Times New Roman"/>
                      <w:color w:val="000000"/>
                    </w:rPr>
                  </w:pPr>
                  <w:r>
                    <w:rPr>
                      <w:rFonts w:hint="default" w:ascii="Times New Roman" w:hAnsi="Times New Roman" w:cs="Times New Roman"/>
                      <w:color w:val="000000"/>
                    </w:rPr>
                    <w:t>项目组成</w:t>
                  </w:r>
                </w:p>
              </w:tc>
              <w:tc>
                <w:tcPr>
                  <w:tcW w:w="3883" w:type="pct"/>
                  <w:noWrap w:val="0"/>
                  <w:vAlign w:val="center"/>
                </w:tcPr>
                <w:p w14:paraId="7F501B6C">
                  <w:pPr>
                    <w:pStyle w:val="47"/>
                    <w:bidi w:val="0"/>
                    <w:rPr>
                      <w:rFonts w:hint="default" w:ascii="Times New Roman" w:hAnsi="Times New Roman" w:cs="Times New Roman"/>
                      <w:color w:val="000000"/>
                    </w:rPr>
                  </w:pPr>
                  <w:r>
                    <w:rPr>
                      <w:rFonts w:hint="default" w:ascii="Times New Roman" w:hAnsi="Times New Roman" w:cs="Times New Roman"/>
                      <w:color w:val="000000"/>
                    </w:rPr>
                    <w:t>具体建设内容</w:t>
                  </w:r>
                </w:p>
              </w:tc>
            </w:tr>
            <w:tr w14:paraId="5F0B9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noWrap w:val="0"/>
                  <w:vAlign w:val="center"/>
                </w:tcPr>
                <w:p w14:paraId="023054FD">
                  <w:pPr>
                    <w:pStyle w:val="47"/>
                    <w:bidi w:val="0"/>
                    <w:rPr>
                      <w:rFonts w:hint="default" w:ascii="Times New Roman" w:hAnsi="Times New Roman" w:cs="Times New Roman"/>
                      <w:color w:val="000000"/>
                      <w:lang w:eastAsia="zh-CN"/>
                    </w:rPr>
                  </w:pPr>
                  <w:r>
                    <w:rPr>
                      <w:rFonts w:hint="default" w:ascii="Times New Roman" w:hAnsi="Times New Roman" w:cs="Times New Roman"/>
                      <w:color w:val="000000"/>
                      <w:lang w:eastAsia="zh-CN"/>
                    </w:rPr>
                    <w:t>主体工程</w:t>
                  </w:r>
                </w:p>
              </w:tc>
              <w:tc>
                <w:tcPr>
                  <w:tcW w:w="634" w:type="pct"/>
                  <w:noWrap w:val="0"/>
                  <w:vAlign w:val="center"/>
                </w:tcPr>
                <w:p w14:paraId="4743A5A4">
                  <w:pPr>
                    <w:pStyle w:val="47"/>
                    <w:bidi w:val="0"/>
                    <w:rPr>
                      <w:rFonts w:hint="default" w:ascii="Times New Roman" w:hAnsi="Times New Roman" w:cs="Times New Roman"/>
                      <w:color w:val="000000"/>
                      <w:highlight w:val="none"/>
                      <w:lang w:eastAsia="zh-CN"/>
                    </w:rPr>
                  </w:pPr>
                  <w:r>
                    <w:rPr>
                      <w:rFonts w:hint="default" w:ascii="Times New Roman" w:hAnsi="Times New Roman" w:cs="Times New Roman"/>
                      <w:color w:val="000000"/>
                      <w:highlight w:val="none"/>
                      <w:lang w:val="en-US" w:eastAsia="zh-CN"/>
                    </w:rPr>
                    <w:t>1号厂房</w:t>
                  </w:r>
                  <w:r>
                    <w:rPr>
                      <w:rFonts w:hint="eastAsia" w:cs="Times New Roman"/>
                      <w:color w:val="000000"/>
                      <w:highlight w:val="none"/>
                      <w:lang w:val="en-US" w:eastAsia="zh-CN"/>
                    </w:rPr>
                    <w:t>三层</w:t>
                  </w:r>
                </w:p>
              </w:tc>
              <w:tc>
                <w:tcPr>
                  <w:tcW w:w="3883" w:type="pct"/>
                  <w:noWrap w:val="0"/>
                  <w:vAlign w:val="center"/>
                </w:tcPr>
                <w:p w14:paraId="39248D61">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租赁1号厂房三层北侧区域，租赁面积2000㎡，车间内设置原材料区，喷胶区、包覆区、固化房、总装区</w:t>
                  </w:r>
                </w:p>
              </w:tc>
            </w:tr>
            <w:tr w14:paraId="08AC9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noWrap w:val="0"/>
                  <w:vAlign w:val="center"/>
                </w:tcPr>
                <w:p w14:paraId="43901E20">
                  <w:pPr>
                    <w:pStyle w:val="47"/>
                    <w:bidi w:val="0"/>
                    <w:rPr>
                      <w:rFonts w:hint="default" w:ascii="Times New Roman" w:hAnsi="Times New Roman" w:cs="Times New Roman"/>
                      <w:color w:val="000000"/>
                      <w:lang w:eastAsia="zh-CN"/>
                    </w:rPr>
                  </w:pPr>
                  <w:r>
                    <w:rPr>
                      <w:rFonts w:hint="eastAsia" w:cs="Times New Roman"/>
                      <w:color w:val="000000"/>
                      <w:lang w:eastAsia="zh-CN"/>
                    </w:rPr>
                    <w:t>储运工程</w:t>
                  </w:r>
                </w:p>
              </w:tc>
              <w:tc>
                <w:tcPr>
                  <w:tcW w:w="634" w:type="pct"/>
                  <w:noWrap w:val="0"/>
                  <w:vAlign w:val="center"/>
                </w:tcPr>
                <w:p w14:paraId="2CA0AE93">
                  <w:pPr>
                    <w:pStyle w:val="47"/>
                    <w:bidi w:val="0"/>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化学品库</w:t>
                  </w:r>
                </w:p>
              </w:tc>
              <w:tc>
                <w:tcPr>
                  <w:tcW w:w="3883" w:type="pct"/>
                  <w:noWrap w:val="0"/>
                  <w:vAlign w:val="center"/>
                </w:tcPr>
                <w:p w14:paraId="6CDEDD9B">
                  <w:pPr>
                    <w:pStyle w:val="47"/>
                    <w:bidi w:val="0"/>
                    <w:jc w:val="both"/>
                    <w:rPr>
                      <w:rFonts w:hint="default" w:cs="Times New Roman"/>
                      <w:color w:val="000000"/>
                      <w:lang w:val="en-US" w:eastAsia="zh-CN"/>
                    </w:rPr>
                  </w:pPr>
                  <w:r>
                    <w:rPr>
                      <w:rFonts w:hint="eastAsia" w:cs="Times New Roman"/>
                      <w:color w:val="000000"/>
                      <w:lang w:val="en-US" w:eastAsia="zh-CN"/>
                    </w:rPr>
                    <w:t>位于厂房三层西南侧区域，面积约14㎡，用于存放胶水、固化剂</w:t>
                  </w:r>
                </w:p>
              </w:tc>
            </w:tr>
            <w:tr w14:paraId="1F477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restart"/>
                  <w:noWrap w:val="0"/>
                  <w:vAlign w:val="center"/>
                </w:tcPr>
                <w:p w14:paraId="44670466">
                  <w:pPr>
                    <w:pStyle w:val="47"/>
                    <w:bidi w:val="0"/>
                    <w:rPr>
                      <w:rFonts w:hint="default" w:ascii="Times New Roman" w:hAnsi="Times New Roman" w:cs="Times New Roman"/>
                      <w:color w:val="000000"/>
                    </w:rPr>
                  </w:pPr>
                  <w:r>
                    <w:rPr>
                      <w:rFonts w:hint="default" w:ascii="Times New Roman" w:hAnsi="Times New Roman" w:cs="Times New Roman"/>
                      <w:color w:val="000000"/>
                    </w:rPr>
                    <w:t>公用</w:t>
                  </w:r>
                </w:p>
                <w:p w14:paraId="0D86488F">
                  <w:pPr>
                    <w:pStyle w:val="47"/>
                    <w:bidi w:val="0"/>
                    <w:rPr>
                      <w:rFonts w:hint="default" w:ascii="Times New Roman" w:hAnsi="Times New Roman" w:cs="Times New Roman"/>
                      <w:color w:val="000000"/>
                    </w:rPr>
                  </w:pPr>
                  <w:r>
                    <w:rPr>
                      <w:rFonts w:hint="default" w:ascii="Times New Roman" w:hAnsi="Times New Roman" w:cs="Times New Roman"/>
                      <w:color w:val="000000"/>
                    </w:rPr>
                    <w:t>工程</w:t>
                  </w:r>
                </w:p>
              </w:tc>
              <w:tc>
                <w:tcPr>
                  <w:tcW w:w="634" w:type="pct"/>
                  <w:noWrap w:val="0"/>
                  <w:vAlign w:val="center"/>
                </w:tcPr>
                <w:p w14:paraId="0801BBEA">
                  <w:pPr>
                    <w:pStyle w:val="47"/>
                    <w:bidi w:val="0"/>
                    <w:rPr>
                      <w:rFonts w:hint="default" w:ascii="Times New Roman" w:hAnsi="Times New Roman" w:cs="Times New Roman"/>
                      <w:color w:val="000000"/>
                    </w:rPr>
                  </w:pPr>
                  <w:r>
                    <w:rPr>
                      <w:rFonts w:hint="default" w:ascii="Times New Roman" w:hAnsi="Times New Roman" w:cs="Times New Roman"/>
                      <w:color w:val="000000"/>
                    </w:rPr>
                    <w:t>供水</w:t>
                  </w:r>
                </w:p>
              </w:tc>
              <w:tc>
                <w:tcPr>
                  <w:tcW w:w="3883" w:type="pct"/>
                  <w:noWrap w:val="0"/>
                  <w:vAlign w:val="center"/>
                </w:tcPr>
                <w:p w14:paraId="7B2D4EF9">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接市政供水管网</w:t>
                  </w:r>
                </w:p>
              </w:tc>
            </w:tr>
            <w:tr w14:paraId="151B4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0FC5A448">
                  <w:pPr>
                    <w:pStyle w:val="47"/>
                    <w:bidi w:val="0"/>
                    <w:rPr>
                      <w:rFonts w:hint="default" w:ascii="Times New Roman" w:hAnsi="Times New Roman" w:cs="Times New Roman"/>
                      <w:color w:val="000000"/>
                    </w:rPr>
                  </w:pPr>
                </w:p>
              </w:tc>
              <w:tc>
                <w:tcPr>
                  <w:tcW w:w="634" w:type="pct"/>
                  <w:noWrap w:val="0"/>
                  <w:vAlign w:val="center"/>
                </w:tcPr>
                <w:p w14:paraId="720791D4">
                  <w:pPr>
                    <w:pStyle w:val="47"/>
                    <w:bidi w:val="0"/>
                    <w:rPr>
                      <w:rFonts w:hint="default" w:ascii="Times New Roman" w:hAnsi="Times New Roman" w:cs="Times New Roman"/>
                      <w:color w:val="000000"/>
                    </w:rPr>
                  </w:pPr>
                  <w:r>
                    <w:rPr>
                      <w:rFonts w:hint="default" w:ascii="Times New Roman" w:hAnsi="Times New Roman" w:cs="Times New Roman"/>
                      <w:color w:val="000000"/>
                    </w:rPr>
                    <w:t>供电</w:t>
                  </w:r>
                </w:p>
              </w:tc>
              <w:tc>
                <w:tcPr>
                  <w:tcW w:w="3883" w:type="pct"/>
                  <w:noWrap w:val="0"/>
                  <w:vAlign w:val="center"/>
                </w:tcPr>
                <w:p w14:paraId="0719D295">
                  <w:pPr>
                    <w:pStyle w:val="47"/>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接市政供电系统</w:t>
                  </w:r>
                </w:p>
              </w:tc>
            </w:tr>
            <w:tr w14:paraId="432C3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6D240CC6">
                  <w:pPr>
                    <w:pStyle w:val="47"/>
                    <w:bidi w:val="0"/>
                    <w:rPr>
                      <w:rFonts w:hint="default" w:ascii="Times New Roman" w:hAnsi="Times New Roman" w:cs="Times New Roman"/>
                      <w:color w:val="000000"/>
                    </w:rPr>
                  </w:pPr>
                </w:p>
              </w:tc>
              <w:tc>
                <w:tcPr>
                  <w:tcW w:w="634" w:type="pct"/>
                  <w:noWrap w:val="0"/>
                  <w:vAlign w:val="center"/>
                </w:tcPr>
                <w:p w14:paraId="2A399C05">
                  <w:pPr>
                    <w:pStyle w:val="47"/>
                    <w:bidi w:val="0"/>
                    <w:rPr>
                      <w:rFonts w:hint="default" w:ascii="Times New Roman" w:hAnsi="Times New Roman" w:cs="Times New Roman"/>
                      <w:color w:val="000000"/>
                    </w:rPr>
                  </w:pPr>
                  <w:r>
                    <w:rPr>
                      <w:rFonts w:hint="default" w:ascii="Times New Roman" w:hAnsi="Times New Roman" w:cs="Times New Roman"/>
                      <w:color w:val="000000"/>
                    </w:rPr>
                    <w:t>排水</w:t>
                  </w:r>
                </w:p>
              </w:tc>
              <w:tc>
                <w:tcPr>
                  <w:tcW w:w="3883" w:type="pct"/>
                  <w:noWrap w:val="0"/>
                  <w:vAlign w:val="center"/>
                </w:tcPr>
                <w:p w14:paraId="5D3F2244">
                  <w:pPr>
                    <w:pStyle w:val="47"/>
                    <w:bidi w:val="0"/>
                    <w:rPr>
                      <w:rFonts w:hint="default" w:ascii="Times New Roman" w:hAnsi="Times New Roman" w:cs="Times New Roman"/>
                      <w:color w:val="000000"/>
                    </w:rPr>
                  </w:pPr>
                  <w:r>
                    <w:rPr>
                      <w:rFonts w:hint="default" w:ascii="Times New Roman" w:hAnsi="Times New Roman" w:cs="Times New Roman"/>
                      <w:color w:val="000000"/>
                      <w:lang w:val="en-US" w:eastAsia="zh-CN"/>
                    </w:rPr>
                    <w:t>雨污分流，</w:t>
                  </w:r>
                  <w:r>
                    <w:rPr>
                      <w:rFonts w:hint="eastAsia" w:cs="Times New Roman"/>
                      <w:color w:val="000000"/>
                      <w:lang w:val="en-US" w:eastAsia="zh-CN"/>
                    </w:rPr>
                    <w:t>依托市政雨水、污水管网</w:t>
                  </w:r>
                </w:p>
              </w:tc>
            </w:tr>
            <w:tr w14:paraId="0A9DB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restart"/>
                  <w:noWrap w:val="0"/>
                  <w:vAlign w:val="center"/>
                </w:tcPr>
                <w:p w14:paraId="1D6486A1">
                  <w:pPr>
                    <w:pStyle w:val="47"/>
                    <w:bidi w:val="0"/>
                    <w:rPr>
                      <w:rFonts w:hint="default" w:ascii="Times New Roman" w:hAnsi="Times New Roman" w:cs="Times New Roman"/>
                      <w:color w:val="000000"/>
                    </w:rPr>
                  </w:pPr>
                  <w:r>
                    <w:rPr>
                      <w:rFonts w:hint="default" w:ascii="Times New Roman" w:hAnsi="Times New Roman" w:cs="Times New Roman"/>
                      <w:color w:val="000000"/>
                    </w:rPr>
                    <w:t>环保</w:t>
                  </w:r>
                </w:p>
                <w:p w14:paraId="2A305B3B">
                  <w:pPr>
                    <w:pStyle w:val="47"/>
                    <w:bidi w:val="0"/>
                    <w:rPr>
                      <w:rFonts w:hint="default" w:ascii="Times New Roman" w:hAnsi="Times New Roman" w:cs="Times New Roman"/>
                      <w:color w:val="000000"/>
                    </w:rPr>
                  </w:pPr>
                  <w:r>
                    <w:rPr>
                      <w:rFonts w:hint="default" w:ascii="Times New Roman" w:hAnsi="Times New Roman" w:cs="Times New Roman"/>
                      <w:color w:val="000000"/>
                    </w:rPr>
                    <w:t>工程</w:t>
                  </w:r>
                </w:p>
              </w:tc>
              <w:tc>
                <w:tcPr>
                  <w:tcW w:w="634" w:type="pct"/>
                  <w:noWrap w:val="0"/>
                  <w:vAlign w:val="center"/>
                </w:tcPr>
                <w:p w14:paraId="22358821">
                  <w:pPr>
                    <w:pStyle w:val="47"/>
                    <w:bidi w:val="0"/>
                    <w:rPr>
                      <w:rFonts w:hint="default" w:ascii="Times New Roman" w:hAnsi="Times New Roman" w:cs="Times New Roman"/>
                      <w:color w:val="000000"/>
                    </w:rPr>
                  </w:pPr>
                  <w:r>
                    <w:rPr>
                      <w:rFonts w:hint="default" w:ascii="Times New Roman" w:hAnsi="Times New Roman" w:cs="Times New Roman"/>
                      <w:color w:val="000000"/>
                    </w:rPr>
                    <w:t>废水处理</w:t>
                  </w:r>
                </w:p>
              </w:tc>
              <w:tc>
                <w:tcPr>
                  <w:tcW w:w="3883" w:type="pct"/>
                  <w:noWrap w:val="0"/>
                  <w:vAlign w:val="center"/>
                </w:tcPr>
                <w:p w14:paraId="618901DE">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设备清洗废水作为危险废物委托有资质单位处置；</w:t>
                  </w:r>
                </w:p>
                <w:p w14:paraId="29297EE3">
                  <w:pPr>
                    <w:pStyle w:val="47"/>
                    <w:bidi w:val="0"/>
                    <w:rPr>
                      <w:rFonts w:hint="default" w:ascii="Times New Roman" w:hAnsi="Times New Roman" w:cs="Times New Roman"/>
                      <w:color w:val="000000"/>
                    </w:rPr>
                  </w:pPr>
                  <w:r>
                    <w:rPr>
                      <w:rFonts w:hint="default" w:ascii="Times New Roman" w:hAnsi="Times New Roman" w:cs="Times New Roman"/>
                      <w:color w:val="000000"/>
                      <w:lang w:val="en-US" w:eastAsia="zh-CN"/>
                    </w:rPr>
                    <w:t>生活污水经化粪池预处理后排入市政污水管网送往福清市第二污水处理厂集中处理</w:t>
                  </w:r>
                </w:p>
              </w:tc>
            </w:tr>
            <w:tr w14:paraId="27559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77468BE0">
                  <w:pPr>
                    <w:pStyle w:val="47"/>
                    <w:bidi w:val="0"/>
                    <w:rPr>
                      <w:rFonts w:hint="default" w:ascii="Times New Roman" w:hAnsi="Times New Roman" w:cs="Times New Roman"/>
                      <w:color w:val="000000"/>
                    </w:rPr>
                  </w:pPr>
                </w:p>
              </w:tc>
              <w:tc>
                <w:tcPr>
                  <w:tcW w:w="634" w:type="pct"/>
                  <w:noWrap w:val="0"/>
                  <w:vAlign w:val="center"/>
                </w:tcPr>
                <w:p w14:paraId="49A0E6EF">
                  <w:pPr>
                    <w:pStyle w:val="47"/>
                    <w:bidi w:val="0"/>
                    <w:rPr>
                      <w:rFonts w:hint="default" w:ascii="Times New Roman" w:hAnsi="Times New Roman" w:cs="Times New Roman"/>
                      <w:color w:val="000000"/>
                    </w:rPr>
                  </w:pPr>
                  <w:r>
                    <w:rPr>
                      <w:rFonts w:hint="default" w:ascii="Times New Roman" w:hAnsi="Times New Roman" w:cs="Times New Roman"/>
                      <w:color w:val="000000"/>
                    </w:rPr>
                    <w:t>废气治理</w:t>
                  </w:r>
                </w:p>
              </w:tc>
              <w:tc>
                <w:tcPr>
                  <w:tcW w:w="3883" w:type="pct"/>
                  <w:noWrap w:val="0"/>
                  <w:vAlign w:val="center"/>
                </w:tcPr>
                <w:p w14:paraId="0993CB87">
                  <w:pPr>
                    <w:pStyle w:val="47"/>
                    <w:bidi w:val="0"/>
                    <w:rPr>
                      <w:rFonts w:hint="default" w:ascii="Times New Roman" w:hAnsi="Times New Roman" w:cs="Times New Roman"/>
                      <w:color w:val="000000"/>
                    </w:rPr>
                  </w:pPr>
                  <w:r>
                    <w:rPr>
                      <w:rFonts w:hint="eastAsia" w:cs="Times New Roman"/>
                      <w:color w:val="000000"/>
                      <w:lang w:eastAsia="zh-CN"/>
                    </w:rPr>
                    <w:t>喷胶、烘干、热铆焊接</w:t>
                  </w:r>
                  <w:r>
                    <w:rPr>
                      <w:rFonts w:hint="default" w:ascii="Times New Roman" w:hAnsi="Times New Roman" w:cs="Times New Roman"/>
                      <w:color w:val="000000"/>
                    </w:rPr>
                    <w:t>废气经集气罩收集汇总后通过</w:t>
                  </w:r>
                  <w:r>
                    <w:rPr>
                      <w:rFonts w:hint="eastAsia" w:cs="Times New Roman"/>
                      <w:color w:val="000000"/>
                      <w:lang w:eastAsia="zh-CN"/>
                    </w:rPr>
                    <w:t>一</w:t>
                  </w:r>
                  <w:r>
                    <w:rPr>
                      <w:rFonts w:hint="default" w:ascii="Times New Roman" w:hAnsi="Times New Roman" w:cs="Times New Roman"/>
                      <w:color w:val="000000"/>
                    </w:rPr>
                    <w:t>套</w:t>
                  </w:r>
                  <w:r>
                    <w:rPr>
                      <w:rFonts w:hint="eastAsia" w:cs="Times New Roman"/>
                      <w:color w:val="000000"/>
                      <w:lang w:eastAsia="zh-CN"/>
                    </w:rPr>
                    <w:t>干式过滤器</w:t>
                  </w:r>
                  <w:r>
                    <w:rPr>
                      <w:rFonts w:hint="eastAsia" w:cs="Times New Roman"/>
                      <w:color w:val="000000"/>
                      <w:lang w:val="en-US" w:eastAsia="zh-CN"/>
                    </w:rPr>
                    <w:t>+</w:t>
                  </w:r>
                  <w:r>
                    <w:rPr>
                      <w:rFonts w:hint="eastAsia" w:cs="Times New Roman"/>
                      <w:color w:val="000000"/>
                      <w:lang w:eastAsia="zh-CN"/>
                    </w:rPr>
                    <w:t>二级活性炭吸附装置</w:t>
                  </w:r>
                  <w:r>
                    <w:rPr>
                      <w:rFonts w:hint="default" w:ascii="Times New Roman" w:hAnsi="Times New Roman" w:cs="Times New Roman"/>
                      <w:color w:val="000000"/>
                    </w:rPr>
                    <w:t>处理达标后</w:t>
                  </w:r>
                  <w:r>
                    <w:rPr>
                      <w:rFonts w:hint="eastAsia" w:cs="Times New Roman"/>
                      <w:color w:val="000000"/>
                      <w:lang w:eastAsia="zh-CN"/>
                    </w:rPr>
                    <w:t>引至排气筒</w:t>
                  </w:r>
                  <w:r>
                    <w:rPr>
                      <w:rFonts w:hint="default" w:ascii="Times New Roman" w:hAnsi="Times New Roman" w:cs="Times New Roman"/>
                      <w:color w:val="000000"/>
                    </w:rPr>
                    <w:t>排放</w:t>
                  </w:r>
                  <w:r>
                    <w:rPr>
                      <w:rFonts w:hint="eastAsia" w:ascii="Times New Roman" w:hAnsi="Times New Roman" w:cs="Times New Roman"/>
                      <w:color w:val="000000"/>
                      <w:lang w:eastAsia="zh-CN"/>
                    </w:rPr>
                    <w:t>(</w:t>
                  </w:r>
                  <w:r>
                    <w:rPr>
                      <w:rFonts w:hint="default" w:ascii="Times New Roman" w:hAnsi="Times New Roman" w:cs="Times New Roman"/>
                      <w:color w:val="000000"/>
                    </w:rPr>
                    <w:t>DA001</w:t>
                  </w:r>
                  <w:r>
                    <w:rPr>
                      <w:rFonts w:hint="eastAsia" w:ascii="Times New Roman" w:hAnsi="Times New Roman" w:cs="Times New Roman"/>
                      <w:color w:val="000000"/>
                      <w:lang w:val="en-US" w:eastAsia="zh-CN"/>
                    </w:rPr>
                    <w:t>，</w:t>
                  </w:r>
                  <w:r>
                    <w:rPr>
                      <w:rFonts w:hint="default" w:ascii="Times New Roman" w:hAnsi="Times New Roman" w:cs="Times New Roman"/>
                      <w:color w:val="000000"/>
                    </w:rPr>
                    <w:t>H=</w:t>
                  </w:r>
                  <w:r>
                    <w:rPr>
                      <w:rFonts w:hint="default" w:ascii="Times New Roman" w:hAnsi="Times New Roman" w:cs="Times New Roman"/>
                      <w:color w:val="000000"/>
                      <w:lang w:val="en-US" w:eastAsia="zh-CN"/>
                    </w:rPr>
                    <w:t>27</w:t>
                  </w:r>
                  <w:r>
                    <w:rPr>
                      <w:rFonts w:hint="default" w:ascii="Times New Roman" w:hAnsi="Times New Roman" w:cs="Times New Roman"/>
                      <w:color w:val="000000"/>
                    </w:rPr>
                    <w:t>m</w:t>
                  </w:r>
                  <w:r>
                    <w:rPr>
                      <w:rFonts w:hint="eastAsia" w:ascii="Times New Roman" w:hAnsi="Times New Roman" w:cs="Times New Roman"/>
                      <w:color w:val="000000"/>
                      <w:lang w:eastAsia="zh-CN"/>
                    </w:rPr>
                    <w:t>)</w:t>
                  </w:r>
                </w:p>
              </w:tc>
            </w:tr>
            <w:tr w14:paraId="7482D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51019197">
                  <w:pPr>
                    <w:pStyle w:val="47"/>
                    <w:bidi w:val="0"/>
                    <w:rPr>
                      <w:rFonts w:hint="default" w:ascii="Times New Roman" w:hAnsi="Times New Roman" w:cs="Times New Roman"/>
                      <w:color w:val="000000"/>
                    </w:rPr>
                  </w:pPr>
                </w:p>
              </w:tc>
              <w:tc>
                <w:tcPr>
                  <w:tcW w:w="634" w:type="pct"/>
                  <w:vMerge w:val="restart"/>
                  <w:noWrap w:val="0"/>
                  <w:vAlign w:val="center"/>
                </w:tcPr>
                <w:p w14:paraId="21DE69C1">
                  <w:pPr>
                    <w:pStyle w:val="47"/>
                    <w:bidi w:val="0"/>
                    <w:rPr>
                      <w:rFonts w:hint="default" w:ascii="Times New Roman" w:hAnsi="Times New Roman" w:cs="Times New Roman"/>
                      <w:color w:val="000000"/>
                    </w:rPr>
                  </w:pPr>
                  <w:r>
                    <w:rPr>
                      <w:rFonts w:hint="default" w:ascii="Times New Roman" w:hAnsi="Times New Roman" w:cs="Times New Roman"/>
                      <w:color w:val="000000"/>
                    </w:rPr>
                    <w:t>固废处理</w:t>
                  </w:r>
                </w:p>
              </w:tc>
              <w:tc>
                <w:tcPr>
                  <w:tcW w:w="3883" w:type="pct"/>
                  <w:noWrap w:val="0"/>
                  <w:vAlign w:val="center"/>
                </w:tcPr>
                <w:p w14:paraId="37A80E8B">
                  <w:pPr>
                    <w:pStyle w:val="47"/>
                    <w:bidi w:val="0"/>
                    <w:rPr>
                      <w:rFonts w:hint="default" w:ascii="Times New Roman" w:hAnsi="Times New Roman" w:cs="Times New Roman"/>
                      <w:color w:val="000000"/>
                    </w:rPr>
                  </w:pPr>
                  <w:r>
                    <w:rPr>
                      <w:rFonts w:hint="eastAsia" w:cs="Times New Roman"/>
                      <w:b w:val="0"/>
                      <w:bCs/>
                      <w:color w:val="000000"/>
                      <w:highlight w:val="none"/>
                      <w:lang w:val="en-US" w:eastAsia="zh-CN"/>
                    </w:rPr>
                    <w:t>车间南部</w:t>
                  </w:r>
                  <w:r>
                    <w:rPr>
                      <w:rFonts w:hint="default" w:ascii="Times New Roman" w:hAnsi="Times New Roman" w:cs="Times New Roman"/>
                      <w:color w:val="000000"/>
                      <w:highlight w:val="none"/>
                    </w:rPr>
                    <w:t>设一般工业固废暂存区</w:t>
                  </w:r>
                  <w:r>
                    <w:rPr>
                      <w:rFonts w:hint="eastAsia" w:cs="Times New Roman"/>
                      <w:color w:val="000000"/>
                      <w:lang w:eastAsia="zh-CN"/>
                    </w:rPr>
                    <w:t>面积约</w:t>
                  </w:r>
                  <w:r>
                    <w:rPr>
                      <w:rFonts w:hint="eastAsia" w:cs="Times New Roman"/>
                      <w:color w:val="000000"/>
                      <w:lang w:val="en-US" w:eastAsia="zh-CN"/>
                    </w:rPr>
                    <w:t>10㎡</w:t>
                  </w:r>
                  <w:r>
                    <w:rPr>
                      <w:rFonts w:hint="default" w:ascii="Times New Roman" w:hAnsi="Times New Roman" w:cs="Times New Roman"/>
                      <w:color w:val="000000"/>
                    </w:rPr>
                    <w:t>，一般工业固废分类收集后外售</w:t>
                  </w:r>
                </w:p>
              </w:tc>
            </w:tr>
            <w:tr w14:paraId="34781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14B84B3D">
                  <w:pPr>
                    <w:pStyle w:val="47"/>
                    <w:bidi w:val="0"/>
                    <w:rPr>
                      <w:rFonts w:hint="default" w:ascii="Times New Roman" w:hAnsi="Times New Roman" w:cs="Times New Roman"/>
                      <w:color w:val="000000"/>
                    </w:rPr>
                  </w:pPr>
                </w:p>
              </w:tc>
              <w:tc>
                <w:tcPr>
                  <w:tcW w:w="634" w:type="pct"/>
                  <w:vMerge w:val="continue"/>
                  <w:noWrap w:val="0"/>
                  <w:vAlign w:val="center"/>
                </w:tcPr>
                <w:p w14:paraId="3F1B45CA">
                  <w:pPr>
                    <w:pStyle w:val="47"/>
                    <w:bidi w:val="0"/>
                    <w:rPr>
                      <w:rFonts w:hint="default" w:ascii="Times New Roman" w:hAnsi="Times New Roman" w:cs="Times New Roman"/>
                      <w:color w:val="000000"/>
                    </w:rPr>
                  </w:pPr>
                </w:p>
              </w:tc>
              <w:tc>
                <w:tcPr>
                  <w:tcW w:w="3883" w:type="pct"/>
                  <w:noWrap w:val="0"/>
                  <w:vAlign w:val="center"/>
                </w:tcPr>
                <w:p w14:paraId="0756520D">
                  <w:pPr>
                    <w:pStyle w:val="47"/>
                    <w:bidi w:val="0"/>
                    <w:rPr>
                      <w:rFonts w:hint="default" w:ascii="Times New Roman" w:hAnsi="Times New Roman" w:cs="Times New Roman"/>
                      <w:color w:val="000000"/>
                      <w:lang w:eastAsia="zh-CN"/>
                    </w:rPr>
                  </w:pPr>
                  <w:r>
                    <w:rPr>
                      <w:rFonts w:hint="eastAsia" w:cs="Times New Roman"/>
                      <w:b w:val="0"/>
                      <w:bCs/>
                      <w:color w:val="000000"/>
                      <w:lang w:val="en-US" w:eastAsia="zh-CN"/>
                    </w:rPr>
                    <w:t>厂房屋面层</w:t>
                  </w:r>
                  <w:r>
                    <w:rPr>
                      <w:rFonts w:hint="default" w:ascii="Times New Roman" w:hAnsi="Times New Roman" w:cs="Times New Roman"/>
                      <w:color w:val="000000"/>
                      <w:lang w:eastAsia="zh-CN"/>
                    </w:rPr>
                    <w:t>设置</w:t>
                  </w:r>
                  <w:r>
                    <w:rPr>
                      <w:rFonts w:hint="eastAsia" w:cs="Times New Roman"/>
                      <w:color w:val="000000"/>
                      <w:lang w:eastAsia="zh-CN"/>
                    </w:rPr>
                    <w:t>危废间，面积约</w:t>
                  </w:r>
                  <w:r>
                    <w:rPr>
                      <w:rFonts w:hint="eastAsia" w:cs="Times New Roman"/>
                      <w:color w:val="000000"/>
                      <w:lang w:val="en-US" w:eastAsia="zh-CN"/>
                    </w:rPr>
                    <w:t>10㎡</w:t>
                  </w:r>
                  <w:r>
                    <w:rPr>
                      <w:rFonts w:hint="default" w:ascii="Times New Roman" w:hAnsi="Times New Roman" w:cs="Times New Roman"/>
                      <w:color w:val="000000"/>
                      <w:lang w:eastAsia="zh-CN"/>
                    </w:rPr>
                    <w:t>，危险废物分类收集后委托有资质单位转运处置</w:t>
                  </w:r>
                </w:p>
              </w:tc>
            </w:tr>
            <w:tr w14:paraId="11A15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76579C25">
                  <w:pPr>
                    <w:pStyle w:val="47"/>
                    <w:bidi w:val="0"/>
                    <w:rPr>
                      <w:rFonts w:hint="default" w:ascii="Times New Roman" w:hAnsi="Times New Roman" w:cs="Times New Roman"/>
                      <w:color w:val="000000"/>
                    </w:rPr>
                  </w:pPr>
                </w:p>
              </w:tc>
              <w:tc>
                <w:tcPr>
                  <w:tcW w:w="634" w:type="pct"/>
                  <w:vMerge w:val="continue"/>
                  <w:noWrap w:val="0"/>
                  <w:vAlign w:val="center"/>
                </w:tcPr>
                <w:p w14:paraId="53F96E43">
                  <w:pPr>
                    <w:pStyle w:val="47"/>
                    <w:bidi w:val="0"/>
                    <w:rPr>
                      <w:rFonts w:hint="default" w:ascii="Times New Roman" w:hAnsi="Times New Roman" w:cs="Times New Roman"/>
                      <w:color w:val="000000"/>
                    </w:rPr>
                  </w:pPr>
                </w:p>
              </w:tc>
              <w:tc>
                <w:tcPr>
                  <w:tcW w:w="3883" w:type="pct"/>
                  <w:noWrap w:val="0"/>
                  <w:vAlign w:val="center"/>
                </w:tcPr>
                <w:p w14:paraId="6F7157B4">
                  <w:pPr>
                    <w:pStyle w:val="47"/>
                    <w:bidi w:val="0"/>
                    <w:rPr>
                      <w:rFonts w:hint="default" w:ascii="Times New Roman" w:hAnsi="Times New Roman" w:cs="Times New Roman"/>
                      <w:color w:val="000000"/>
                    </w:rPr>
                  </w:pPr>
                  <w:r>
                    <w:rPr>
                      <w:rFonts w:hint="default" w:ascii="Times New Roman" w:hAnsi="Times New Roman" w:cs="Times New Roman"/>
                      <w:color w:val="000000"/>
                    </w:rPr>
                    <w:t>设置生活垃圾桶，生活垃圾收集后委托环卫工人处置</w:t>
                  </w:r>
                </w:p>
              </w:tc>
            </w:tr>
            <w:tr w14:paraId="7A0AD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81" w:type="pct"/>
                  <w:vMerge w:val="continue"/>
                  <w:noWrap w:val="0"/>
                  <w:vAlign w:val="center"/>
                </w:tcPr>
                <w:p w14:paraId="61448D9D">
                  <w:pPr>
                    <w:pStyle w:val="47"/>
                    <w:bidi w:val="0"/>
                    <w:rPr>
                      <w:rFonts w:hint="default" w:ascii="Times New Roman" w:hAnsi="Times New Roman" w:cs="Times New Roman"/>
                      <w:color w:val="000000"/>
                    </w:rPr>
                  </w:pPr>
                </w:p>
              </w:tc>
              <w:tc>
                <w:tcPr>
                  <w:tcW w:w="634" w:type="pct"/>
                  <w:noWrap w:val="0"/>
                  <w:vAlign w:val="center"/>
                </w:tcPr>
                <w:p w14:paraId="511B3480">
                  <w:pPr>
                    <w:pStyle w:val="47"/>
                    <w:bidi w:val="0"/>
                    <w:rPr>
                      <w:rFonts w:hint="default" w:ascii="Times New Roman" w:hAnsi="Times New Roman" w:cs="Times New Roman"/>
                      <w:color w:val="000000"/>
                    </w:rPr>
                  </w:pPr>
                  <w:r>
                    <w:rPr>
                      <w:rFonts w:hint="default" w:ascii="Times New Roman" w:hAnsi="Times New Roman" w:cs="Times New Roman"/>
                      <w:color w:val="000000"/>
                    </w:rPr>
                    <w:t>噪声处置</w:t>
                  </w:r>
                </w:p>
              </w:tc>
              <w:tc>
                <w:tcPr>
                  <w:tcW w:w="3883" w:type="pct"/>
                  <w:noWrap w:val="0"/>
                  <w:vAlign w:val="center"/>
                </w:tcPr>
                <w:p w14:paraId="5525AEF3">
                  <w:pPr>
                    <w:pStyle w:val="47"/>
                    <w:bidi w:val="0"/>
                    <w:rPr>
                      <w:rFonts w:hint="default" w:ascii="Times New Roman" w:hAnsi="Times New Roman" w:cs="Times New Roman"/>
                      <w:color w:val="000000"/>
                    </w:rPr>
                  </w:pPr>
                  <w:r>
                    <w:rPr>
                      <w:rFonts w:hint="default" w:ascii="Times New Roman" w:hAnsi="Times New Roman" w:cs="Times New Roman"/>
                      <w:color w:val="000000"/>
                    </w:rPr>
                    <w:t>选用低噪声设备，对高噪声设备采取减振、隔声等降噪措施</w:t>
                  </w:r>
                </w:p>
              </w:tc>
            </w:tr>
          </w:tbl>
          <w:p w14:paraId="59F1FA2C">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5</w:t>
            </w:r>
            <w:r>
              <w:rPr>
                <w:rFonts w:hint="default" w:ascii="Times New Roman" w:hAnsi="Times New Roman" w:cs="Times New Roman"/>
                <w:color w:val="auto"/>
                <w:lang w:val="en-US" w:eastAsia="zh-CN"/>
              </w:rPr>
              <w:t xml:space="preserve"> 项目主要原辅材料</w:t>
            </w:r>
          </w:p>
          <w:p w14:paraId="40D04A4B">
            <w:pPr>
              <w:pStyle w:val="43"/>
              <w:bidi w:val="0"/>
              <w:rPr>
                <w:rFonts w:hint="default" w:ascii="Times New Roman" w:hAnsi="Times New Roman" w:cs="Times New Roman"/>
                <w:color w:val="auto"/>
              </w:rPr>
            </w:pPr>
            <w:r>
              <w:rPr>
                <w:rFonts w:hint="default" w:ascii="Times New Roman" w:hAnsi="Times New Roman" w:cs="Times New Roman"/>
                <w:color w:val="auto"/>
              </w:rPr>
              <w:t>项目主要原辅材料的用量及储存方式详见表2.2-</w:t>
            </w:r>
            <w:r>
              <w:rPr>
                <w:rFonts w:hint="default" w:ascii="Times New Roman" w:hAnsi="Times New Roman" w:cs="Times New Roman"/>
                <w:color w:val="auto"/>
                <w:lang w:val="en-US" w:eastAsia="zh-CN"/>
              </w:rPr>
              <w:t>3</w:t>
            </w:r>
            <w:r>
              <w:rPr>
                <w:rFonts w:hint="default" w:ascii="Times New Roman" w:hAnsi="Times New Roman" w:cs="Times New Roman"/>
                <w:color w:val="auto"/>
              </w:rPr>
              <w:t>，原辅材料性质见表2.2-</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14:paraId="64FE0ACC">
            <w:pPr>
              <w:pStyle w:val="46"/>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cs="Times New Roman"/>
                <w:color w:val="000000"/>
              </w:rPr>
            </w:pPr>
            <w:r>
              <w:rPr>
                <w:rFonts w:hint="default" w:ascii="Times New Roman" w:hAnsi="Times New Roman" w:cs="Times New Roman"/>
                <w:color w:val="000000"/>
              </w:rPr>
              <w:t>表2.2-</w:t>
            </w:r>
            <w:r>
              <w:rPr>
                <w:rFonts w:hint="default" w:ascii="Times New Roman" w:hAnsi="Times New Roman" w:cs="Times New Roman"/>
                <w:color w:val="000000"/>
                <w:lang w:val="en-US" w:eastAsia="zh-CN"/>
              </w:rPr>
              <w:t>3</w:t>
            </w:r>
            <w:r>
              <w:rPr>
                <w:rFonts w:hint="default" w:ascii="Times New Roman" w:hAnsi="Times New Roman" w:cs="Times New Roman"/>
                <w:color w:val="000000"/>
              </w:rPr>
              <w:t xml:space="preserve">  </w:t>
            </w:r>
            <w:r>
              <w:rPr>
                <w:rFonts w:hint="eastAsia" w:cs="Times New Roman"/>
                <w:color w:val="000000"/>
                <w:lang w:eastAsia="zh-CN"/>
              </w:rPr>
              <w:t>项目</w:t>
            </w:r>
            <w:r>
              <w:rPr>
                <w:rFonts w:hint="default" w:ascii="Times New Roman" w:hAnsi="Times New Roman" w:cs="Times New Roman"/>
                <w:color w:val="000000"/>
              </w:rPr>
              <w:t>各原辅材料储存方式一览表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285"/>
              <w:gridCol w:w="1477"/>
              <w:gridCol w:w="1249"/>
              <w:gridCol w:w="1347"/>
              <w:gridCol w:w="1255"/>
            </w:tblGrid>
            <w:tr w14:paraId="0B81A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5BA5EC24">
                  <w:pPr>
                    <w:pStyle w:val="41"/>
                    <w:bidi w:val="0"/>
                    <w:rPr>
                      <w:rFonts w:hint="default" w:ascii="Times New Roman" w:hAnsi="Times New Roman" w:cs="Times New Roman"/>
                      <w:color w:val="000000"/>
                    </w:rPr>
                  </w:pPr>
                  <w:r>
                    <w:rPr>
                      <w:rFonts w:hint="default" w:ascii="Times New Roman" w:hAnsi="Times New Roman" w:cs="Times New Roman"/>
                      <w:color w:val="000000"/>
                    </w:rPr>
                    <w:t>序号</w:t>
                  </w:r>
                </w:p>
              </w:tc>
              <w:tc>
                <w:tcPr>
                  <w:tcW w:w="1372" w:type="pct"/>
                  <w:noWrap w:val="0"/>
                  <w:vAlign w:val="center"/>
                </w:tcPr>
                <w:p w14:paraId="0AF5EB13">
                  <w:pPr>
                    <w:pStyle w:val="41"/>
                    <w:bidi w:val="0"/>
                    <w:rPr>
                      <w:rFonts w:hint="default" w:ascii="Times New Roman" w:hAnsi="Times New Roman" w:cs="Times New Roman"/>
                      <w:color w:val="000000"/>
                    </w:rPr>
                  </w:pPr>
                  <w:r>
                    <w:rPr>
                      <w:rFonts w:hint="default" w:ascii="Times New Roman" w:hAnsi="Times New Roman" w:cs="Times New Roman"/>
                      <w:color w:val="000000"/>
                    </w:rPr>
                    <w:t>原辅材料名称</w:t>
                  </w:r>
                </w:p>
              </w:tc>
              <w:tc>
                <w:tcPr>
                  <w:tcW w:w="887" w:type="pct"/>
                  <w:noWrap w:val="0"/>
                  <w:vAlign w:val="center"/>
                </w:tcPr>
                <w:p w14:paraId="4B9A9519">
                  <w:pPr>
                    <w:pStyle w:val="41"/>
                    <w:bidi w:val="0"/>
                    <w:rPr>
                      <w:rFonts w:hint="default" w:cs="Times New Roman"/>
                      <w:color w:val="000000"/>
                      <w:lang w:val="en-US" w:eastAsia="zh-CN"/>
                    </w:rPr>
                  </w:pPr>
                  <w:r>
                    <w:rPr>
                      <w:rFonts w:hint="eastAsia" w:cs="Times New Roman"/>
                      <w:color w:val="000000"/>
                      <w:lang w:val="en-US" w:eastAsia="zh-CN"/>
                    </w:rPr>
                    <w:t>用量</w:t>
                  </w:r>
                </w:p>
              </w:tc>
              <w:tc>
                <w:tcPr>
                  <w:tcW w:w="750" w:type="pct"/>
                  <w:noWrap w:val="0"/>
                  <w:vAlign w:val="center"/>
                </w:tcPr>
                <w:p w14:paraId="77AC96C6">
                  <w:pPr>
                    <w:pStyle w:val="41"/>
                    <w:bidi w:val="0"/>
                    <w:rPr>
                      <w:rFonts w:hint="default" w:ascii="Times New Roman" w:hAnsi="Times New Roman" w:cs="Times New Roman"/>
                      <w:color w:val="000000"/>
                    </w:rPr>
                  </w:pPr>
                  <w:r>
                    <w:rPr>
                      <w:rFonts w:hint="default" w:ascii="Times New Roman" w:hAnsi="Times New Roman" w:cs="Times New Roman"/>
                      <w:color w:val="000000"/>
                    </w:rPr>
                    <w:t>形态</w:t>
                  </w:r>
                </w:p>
              </w:tc>
              <w:tc>
                <w:tcPr>
                  <w:tcW w:w="809" w:type="pct"/>
                  <w:noWrap w:val="0"/>
                  <w:vAlign w:val="center"/>
                </w:tcPr>
                <w:p w14:paraId="27F6C0E0">
                  <w:pPr>
                    <w:pStyle w:val="41"/>
                    <w:bidi w:val="0"/>
                    <w:rPr>
                      <w:rFonts w:hint="default" w:ascii="Times New Roman" w:hAnsi="Times New Roman" w:cs="Times New Roman"/>
                      <w:color w:val="000000"/>
                    </w:rPr>
                  </w:pPr>
                  <w:r>
                    <w:rPr>
                      <w:rFonts w:hint="default" w:ascii="Times New Roman" w:hAnsi="Times New Roman" w:cs="Times New Roman"/>
                      <w:color w:val="000000"/>
                    </w:rPr>
                    <w:t>最大储存量</w:t>
                  </w:r>
                </w:p>
              </w:tc>
              <w:tc>
                <w:tcPr>
                  <w:tcW w:w="753" w:type="pct"/>
                  <w:noWrap w:val="0"/>
                  <w:vAlign w:val="center"/>
                </w:tcPr>
                <w:p w14:paraId="5624E84A">
                  <w:pPr>
                    <w:pStyle w:val="41"/>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贮存位置</w:t>
                  </w:r>
                </w:p>
              </w:tc>
            </w:tr>
            <w:tr w14:paraId="1B812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1C8C4E95">
                  <w:pPr>
                    <w:bidi w:val="0"/>
                    <w:rPr>
                      <w:rFonts w:hint="default" w:ascii="Times New Roman" w:hAnsi="Times New Roman" w:cs="Times New Roman"/>
                      <w:color w:val="000000"/>
                    </w:rPr>
                  </w:pPr>
                  <w:r>
                    <w:rPr>
                      <w:rFonts w:hint="eastAsia"/>
                      <w:lang w:val="en-US" w:eastAsia="zh-CN"/>
                    </w:rPr>
                    <w:t>****</w:t>
                  </w:r>
                </w:p>
              </w:tc>
              <w:tc>
                <w:tcPr>
                  <w:tcW w:w="1372" w:type="pct"/>
                  <w:noWrap w:val="0"/>
                  <w:vAlign w:val="center"/>
                </w:tcPr>
                <w:p w14:paraId="7197B38A">
                  <w:pPr>
                    <w:bidi w:val="0"/>
                    <w:rPr>
                      <w:rFonts w:hint="default" w:ascii="Times New Roman" w:hAnsi="Times New Roman" w:cs="Times New Roman"/>
                      <w:color w:val="000000"/>
                      <w:lang w:val="en-US" w:eastAsia="zh-CN"/>
                    </w:rPr>
                  </w:pPr>
                  <w:r>
                    <w:rPr>
                      <w:rFonts w:hint="eastAsia"/>
                      <w:lang w:val="en-US" w:eastAsia="zh-CN"/>
                    </w:rPr>
                    <w:t>****</w:t>
                  </w:r>
                </w:p>
              </w:tc>
              <w:tc>
                <w:tcPr>
                  <w:tcW w:w="887" w:type="pct"/>
                  <w:noWrap w:val="0"/>
                  <w:vAlign w:val="center"/>
                </w:tcPr>
                <w:p w14:paraId="51549FE6">
                  <w:pPr>
                    <w:bidi w:val="0"/>
                    <w:ind w:firstLine="0" w:firstLineChars="0"/>
                    <w:rPr>
                      <w:rFonts w:hint="default" w:ascii="Times New Roman" w:hAnsi="Times New Roman" w:cs="Times New Roman"/>
                      <w:color w:val="000000"/>
                      <w:highlight w:val="none"/>
                      <w:lang w:val="en-US" w:eastAsia="zh-CN"/>
                    </w:rPr>
                  </w:pPr>
                  <w:r>
                    <w:rPr>
                      <w:rFonts w:hint="eastAsia"/>
                      <w:lang w:val="en-US" w:eastAsia="zh-CN"/>
                    </w:rPr>
                    <w:t>****</w:t>
                  </w:r>
                </w:p>
              </w:tc>
              <w:tc>
                <w:tcPr>
                  <w:tcW w:w="750" w:type="pct"/>
                  <w:noWrap w:val="0"/>
                  <w:vAlign w:val="center"/>
                </w:tcPr>
                <w:p w14:paraId="5C69BDEB">
                  <w:pPr>
                    <w:bidi w:val="0"/>
                    <w:rPr>
                      <w:rFonts w:hint="default" w:ascii="Times New Roman" w:hAnsi="Times New Roman" w:cs="Times New Roman"/>
                      <w:color w:val="000000"/>
                    </w:rPr>
                  </w:pPr>
                  <w:r>
                    <w:rPr>
                      <w:rFonts w:hint="eastAsia"/>
                      <w:lang w:val="en-US" w:eastAsia="zh-CN"/>
                    </w:rPr>
                    <w:t>****</w:t>
                  </w:r>
                </w:p>
              </w:tc>
              <w:tc>
                <w:tcPr>
                  <w:tcW w:w="809" w:type="pct"/>
                  <w:noWrap w:val="0"/>
                  <w:vAlign w:val="center"/>
                </w:tcPr>
                <w:p w14:paraId="23E1A278">
                  <w:pPr>
                    <w:bidi w:val="0"/>
                    <w:rPr>
                      <w:rFonts w:hint="default" w:ascii="Times New Roman" w:hAnsi="Times New Roman" w:cs="Times New Roman"/>
                      <w:color w:val="000000"/>
                      <w:lang w:val="en-US" w:eastAsia="zh-CN"/>
                    </w:rPr>
                  </w:pPr>
                  <w:r>
                    <w:rPr>
                      <w:rFonts w:hint="eastAsia"/>
                      <w:lang w:val="en-US" w:eastAsia="zh-CN"/>
                    </w:rPr>
                    <w:t>****</w:t>
                  </w:r>
                </w:p>
              </w:tc>
              <w:tc>
                <w:tcPr>
                  <w:tcW w:w="753" w:type="pct"/>
                  <w:noWrap w:val="0"/>
                  <w:vAlign w:val="center"/>
                </w:tcPr>
                <w:p w14:paraId="14AF3EE0">
                  <w:pPr>
                    <w:bidi w:val="0"/>
                    <w:jc w:val="center"/>
                    <w:rPr>
                      <w:rFonts w:hint="default" w:ascii="Times New Roman" w:hAnsi="Times New Roman" w:cs="Times New Roman"/>
                      <w:color w:val="000000"/>
                      <w:lang w:val="en-US" w:eastAsia="zh-CN"/>
                    </w:rPr>
                  </w:pPr>
                  <w:r>
                    <w:rPr>
                      <w:rFonts w:hint="eastAsia"/>
                      <w:lang w:val="en-US" w:eastAsia="zh-CN"/>
                    </w:rPr>
                    <w:t>****</w:t>
                  </w:r>
                </w:p>
              </w:tc>
            </w:tr>
            <w:tr w14:paraId="7077B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3E5E1563">
                  <w:pPr>
                    <w:bidi w:val="0"/>
                    <w:rPr>
                      <w:rFonts w:hint="default" w:ascii="Times New Roman" w:hAnsi="Times New Roman" w:cs="Times New Roman"/>
                      <w:color w:val="000000"/>
                    </w:rPr>
                  </w:pPr>
                  <w:r>
                    <w:rPr>
                      <w:rFonts w:hint="eastAsia"/>
                      <w:lang w:val="en-US" w:eastAsia="zh-CN"/>
                    </w:rPr>
                    <w:t>****</w:t>
                  </w:r>
                </w:p>
              </w:tc>
              <w:tc>
                <w:tcPr>
                  <w:tcW w:w="1372" w:type="pct"/>
                  <w:noWrap w:val="0"/>
                  <w:vAlign w:val="center"/>
                </w:tcPr>
                <w:p w14:paraId="69E3F9A4">
                  <w:pPr>
                    <w:bidi w:val="0"/>
                    <w:ind w:firstLine="0" w:firstLineChars="0"/>
                    <w:rPr>
                      <w:rFonts w:hint="default" w:ascii="Times New Roman" w:hAnsi="Times New Roman" w:cs="Times New Roman"/>
                      <w:color w:val="000000"/>
                      <w:lang w:val="en-US" w:eastAsia="zh-CN"/>
                    </w:rPr>
                  </w:pPr>
                  <w:r>
                    <w:rPr>
                      <w:rFonts w:hint="eastAsia"/>
                      <w:lang w:val="en-US" w:eastAsia="zh-CN"/>
                    </w:rPr>
                    <w:t>****</w:t>
                  </w:r>
                </w:p>
              </w:tc>
              <w:tc>
                <w:tcPr>
                  <w:tcW w:w="887" w:type="pct"/>
                  <w:noWrap w:val="0"/>
                  <w:vAlign w:val="center"/>
                </w:tcPr>
                <w:p w14:paraId="25863EC2">
                  <w:pPr>
                    <w:bidi w:val="0"/>
                    <w:ind w:firstLine="0" w:firstLineChars="0"/>
                    <w:rPr>
                      <w:rFonts w:hint="default" w:ascii="Times New Roman" w:hAnsi="Times New Roman" w:cs="Times New Roman"/>
                      <w:color w:val="000000"/>
                      <w:highlight w:val="none"/>
                      <w:lang w:val="en-US" w:eastAsia="zh-CN"/>
                    </w:rPr>
                  </w:pPr>
                  <w:r>
                    <w:rPr>
                      <w:rFonts w:hint="eastAsia"/>
                      <w:lang w:val="en-US" w:eastAsia="zh-CN"/>
                    </w:rPr>
                    <w:t>****</w:t>
                  </w:r>
                </w:p>
              </w:tc>
              <w:tc>
                <w:tcPr>
                  <w:tcW w:w="750" w:type="pct"/>
                  <w:noWrap w:val="0"/>
                  <w:vAlign w:val="center"/>
                </w:tcPr>
                <w:p w14:paraId="7B211ED5">
                  <w:pPr>
                    <w:bidi w:val="0"/>
                    <w:ind w:firstLine="0" w:firstLineChars="0"/>
                    <w:rPr>
                      <w:rFonts w:hint="default" w:ascii="Times New Roman" w:hAnsi="Times New Roman" w:cs="Times New Roman"/>
                      <w:color w:val="000000"/>
                    </w:rPr>
                  </w:pPr>
                  <w:r>
                    <w:rPr>
                      <w:rFonts w:hint="eastAsia"/>
                      <w:lang w:val="en-US" w:eastAsia="zh-CN"/>
                    </w:rPr>
                    <w:t>****</w:t>
                  </w:r>
                </w:p>
              </w:tc>
              <w:tc>
                <w:tcPr>
                  <w:tcW w:w="809" w:type="pct"/>
                  <w:noWrap w:val="0"/>
                  <w:vAlign w:val="center"/>
                </w:tcPr>
                <w:p w14:paraId="51C4B660">
                  <w:pPr>
                    <w:bidi w:val="0"/>
                    <w:ind w:firstLine="0" w:firstLineChars="0"/>
                    <w:rPr>
                      <w:rFonts w:hint="default" w:ascii="Times New Roman" w:hAnsi="Times New Roman" w:cs="Times New Roman"/>
                      <w:color w:val="000000"/>
                      <w:lang w:eastAsia="zh-CN"/>
                    </w:rPr>
                  </w:pPr>
                  <w:r>
                    <w:rPr>
                      <w:rFonts w:hint="eastAsia"/>
                      <w:lang w:val="en-US" w:eastAsia="zh-CN"/>
                    </w:rPr>
                    <w:t>****</w:t>
                  </w:r>
                </w:p>
              </w:tc>
              <w:tc>
                <w:tcPr>
                  <w:tcW w:w="753" w:type="pct"/>
                  <w:noWrap w:val="0"/>
                  <w:vAlign w:val="center"/>
                </w:tcPr>
                <w:p w14:paraId="28A5EE77">
                  <w:pPr>
                    <w:bidi w:val="0"/>
                    <w:jc w:val="center"/>
                    <w:rPr>
                      <w:rFonts w:hint="default" w:ascii="Times New Roman" w:hAnsi="Times New Roman" w:cs="Times New Roman"/>
                      <w:color w:val="000000"/>
                    </w:rPr>
                  </w:pPr>
                  <w:r>
                    <w:rPr>
                      <w:rFonts w:hint="eastAsia"/>
                      <w:lang w:val="en-US" w:eastAsia="zh-CN"/>
                    </w:rPr>
                    <w:t>****</w:t>
                  </w:r>
                </w:p>
              </w:tc>
            </w:tr>
            <w:tr w14:paraId="6A511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11D8F5F1">
                  <w:pPr>
                    <w:bidi w:val="0"/>
                    <w:ind w:firstLine="0" w:firstLineChars="0"/>
                    <w:rPr>
                      <w:rFonts w:hint="default" w:ascii="Times New Roman" w:hAnsi="Times New Roman" w:cs="Times New Roman"/>
                      <w:color w:val="000000"/>
                    </w:rPr>
                  </w:pPr>
                  <w:r>
                    <w:rPr>
                      <w:rFonts w:hint="eastAsia"/>
                      <w:lang w:val="en-US" w:eastAsia="zh-CN"/>
                    </w:rPr>
                    <w:t>****</w:t>
                  </w:r>
                </w:p>
              </w:tc>
              <w:tc>
                <w:tcPr>
                  <w:tcW w:w="1372" w:type="pct"/>
                  <w:noWrap w:val="0"/>
                  <w:vAlign w:val="center"/>
                </w:tcPr>
                <w:p w14:paraId="3ADD9BE5">
                  <w:pPr>
                    <w:bidi w:val="0"/>
                    <w:ind w:firstLine="0" w:firstLineChars="0"/>
                    <w:jc w:val="center"/>
                    <w:rPr>
                      <w:rFonts w:hint="eastAsia" w:cs="Times New Roman"/>
                      <w:color w:val="000000"/>
                      <w:lang w:val="en-US" w:eastAsia="zh-CN"/>
                    </w:rPr>
                  </w:pPr>
                  <w:r>
                    <w:rPr>
                      <w:rFonts w:hint="eastAsia"/>
                      <w:lang w:val="en-US" w:eastAsia="zh-CN"/>
                    </w:rPr>
                    <w:t>****</w:t>
                  </w:r>
                </w:p>
              </w:tc>
              <w:tc>
                <w:tcPr>
                  <w:tcW w:w="887" w:type="pct"/>
                  <w:noWrap w:val="0"/>
                  <w:vAlign w:val="center"/>
                </w:tcPr>
                <w:p w14:paraId="42D25AB5">
                  <w:pPr>
                    <w:bidi w:val="0"/>
                    <w:ind w:firstLine="0" w:firstLineChars="0"/>
                    <w:rPr>
                      <w:rFonts w:hint="eastAsia"/>
                      <w:color w:val="000000"/>
                      <w:highlight w:val="none"/>
                      <w:lang w:val="en-US" w:eastAsia="zh-CN"/>
                    </w:rPr>
                  </w:pPr>
                  <w:r>
                    <w:rPr>
                      <w:rFonts w:hint="eastAsia"/>
                      <w:lang w:val="en-US" w:eastAsia="zh-CN"/>
                    </w:rPr>
                    <w:t>****</w:t>
                  </w:r>
                </w:p>
              </w:tc>
              <w:tc>
                <w:tcPr>
                  <w:tcW w:w="750" w:type="pct"/>
                  <w:noWrap w:val="0"/>
                  <w:vAlign w:val="center"/>
                </w:tcPr>
                <w:p w14:paraId="4D8AF162">
                  <w:pPr>
                    <w:bidi w:val="0"/>
                    <w:ind w:firstLine="0" w:firstLineChars="0"/>
                    <w:rPr>
                      <w:rFonts w:hint="eastAsia" w:cs="Times New Roman"/>
                      <w:color w:val="000000"/>
                      <w:lang w:eastAsia="zh-CN"/>
                    </w:rPr>
                  </w:pPr>
                  <w:r>
                    <w:rPr>
                      <w:rFonts w:hint="eastAsia"/>
                      <w:lang w:val="en-US" w:eastAsia="zh-CN"/>
                    </w:rPr>
                    <w:t>****</w:t>
                  </w:r>
                </w:p>
              </w:tc>
              <w:tc>
                <w:tcPr>
                  <w:tcW w:w="809" w:type="pct"/>
                  <w:noWrap w:val="0"/>
                  <w:vAlign w:val="center"/>
                </w:tcPr>
                <w:p w14:paraId="33680AB6">
                  <w:pPr>
                    <w:bidi w:val="0"/>
                    <w:ind w:firstLine="0" w:firstLineChars="0"/>
                    <w:rPr>
                      <w:rFonts w:hint="eastAsia" w:cs="Times New Roman"/>
                      <w:color w:val="000000"/>
                      <w:lang w:val="en-US" w:eastAsia="zh-CN"/>
                    </w:rPr>
                  </w:pPr>
                  <w:r>
                    <w:rPr>
                      <w:rFonts w:hint="eastAsia"/>
                      <w:lang w:val="en-US" w:eastAsia="zh-CN"/>
                    </w:rPr>
                    <w:t>****</w:t>
                  </w:r>
                </w:p>
              </w:tc>
              <w:tc>
                <w:tcPr>
                  <w:tcW w:w="753" w:type="pct"/>
                  <w:noWrap w:val="0"/>
                  <w:vAlign w:val="center"/>
                </w:tcPr>
                <w:p w14:paraId="0987002B">
                  <w:pPr>
                    <w:bidi w:val="0"/>
                    <w:jc w:val="center"/>
                    <w:rPr>
                      <w:rFonts w:hint="eastAsia" w:cs="Times New Roman"/>
                      <w:color w:val="000000"/>
                      <w:lang w:eastAsia="zh-CN"/>
                    </w:rPr>
                  </w:pPr>
                  <w:r>
                    <w:rPr>
                      <w:rFonts w:hint="eastAsia"/>
                      <w:lang w:val="en-US" w:eastAsia="zh-CN"/>
                    </w:rPr>
                    <w:t>****</w:t>
                  </w:r>
                </w:p>
              </w:tc>
            </w:tr>
            <w:tr w14:paraId="42D6A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75EC55B8">
                  <w:pPr>
                    <w:bidi w:val="0"/>
                    <w:ind w:firstLine="0" w:firstLineChars="0"/>
                    <w:rPr>
                      <w:rFonts w:hint="eastAsia" w:ascii="Times New Roman" w:hAnsi="Times New Roman" w:eastAsia="宋体" w:cs="Times New Roman"/>
                      <w:color w:val="000000"/>
                      <w:lang w:val="en-US" w:eastAsia="zh-CN"/>
                    </w:rPr>
                  </w:pPr>
                  <w:r>
                    <w:rPr>
                      <w:rFonts w:hint="eastAsia"/>
                      <w:lang w:val="en-US" w:eastAsia="zh-CN"/>
                    </w:rPr>
                    <w:t>****</w:t>
                  </w:r>
                </w:p>
              </w:tc>
              <w:tc>
                <w:tcPr>
                  <w:tcW w:w="1372" w:type="pct"/>
                  <w:noWrap w:val="0"/>
                  <w:vAlign w:val="center"/>
                </w:tcPr>
                <w:p w14:paraId="07348AAF">
                  <w:pPr>
                    <w:bidi w:val="0"/>
                    <w:ind w:firstLine="0" w:firstLineChars="0"/>
                    <w:rPr>
                      <w:rFonts w:hint="eastAsia" w:cs="Times New Roman"/>
                      <w:color w:val="000000"/>
                      <w:lang w:val="en-US" w:eastAsia="zh-CN"/>
                    </w:rPr>
                  </w:pPr>
                  <w:r>
                    <w:rPr>
                      <w:rFonts w:hint="eastAsia"/>
                      <w:lang w:val="en-US" w:eastAsia="zh-CN"/>
                    </w:rPr>
                    <w:t>****</w:t>
                  </w:r>
                </w:p>
              </w:tc>
              <w:tc>
                <w:tcPr>
                  <w:tcW w:w="887" w:type="pct"/>
                  <w:noWrap w:val="0"/>
                  <w:vAlign w:val="center"/>
                </w:tcPr>
                <w:p w14:paraId="5AE0A513">
                  <w:pPr>
                    <w:bidi w:val="0"/>
                    <w:ind w:firstLine="0" w:firstLineChars="0"/>
                    <w:rPr>
                      <w:rFonts w:hint="eastAsia" w:cs="Times New Roman"/>
                      <w:color w:val="000000"/>
                      <w:highlight w:val="none"/>
                      <w:lang w:val="en-US" w:eastAsia="zh-CN"/>
                    </w:rPr>
                  </w:pPr>
                  <w:r>
                    <w:rPr>
                      <w:rFonts w:hint="eastAsia"/>
                      <w:lang w:val="en-US" w:eastAsia="zh-CN"/>
                    </w:rPr>
                    <w:t>****</w:t>
                  </w:r>
                </w:p>
              </w:tc>
              <w:tc>
                <w:tcPr>
                  <w:tcW w:w="750" w:type="pct"/>
                  <w:noWrap w:val="0"/>
                  <w:vAlign w:val="center"/>
                </w:tcPr>
                <w:p w14:paraId="3B4EAC53">
                  <w:pPr>
                    <w:bidi w:val="0"/>
                    <w:ind w:firstLine="0" w:firstLineChars="0"/>
                    <w:rPr>
                      <w:rFonts w:hint="eastAsia" w:cs="Times New Roman"/>
                      <w:color w:val="000000"/>
                      <w:lang w:eastAsia="zh-CN"/>
                    </w:rPr>
                  </w:pPr>
                  <w:r>
                    <w:rPr>
                      <w:rFonts w:hint="eastAsia"/>
                      <w:lang w:val="en-US" w:eastAsia="zh-CN"/>
                    </w:rPr>
                    <w:t>****</w:t>
                  </w:r>
                </w:p>
              </w:tc>
              <w:tc>
                <w:tcPr>
                  <w:tcW w:w="809" w:type="pct"/>
                  <w:noWrap w:val="0"/>
                  <w:vAlign w:val="center"/>
                </w:tcPr>
                <w:p w14:paraId="3EB1CC49">
                  <w:pPr>
                    <w:bidi w:val="0"/>
                    <w:ind w:firstLine="0" w:firstLineChars="0"/>
                    <w:rPr>
                      <w:rFonts w:hint="eastAsia" w:cs="Times New Roman"/>
                      <w:color w:val="000000"/>
                      <w:lang w:val="en-US" w:eastAsia="zh-CN"/>
                    </w:rPr>
                  </w:pPr>
                  <w:r>
                    <w:rPr>
                      <w:rFonts w:hint="eastAsia"/>
                      <w:lang w:val="en-US" w:eastAsia="zh-CN"/>
                    </w:rPr>
                    <w:t>****</w:t>
                  </w:r>
                </w:p>
              </w:tc>
              <w:tc>
                <w:tcPr>
                  <w:tcW w:w="753" w:type="pct"/>
                  <w:noWrap w:val="0"/>
                  <w:vAlign w:val="center"/>
                </w:tcPr>
                <w:p w14:paraId="29757282">
                  <w:pPr>
                    <w:bidi w:val="0"/>
                    <w:jc w:val="center"/>
                    <w:rPr>
                      <w:rFonts w:hint="eastAsia" w:cs="Times New Roman"/>
                      <w:color w:val="000000"/>
                      <w:lang w:val="en-US" w:eastAsia="zh-CN"/>
                    </w:rPr>
                  </w:pPr>
                  <w:r>
                    <w:rPr>
                      <w:rFonts w:hint="eastAsia"/>
                      <w:lang w:val="en-US" w:eastAsia="zh-CN"/>
                    </w:rPr>
                    <w:t>****</w:t>
                  </w:r>
                </w:p>
              </w:tc>
            </w:tr>
            <w:tr w14:paraId="7A435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7C95FC3C">
                  <w:pPr>
                    <w:bidi w:val="0"/>
                    <w:ind w:firstLine="0" w:firstLineChars="0"/>
                    <w:rPr>
                      <w:rFonts w:hint="default" w:ascii="Times New Roman" w:hAnsi="Times New Roman" w:eastAsia="宋体" w:cs="Times New Roman"/>
                      <w:color w:val="000000"/>
                      <w:lang w:val="en-US" w:eastAsia="zh-CN"/>
                    </w:rPr>
                  </w:pPr>
                  <w:r>
                    <w:rPr>
                      <w:rFonts w:hint="eastAsia"/>
                      <w:lang w:val="en-US" w:eastAsia="zh-CN"/>
                    </w:rPr>
                    <w:t>****</w:t>
                  </w:r>
                </w:p>
              </w:tc>
              <w:tc>
                <w:tcPr>
                  <w:tcW w:w="1372" w:type="pct"/>
                  <w:noWrap w:val="0"/>
                  <w:vAlign w:val="center"/>
                </w:tcPr>
                <w:p w14:paraId="7E441B32">
                  <w:pPr>
                    <w:bidi w:val="0"/>
                    <w:ind w:firstLine="0" w:firstLineChars="0"/>
                    <w:rPr>
                      <w:rFonts w:hint="default" w:ascii="Times New Roman" w:hAnsi="Times New Roman" w:cs="Times New Roman"/>
                      <w:color w:val="000000"/>
                      <w:lang w:val="en-US" w:eastAsia="zh-CN"/>
                    </w:rPr>
                  </w:pPr>
                  <w:r>
                    <w:rPr>
                      <w:rFonts w:hint="eastAsia"/>
                      <w:lang w:val="en-US" w:eastAsia="zh-CN"/>
                    </w:rPr>
                    <w:t>****</w:t>
                  </w:r>
                </w:p>
              </w:tc>
              <w:tc>
                <w:tcPr>
                  <w:tcW w:w="887" w:type="pct"/>
                  <w:noWrap w:val="0"/>
                  <w:vAlign w:val="center"/>
                </w:tcPr>
                <w:p w14:paraId="627E16AA">
                  <w:pPr>
                    <w:bidi w:val="0"/>
                    <w:ind w:firstLine="0" w:firstLineChars="0"/>
                    <w:rPr>
                      <w:rFonts w:hint="eastAsia" w:ascii="Times New Roman" w:hAnsi="Times New Roman" w:eastAsia="宋体" w:cs="Times New Roman"/>
                      <w:color w:val="000000"/>
                      <w:highlight w:val="none"/>
                      <w:lang w:val="en-US" w:eastAsia="zh-CN"/>
                    </w:rPr>
                  </w:pPr>
                  <w:r>
                    <w:rPr>
                      <w:rFonts w:hint="eastAsia"/>
                      <w:lang w:val="en-US" w:eastAsia="zh-CN"/>
                    </w:rPr>
                    <w:t>****</w:t>
                  </w:r>
                </w:p>
              </w:tc>
              <w:tc>
                <w:tcPr>
                  <w:tcW w:w="750" w:type="pct"/>
                  <w:noWrap w:val="0"/>
                  <w:vAlign w:val="center"/>
                </w:tcPr>
                <w:p w14:paraId="42E78CA4">
                  <w:pPr>
                    <w:bidi w:val="0"/>
                    <w:ind w:firstLine="0" w:firstLineChars="0"/>
                    <w:rPr>
                      <w:rFonts w:hint="eastAsia" w:ascii="Times New Roman" w:hAnsi="Times New Roman" w:eastAsia="宋体" w:cs="Times New Roman"/>
                      <w:color w:val="000000"/>
                      <w:lang w:eastAsia="zh-CN"/>
                    </w:rPr>
                  </w:pPr>
                  <w:r>
                    <w:rPr>
                      <w:rFonts w:hint="eastAsia"/>
                      <w:lang w:val="en-US" w:eastAsia="zh-CN"/>
                    </w:rPr>
                    <w:t>****</w:t>
                  </w:r>
                </w:p>
              </w:tc>
              <w:tc>
                <w:tcPr>
                  <w:tcW w:w="809" w:type="pct"/>
                  <w:noWrap w:val="0"/>
                  <w:vAlign w:val="center"/>
                </w:tcPr>
                <w:p w14:paraId="18EED686">
                  <w:pPr>
                    <w:bidi w:val="0"/>
                    <w:ind w:firstLine="0" w:firstLineChars="0"/>
                    <w:rPr>
                      <w:rFonts w:hint="default" w:ascii="Times New Roman" w:hAnsi="Times New Roman" w:cs="Times New Roman"/>
                      <w:color w:val="000000"/>
                      <w:lang w:val="en-US" w:eastAsia="zh-CN"/>
                    </w:rPr>
                  </w:pPr>
                  <w:r>
                    <w:rPr>
                      <w:rFonts w:hint="eastAsia"/>
                      <w:lang w:val="en-US" w:eastAsia="zh-CN"/>
                    </w:rPr>
                    <w:t>****</w:t>
                  </w:r>
                </w:p>
              </w:tc>
              <w:tc>
                <w:tcPr>
                  <w:tcW w:w="753" w:type="pct"/>
                  <w:noWrap w:val="0"/>
                  <w:vAlign w:val="center"/>
                </w:tcPr>
                <w:p w14:paraId="7930362C">
                  <w:pPr>
                    <w:bidi w:val="0"/>
                    <w:rPr>
                      <w:rFonts w:hint="default" w:ascii="Times New Roman" w:hAnsi="Times New Roman" w:cs="Times New Roman"/>
                      <w:color w:val="000000"/>
                      <w:lang w:val="en-US" w:eastAsia="zh-CN"/>
                    </w:rPr>
                  </w:pPr>
                  <w:r>
                    <w:rPr>
                      <w:rFonts w:hint="eastAsia"/>
                      <w:lang w:val="en-US" w:eastAsia="zh-CN"/>
                    </w:rPr>
                    <w:t>****</w:t>
                  </w:r>
                </w:p>
              </w:tc>
            </w:tr>
            <w:tr w14:paraId="0A7C9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40C996AC">
                  <w:pPr>
                    <w:bidi w:val="0"/>
                    <w:ind w:firstLine="0" w:firstLineChars="0"/>
                    <w:rPr>
                      <w:rFonts w:hint="default" w:ascii="Times New Roman" w:hAnsi="Times New Roman" w:cs="Times New Roman"/>
                      <w:color w:val="000000"/>
                      <w:lang w:val="en-US" w:eastAsia="zh-CN"/>
                    </w:rPr>
                  </w:pPr>
                  <w:r>
                    <w:rPr>
                      <w:rFonts w:hint="eastAsia"/>
                      <w:lang w:val="en-US" w:eastAsia="zh-CN"/>
                    </w:rPr>
                    <w:t>****</w:t>
                  </w:r>
                </w:p>
              </w:tc>
              <w:tc>
                <w:tcPr>
                  <w:tcW w:w="1372" w:type="pct"/>
                  <w:noWrap w:val="0"/>
                  <w:vAlign w:val="center"/>
                </w:tcPr>
                <w:p w14:paraId="5CE1749C">
                  <w:pPr>
                    <w:bidi w:val="0"/>
                    <w:ind w:firstLine="0" w:firstLineChars="0"/>
                    <w:rPr>
                      <w:rFonts w:hint="default" w:ascii="Times New Roman" w:hAnsi="Times New Roman" w:cs="Times New Roman"/>
                      <w:color w:val="000000"/>
                      <w:lang w:val="en-US" w:eastAsia="zh-CN"/>
                    </w:rPr>
                  </w:pPr>
                  <w:r>
                    <w:rPr>
                      <w:rFonts w:hint="eastAsia"/>
                      <w:lang w:val="en-US" w:eastAsia="zh-CN"/>
                    </w:rPr>
                    <w:t>****</w:t>
                  </w:r>
                </w:p>
              </w:tc>
              <w:tc>
                <w:tcPr>
                  <w:tcW w:w="887" w:type="pct"/>
                  <w:noWrap w:val="0"/>
                  <w:vAlign w:val="center"/>
                </w:tcPr>
                <w:p w14:paraId="3386B0C7">
                  <w:pPr>
                    <w:bidi w:val="0"/>
                    <w:ind w:firstLine="0" w:firstLineChars="0"/>
                    <w:rPr>
                      <w:rFonts w:hint="eastAsia" w:eastAsia="宋体"/>
                      <w:color w:val="000000"/>
                      <w:highlight w:val="none"/>
                      <w:lang w:val="en-US" w:eastAsia="zh-CN"/>
                    </w:rPr>
                  </w:pPr>
                  <w:r>
                    <w:rPr>
                      <w:rFonts w:hint="eastAsia"/>
                      <w:lang w:val="en-US" w:eastAsia="zh-CN"/>
                    </w:rPr>
                    <w:t>****</w:t>
                  </w:r>
                </w:p>
              </w:tc>
              <w:tc>
                <w:tcPr>
                  <w:tcW w:w="750" w:type="pct"/>
                  <w:noWrap w:val="0"/>
                  <w:vAlign w:val="center"/>
                </w:tcPr>
                <w:p w14:paraId="7963EE99">
                  <w:pPr>
                    <w:bidi w:val="0"/>
                    <w:ind w:firstLine="0" w:firstLineChars="0"/>
                    <w:rPr>
                      <w:rFonts w:hint="eastAsia" w:ascii="Times New Roman" w:hAnsi="Times New Roman" w:eastAsia="宋体" w:cs="Times New Roman"/>
                      <w:color w:val="000000"/>
                      <w:lang w:eastAsia="zh-CN"/>
                    </w:rPr>
                  </w:pPr>
                  <w:r>
                    <w:rPr>
                      <w:rFonts w:hint="eastAsia"/>
                      <w:lang w:val="en-US" w:eastAsia="zh-CN"/>
                    </w:rPr>
                    <w:t>****</w:t>
                  </w:r>
                </w:p>
              </w:tc>
              <w:tc>
                <w:tcPr>
                  <w:tcW w:w="809" w:type="pct"/>
                  <w:noWrap w:val="0"/>
                  <w:vAlign w:val="center"/>
                </w:tcPr>
                <w:p w14:paraId="26951F8B">
                  <w:pPr>
                    <w:bidi w:val="0"/>
                    <w:ind w:firstLine="0" w:firstLineChars="0"/>
                    <w:rPr>
                      <w:rFonts w:hint="default" w:ascii="Times New Roman" w:hAnsi="Times New Roman" w:cs="Times New Roman"/>
                      <w:color w:val="000000"/>
                      <w:lang w:val="en-US" w:eastAsia="zh-CN"/>
                    </w:rPr>
                  </w:pPr>
                  <w:r>
                    <w:rPr>
                      <w:rFonts w:hint="eastAsia"/>
                      <w:lang w:val="en-US" w:eastAsia="zh-CN"/>
                    </w:rPr>
                    <w:t>****</w:t>
                  </w:r>
                </w:p>
              </w:tc>
              <w:tc>
                <w:tcPr>
                  <w:tcW w:w="753" w:type="pct"/>
                  <w:noWrap w:val="0"/>
                  <w:vAlign w:val="center"/>
                </w:tcPr>
                <w:p w14:paraId="0209B1DA">
                  <w:pPr>
                    <w:bidi w:val="0"/>
                    <w:rPr>
                      <w:rFonts w:hint="default" w:ascii="Times New Roman" w:hAnsi="Times New Roman" w:cs="Times New Roman"/>
                      <w:color w:val="000000"/>
                      <w:lang w:val="en-US" w:eastAsia="zh-CN"/>
                    </w:rPr>
                  </w:pPr>
                  <w:r>
                    <w:rPr>
                      <w:rFonts w:hint="eastAsia"/>
                      <w:lang w:val="en-US" w:eastAsia="zh-CN"/>
                    </w:rPr>
                    <w:t>****</w:t>
                  </w:r>
                </w:p>
              </w:tc>
            </w:tr>
            <w:tr w14:paraId="69E22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1A765D32">
                  <w:pPr>
                    <w:bidi w:val="0"/>
                    <w:ind w:firstLine="0" w:firstLineChars="0"/>
                    <w:rPr>
                      <w:rFonts w:hint="default" w:ascii="Times New Roman" w:hAnsi="Times New Roman" w:cs="Times New Roman"/>
                      <w:color w:val="000000"/>
                      <w:lang w:val="en-US" w:eastAsia="zh-CN"/>
                    </w:rPr>
                  </w:pPr>
                  <w:r>
                    <w:rPr>
                      <w:rFonts w:hint="eastAsia"/>
                      <w:lang w:val="en-US" w:eastAsia="zh-CN"/>
                    </w:rPr>
                    <w:t>****</w:t>
                  </w:r>
                </w:p>
              </w:tc>
              <w:tc>
                <w:tcPr>
                  <w:tcW w:w="1372" w:type="pct"/>
                  <w:noWrap w:val="0"/>
                  <w:vAlign w:val="center"/>
                </w:tcPr>
                <w:p w14:paraId="751F8755">
                  <w:pPr>
                    <w:bidi w:val="0"/>
                    <w:rPr>
                      <w:rFonts w:hint="default" w:ascii="Times New Roman" w:hAnsi="Times New Roman" w:cs="Times New Roman"/>
                      <w:color w:val="000000"/>
                      <w:lang w:val="en-US" w:eastAsia="zh-CN"/>
                    </w:rPr>
                  </w:pPr>
                  <w:r>
                    <w:rPr>
                      <w:rFonts w:hint="eastAsia"/>
                      <w:lang w:val="en-US" w:eastAsia="zh-CN"/>
                    </w:rPr>
                    <w:t>****</w:t>
                  </w:r>
                </w:p>
              </w:tc>
              <w:tc>
                <w:tcPr>
                  <w:tcW w:w="887" w:type="pct"/>
                  <w:noWrap w:val="0"/>
                  <w:vAlign w:val="center"/>
                </w:tcPr>
                <w:p w14:paraId="1CFF7687">
                  <w:pPr>
                    <w:bidi w:val="0"/>
                    <w:rPr>
                      <w:rFonts w:hint="default" w:ascii="Times New Roman" w:hAnsi="Times New Roman" w:cs="Times New Roman"/>
                      <w:color w:val="000000"/>
                      <w:highlight w:val="none"/>
                      <w:lang w:val="en-US" w:eastAsia="zh-CN"/>
                    </w:rPr>
                  </w:pPr>
                  <w:r>
                    <w:rPr>
                      <w:rFonts w:hint="eastAsia"/>
                      <w:lang w:val="en-US" w:eastAsia="zh-CN"/>
                    </w:rPr>
                    <w:t>****</w:t>
                  </w:r>
                </w:p>
              </w:tc>
              <w:tc>
                <w:tcPr>
                  <w:tcW w:w="750" w:type="pct"/>
                  <w:noWrap w:val="0"/>
                  <w:vAlign w:val="center"/>
                </w:tcPr>
                <w:p w14:paraId="7F6690A0">
                  <w:pPr>
                    <w:bidi w:val="0"/>
                    <w:rPr>
                      <w:rFonts w:hint="default" w:ascii="Times New Roman" w:hAnsi="Times New Roman" w:cs="Times New Roman"/>
                      <w:color w:val="000000"/>
                      <w:highlight w:val="none"/>
                    </w:rPr>
                  </w:pPr>
                  <w:r>
                    <w:rPr>
                      <w:rFonts w:hint="eastAsia"/>
                      <w:lang w:val="en-US" w:eastAsia="zh-CN"/>
                    </w:rPr>
                    <w:t>****</w:t>
                  </w:r>
                </w:p>
              </w:tc>
              <w:tc>
                <w:tcPr>
                  <w:tcW w:w="809" w:type="pct"/>
                  <w:noWrap w:val="0"/>
                  <w:vAlign w:val="center"/>
                </w:tcPr>
                <w:p w14:paraId="4C41A575">
                  <w:pPr>
                    <w:bidi w:val="0"/>
                    <w:rPr>
                      <w:rFonts w:hint="default" w:ascii="Times New Roman" w:hAnsi="Times New Roman" w:cs="Times New Roman"/>
                      <w:color w:val="000000"/>
                      <w:highlight w:val="none"/>
                    </w:rPr>
                  </w:pPr>
                  <w:r>
                    <w:rPr>
                      <w:rFonts w:hint="eastAsia"/>
                      <w:lang w:val="en-US" w:eastAsia="zh-CN"/>
                    </w:rPr>
                    <w:t>****</w:t>
                  </w:r>
                </w:p>
              </w:tc>
              <w:tc>
                <w:tcPr>
                  <w:tcW w:w="753" w:type="pct"/>
                  <w:noWrap w:val="0"/>
                  <w:vAlign w:val="center"/>
                </w:tcPr>
                <w:p w14:paraId="0B3E2BE4">
                  <w:pPr>
                    <w:bidi w:val="0"/>
                    <w:rPr>
                      <w:rFonts w:hint="default" w:ascii="Times New Roman" w:hAnsi="Times New Roman" w:cs="Times New Roman"/>
                      <w:color w:val="000000"/>
                      <w:highlight w:val="none"/>
                    </w:rPr>
                  </w:pPr>
                  <w:r>
                    <w:rPr>
                      <w:rFonts w:hint="eastAsia"/>
                      <w:lang w:val="en-US" w:eastAsia="zh-CN"/>
                    </w:rPr>
                    <w:t>****</w:t>
                  </w:r>
                </w:p>
              </w:tc>
            </w:tr>
            <w:tr w14:paraId="4F81D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0DFCA9EB">
                  <w:pPr>
                    <w:bidi w:val="0"/>
                    <w:rPr>
                      <w:rFonts w:hint="default" w:ascii="Times New Roman" w:hAnsi="Times New Roman" w:cs="Times New Roman"/>
                      <w:color w:val="000000"/>
                      <w:lang w:val="en-US" w:eastAsia="zh-CN"/>
                    </w:rPr>
                  </w:pPr>
                  <w:r>
                    <w:rPr>
                      <w:rFonts w:hint="eastAsia"/>
                      <w:lang w:val="en-US" w:eastAsia="zh-CN"/>
                    </w:rPr>
                    <w:t>****</w:t>
                  </w:r>
                </w:p>
              </w:tc>
              <w:tc>
                <w:tcPr>
                  <w:tcW w:w="1372" w:type="pct"/>
                  <w:noWrap w:val="0"/>
                  <w:vAlign w:val="center"/>
                </w:tcPr>
                <w:p w14:paraId="4AC448DE">
                  <w:pPr>
                    <w:bidi w:val="0"/>
                    <w:rPr>
                      <w:rFonts w:hint="default" w:ascii="Times New Roman" w:hAnsi="Times New Roman" w:cs="Times New Roman"/>
                      <w:color w:val="000000"/>
                      <w:lang w:val="en-US" w:eastAsia="zh-CN"/>
                    </w:rPr>
                  </w:pPr>
                  <w:r>
                    <w:rPr>
                      <w:rFonts w:hint="eastAsia"/>
                      <w:lang w:val="en-US" w:eastAsia="zh-CN"/>
                    </w:rPr>
                    <w:t>****</w:t>
                  </w:r>
                </w:p>
              </w:tc>
              <w:tc>
                <w:tcPr>
                  <w:tcW w:w="887" w:type="pct"/>
                  <w:noWrap w:val="0"/>
                  <w:vAlign w:val="center"/>
                </w:tcPr>
                <w:p w14:paraId="2C619F1F">
                  <w:pPr>
                    <w:bidi w:val="0"/>
                    <w:rPr>
                      <w:rFonts w:hint="default" w:ascii="Times New Roman" w:hAnsi="Times New Roman" w:cs="Times New Roman"/>
                      <w:color w:val="000000"/>
                      <w:highlight w:val="none"/>
                      <w:lang w:val="en-US" w:eastAsia="zh-CN"/>
                    </w:rPr>
                  </w:pPr>
                  <w:r>
                    <w:rPr>
                      <w:rFonts w:hint="eastAsia"/>
                      <w:lang w:val="en-US" w:eastAsia="zh-CN"/>
                    </w:rPr>
                    <w:t>****</w:t>
                  </w:r>
                </w:p>
              </w:tc>
              <w:tc>
                <w:tcPr>
                  <w:tcW w:w="750" w:type="pct"/>
                  <w:noWrap w:val="0"/>
                  <w:vAlign w:val="center"/>
                </w:tcPr>
                <w:p w14:paraId="1EC61A5C">
                  <w:pPr>
                    <w:bidi w:val="0"/>
                    <w:rPr>
                      <w:rFonts w:hint="default" w:ascii="Times New Roman" w:hAnsi="Times New Roman" w:cs="Times New Roman"/>
                      <w:color w:val="000000"/>
                    </w:rPr>
                  </w:pPr>
                  <w:r>
                    <w:rPr>
                      <w:rFonts w:hint="eastAsia"/>
                      <w:lang w:val="en-US" w:eastAsia="zh-CN"/>
                    </w:rPr>
                    <w:t>****</w:t>
                  </w:r>
                </w:p>
              </w:tc>
              <w:tc>
                <w:tcPr>
                  <w:tcW w:w="809" w:type="pct"/>
                  <w:noWrap w:val="0"/>
                  <w:vAlign w:val="center"/>
                </w:tcPr>
                <w:p w14:paraId="2FC63773">
                  <w:pPr>
                    <w:bidi w:val="0"/>
                    <w:rPr>
                      <w:rFonts w:hint="default" w:ascii="Times New Roman" w:hAnsi="Times New Roman" w:cs="Times New Roman"/>
                      <w:color w:val="000000"/>
                    </w:rPr>
                  </w:pPr>
                  <w:r>
                    <w:rPr>
                      <w:rFonts w:hint="eastAsia"/>
                      <w:lang w:val="en-US" w:eastAsia="zh-CN"/>
                    </w:rPr>
                    <w:t>****</w:t>
                  </w:r>
                </w:p>
              </w:tc>
              <w:tc>
                <w:tcPr>
                  <w:tcW w:w="753" w:type="pct"/>
                  <w:noWrap w:val="0"/>
                  <w:vAlign w:val="center"/>
                </w:tcPr>
                <w:p w14:paraId="07F6070B">
                  <w:pPr>
                    <w:bidi w:val="0"/>
                    <w:rPr>
                      <w:rFonts w:hint="default" w:ascii="Times New Roman" w:hAnsi="Times New Roman" w:cs="Times New Roman"/>
                      <w:color w:val="000000"/>
                    </w:rPr>
                  </w:pPr>
                  <w:r>
                    <w:rPr>
                      <w:rFonts w:hint="eastAsia"/>
                      <w:lang w:val="en-US" w:eastAsia="zh-CN"/>
                    </w:rPr>
                    <w:t>****</w:t>
                  </w:r>
                </w:p>
              </w:tc>
            </w:tr>
          </w:tbl>
          <w:p w14:paraId="1BBC58F5">
            <w:pPr>
              <w:spacing w:before="240" w:beforeLines="1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表2.2-</w:t>
            </w:r>
            <w:r>
              <w:rPr>
                <w:rFonts w:hint="default" w:ascii="Times New Roman" w:hAnsi="Times New Roman" w:eastAsia="黑体" w:cs="Times New Roman"/>
                <w:color w:val="auto"/>
                <w:sz w:val="24"/>
                <w:lang w:val="en-US" w:eastAsia="zh-CN"/>
              </w:rPr>
              <w:t>4</w:t>
            </w:r>
            <w:r>
              <w:rPr>
                <w:rFonts w:hint="default" w:ascii="Times New Roman" w:hAnsi="Times New Roman" w:eastAsia="黑体" w:cs="Times New Roman"/>
                <w:color w:val="auto"/>
                <w:sz w:val="24"/>
              </w:rPr>
              <w:t xml:space="preserve">  主要原辅材料性质介绍</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38"/>
              <w:gridCol w:w="971"/>
              <w:gridCol w:w="6717"/>
            </w:tblGrid>
            <w:tr w14:paraId="67B04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noWrap w:val="0"/>
                  <w:vAlign w:val="center"/>
                </w:tcPr>
                <w:p w14:paraId="1C3E8442">
                  <w:pPr>
                    <w:pStyle w:val="47"/>
                    <w:bidi w:val="0"/>
                    <w:rPr>
                      <w:rFonts w:hint="default"/>
                    </w:rPr>
                  </w:pPr>
                  <w:r>
                    <w:rPr>
                      <w:rFonts w:hint="default"/>
                    </w:rPr>
                    <w:t>序号</w:t>
                  </w:r>
                </w:p>
              </w:tc>
              <w:tc>
                <w:tcPr>
                  <w:tcW w:w="583" w:type="pct"/>
                  <w:noWrap w:val="0"/>
                  <w:vAlign w:val="center"/>
                </w:tcPr>
                <w:p w14:paraId="745AA9B8">
                  <w:pPr>
                    <w:pStyle w:val="47"/>
                    <w:bidi w:val="0"/>
                    <w:rPr>
                      <w:rFonts w:hint="default"/>
                    </w:rPr>
                  </w:pPr>
                  <w:r>
                    <w:rPr>
                      <w:rFonts w:hint="default"/>
                    </w:rPr>
                    <w:t>原料名称</w:t>
                  </w:r>
                </w:p>
              </w:tc>
              <w:tc>
                <w:tcPr>
                  <w:tcW w:w="4033" w:type="pct"/>
                  <w:noWrap w:val="0"/>
                  <w:vAlign w:val="center"/>
                </w:tcPr>
                <w:p w14:paraId="233AB50A">
                  <w:pPr>
                    <w:pStyle w:val="47"/>
                    <w:bidi w:val="0"/>
                    <w:rPr>
                      <w:rFonts w:hint="default"/>
                    </w:rPr>
                  </w:pPr>
                  <w:r>
                    <w:rPr>
                      <w:rFonts w:hint="default"/>
                    </w:rPr>
                    <w:t>性 质</w:t>
                  </w:r>
                </w:p>
              </w:tc>
            </w:tr>
            <w:tr w14:paraId="09AB0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noWrap w:val="0"/>
                  <w:vAlign w:val="center"/>
                </w:tcPr>
                <w:p w14:paraId="62CA0EDC">
                  <w:pPr>
                    <w:bidi w:val="0"/>
                    <w:rPr>
                      <w:rFonts w:hint="default"/>
                      <w:lang w:val="en-US" w:eastAsia="zh-CN"/>
                    </w:rPr>
                  </w:pPr>
                  <w:r>
                    <w:rPr>
                      <w:rFonts w:hint="eastAsia"/>
                      <w:lang w:val="en-US" w:eastAsia="zh-CN"/>
                    </w:rPr>
                    <w:t>****</w:t>
                  </w:r>
                </w:p>
              </w:tc>
              <w:tc>
                <w:tcPr>
                  <w:tcW w:w="583" w:type="pct"/>
                  <w:noWrap w:val="0"/>
                  <w:vAlign w:val="center"/>
                </w:tcPr>
                <w:p w14:paraId="252E26B7">
                  <w:pPr>
                    <w:bidi w:val="0"/>
                    <w:rPr>
                      <w:rFonts w:hint="default"/>
                      <w:lang w:val="en-US" w:eastAsia="zh-CN"/>
                    </w:rPr>
                  </w:pPr>
                  <w:r>
                    <w:rPr>
                      <w:rFonts w:hint="eastAsia"/>
                      <w:lang w:val="en-US" w:eastAsia="zh-CN"/>
                    </w:rPr>
                    <w:t>****</w:t>
                  </w:r>
                </w:p>
              </w:tc>
              <w:tc>
                <w:tcPr>
                  <w:tcW w:w="4033" w:type="pct"/>
                  <w:noWrap w:val="0"/>
                  <w:vAlign w:val="center"/>
                </w:tcPr>
                <w:p w14:paraId="134ED7F5">
                  <w:pPr>
                    <w:bidi w:val="0"/>
                    <w:jc w:val="both"/>
                    <w:rPr>
                      <w:rFonts w:hint="default"/>
                      <w:lang w:val="en-US" w:eastAsia="zh-CN"/>
                    </w:rPr>
                  </w:pPr>
                  <w:r>
                    <w:rPr>
                      <w:rFonts w:hint="eastAsia"/>
                      <w:lang w:val="en-US" w:eastAsia="zh-CN"/>
                    </w:rPr>
                    <w:t>****</w:t>
                  </w:r>
                </w:p>
              </w:tc>
            </w:tr>
            <w:tr w14:paraId="7BA2A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noWrap w:val="0"/>
                  <w:vAlign w:val="center"/>
                </w:tcPr>
                <w:p w14:paraId="79209F74">
                  <w:pPr>
                    <w:bidi w:val="0"/>
                    <w:rPr>
                      <w:rFonts w:hint="default"/>
                      <w:lang w:val="en-US" w:eastAsia="zh-CN"/>
                    </w:rPr>
                  </w:pPr>
                  <w:r>
                    <w:rPr>
                      <w:rFonts w:hint="eastAsia"/>
                      <w:lang w:val="en-US" w:eastAsia="zh-CN"/>
                    </w:rPr>
                    <w:t>****</w:t>
                  </w:r>
                </w:p>
              </w:tc>
              <w:tc>
                <w:tcPr>
                  <w:tcW w:w="583" w:type="pct"/>
                  <w:noWrap w:val="0"/>
                  <w:vAlign w:val="center"/>
                </w:tcPr>
                <w:p w14:paraId="0C1E01A6">
                  <w:pPr>
                    <w:keepLines w:val="0"/>
                    <w:pageBreakBefore w:val="0"/>
                    <w:widowControl w:val="0"/>
                    <w:kinsoku/>
                    <w:wordWrap/>
                    <w:topLinePunct w:val="0"/>
                    <w:autoSpaceDE/>
                    <w:autoSpaceDN/>
                    <w:bidi w:val="0"/>
                    <w:adjustRightInd/>
                    <w:spacing w:line="340" w:lineRule="exact"/>
                    <w:textAlignment w:val="auto"/>
                    <w:rPr>
                      <w:rFonts w:hint="eastAsia"/>
                      <w:lang w:val="en-US" w:eastAsia="zh-CN"/>
                    </w:rPr>
                  </w:pPr>
                  <w:r>
                    <w:rPr>
                      <w:rFonts w:hint="eastAsia"/>
                      <w:lang w:val="en-US" w:eastAsia="zh-CN"/>
                    </w:rPr>
                    <w:t>****</w:t>
                  </w:r>
                </w:p>
              </w:tc>
              <w:tc>
                <w:tcPr>
                  <w:tcW w:w="4033" w:type="pct"/>
                  <w:noWrap w:val="0"/>
                  <w:vAlign w:val="center"/>
                </w:tcPr>
                <w:p w14:paraId="700FED60">
                  <w:pPr>
                    <w:keepLines w:val="0"/>
                    <w:pageBreakBefore w:val="0"/>
                    <w:widowControl w:val="0"/>
                    <w:kinsoku/>
                    <w:wordWrap/>
                    <w:topLinePunct w:val="0"/>
                    <w:autoSpaceDE/>
                    <w:autoSpaceDN/>
                    <w:bidi w:val="0"/>
                    <w:adjustRightInd/>
                    <w:spacing w:line="340" w:lineRule="exact"/>
                    <w:textAlignment w:val="auto"/>
                    <w:rPr>
                      <w:rFonts w:hint="default"/>
                      <w:lang w:val="en-US" w:eastAsia="zh-CN"/>
                    </w:rPr>
                  </w:pPr>
                  <w:r>
                    <w:rPr>
                      <w:rFonts w:hint="eastAsia"/>
                      <w:lang w:val="en-US" w:eastAsia="zh-CN"/>
                    </w:rPr>
                    <w:t>****</w:t>
                  </w:r>
                </w:p>
              </w:tc>
            </w:tr>
            <w:tr w14:paraId="418F4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3"/>
                  <w:noWrap w:val="0"/>
                  <w:vAlign w:val="center"/>
                </w:tcPr>
                <w:p w14:paraId="2B802136">
                  <w:pPr>
                    <w:bidi w:val="0"/>
                    <w:jc w:val="both"/>
                    <w:rPr>
                      <w:rFonts w:hint="default"/>
                      <w:lang w:val="en-US" w:eastAsia="zh-CN"/>
                    </w:rPr>
                  </w:pPr>
                  <w:r>
                    <w:rPr>
                      <w:rFonts w:hint="eastAsia"/>
                      <w:lang w:val="en-US" w:eastAsia="zh-CN"/>
                    </w:rPr>
                    <w:t>****</w:t>
                  </w:r>
                </w:p>
              </w:tc>
            </w:tr>
          </w:tbl>
          <w:p w14:paraId="2F6971C0">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6</w:t>
            </w:r>
            <w:r>
              <w:rPr>
                <w:rFonts w:hint="default" w:ascii="Times New Roman" w:hAnsi="Times New Roman" w:cs="Times New Roman"/>
                <w:color w:val="auto"/>
                <w:lang w:val="en-US" w:eastAsia="zh-CN"/>
              </w:rPr>
              <w:t xml:space="preserve"> 主要生产设备</w:t>
            </w:r>
          </w:p>
          <w:p w14:paraId="6CE9458B">
            <w:pPr>
              <w:pStyle w:val="43"/>
              <w:bidi w:val="0"/>
              <w:rPr>
                <w:rFonts w:hint="default"/>
                <w:lang w:val="en-US" w:eastAsia="zh-CN"/>
              </w:rPr>
            </w:pPr>
            <w:r>
              <w:rPr>
                <w:rFonts w:hint="default"/>
                <w:lang w:val="en-US" w:eastAsia="zh-CN"/>
              </w:rPr>
              <w:t>项目主要生产设备清单见下表2.</w:t>
            </w:r>
            <w:r>
              <w:rPr>
                <w:rFonts w:hint="eastAsia"/>
                <w:lang w:val="en-US" w:eastAsia="zh-CN"/>
              </w:rPr>
              <w:t>2</w:t>
            </w:r>
            <w:r>
              <w:rPr>
                <w:rFonts w:hint="default"/>
                <w:lang w:val="en-US" w:eastAsia="zh-CN"/>
              </w:rPr>
              <w:t>-</w:t>
            </w:r>
            <w:r>
              <w:rPr>
                <w:rFonts w:hint="eastAsia"/>
                <w:lang w:val="en-US" w:eastAsia="zh-CN"/>
              </w:rPr>
              <w:t>5</w:t>
            </w:r>
            <w:r>
              <w:rPr>
                <w:rFonts w:hint="default"/>
                <w:lang w:val="en-US" w:eastAsia="zh-CN"/>
              </w:rPr>
              <w:t>。</w:t>
            </w:r>
          </w:p>
          <w:p w14:paraId="74CC04D0">
            <w:pPr>
              <w:pStyle w:val="46"/>
              <w:bidi w:val="0"/>
              <w:rPr>
                <w:rFonts w:hint="default" w:ascii="Times New Roman" w:hAnsi="Times New Roman" w:cs="Times New Roman"/>
                <w:color w:val="auto"/>
              </w:rPr>
            </w:pPr>
            <w:r>
              <w:rPr>
                <w:rFonts w:hint="default" w:ascii="Times New Roman" w:hAnsi="Times New Roman" w:cs="Times New Roman"/>
                <w:color w:val="auto"/>
              </w:rPr>
              <w:t>表2.2-</w:t>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项目</w:t>
            </w:r>
            <w:r>
              <w:rPr>
                <w:rFonts w:hint="default" w:ascii="Times New Roman" w:hAnsi="Times New Roman" w:cs="Times New Roman"/>
                <w:color w:val="auto"/>
              </w:rPr>
              <w:t>主要生产设备一览表</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75"/>
              <w:gridCol w:w="1562"/>
              <w:gridCol w:w="2515"/>
              <w:gridCol w:w="1266"/>
              <w:gridCol w:w="2205"/>
            </w:tblGrid>
            <w:tr w14:paraId="46C4EB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bottom w:val="single" w:color="000000" w:sz="4" w:space="0"/>
                  </w:tcBorders>
                  <w:noWrap w:val="0"/>
                  <w:vAlign w:val="center"/>
                </w:tcPr>
                <w:p w14:paraId="61E67F7F">
                  <w:pPr>
                    <w:pStyle w:val="82"/>
                    <w:bidi w:val="0"/>
                    <w:rPr>
                      <w:rFonts w:hint="default"/>
                      <w:lang w:val="en-US" w:eastAsia="zh-CN"/>
                    </w:rPr>
                  </w:pPr>
                  <w:r>
                    <w:rPr>
                      <w:rFonts w:hint="default"/>
                      <w:lang w:val="en-US" w:eastAsia="zh-CN"/>
                    </w:rPr>
                    <w:t>序号</w:t>
                  </w:r>
                </w:p>
              </w:tc>
              <w:tc>
                <w:tcPr>
                  <w:tcW w:w="938" w:type="pct"/>
                  <w:tcBorders>
                    <w:bottom w:val="single" w:color="000000" w:sz="4" w:space="0"/>
                  </w:tcBorders>
                  <w:noWrap w:val="0"/>
                  <w:vAlign w:val="center"/>
                </w:tcPr>
                <w:p w14:paraId="25DCF748">
                  <w:pPr>
                    <w:pStyle w:val="82"/>
                    <w:bidi w:val="0"/>
                    <w:rPr>
                      <w:rFonts w:hint="default"/>
                      <w:lang w:val="en-US" w:eastAsia="zh-CN"/>
                    </w:rPr>
                  </w:pPr>
                  <w:r>
                    <w:rPr>
                      <w:rFonts w:hint="default"/>
                      <w:lang w:val="en-US" w:eastAsia="zh-CN"/>
                    </w:rPr>
                    <w:t>设备名称</w:t>
                  </w:r>
                </w:p>
              </w:tc>
              <w:tc>
                <w:tcPr>
                  <w:tcW w:w="1510" w:type="pct"/>
                  <w:tcBorders>
                    <w:bottom w:val="single" w:color="000000" w:sz="4" w:space="0"/>
                  </w:tcBorders>
                  <w:noWrap w:val="0"/>
                  <w:vAlign w:val="center"/>
                </w:tcPr>
                <w:p w14:paraId="0781FDC6">
                  <w:pPr>
                    <w:pStyle w:val="82"/>
                    <w:bidi w:val="0"/>
                    <w:rPr>
                      <w:rFonts w:hint="default"/>
                      <w:lang w:val="en-US" w:eastAsia="zh-CN"/>
                    </w:rPr>
                  </w:pPr>
                  <w:r>
                    <w:rPr>
                      <w:rFonts w:hint="default"/>
                      <w:lang w:val="en-US" w:eastAsia="zh-CN"/>
                    </w:rPr>
                    <w:t>功率/型号</w:t>
                  </w:r>
                </w:p>
              </w:tc>
              <w:tc>
                <w:tcPr>
                  <w:tcW w:w="760" w:type="pct"/>
                  <w:tcBorders>
                    <w:bottom w:val="single" w:color="000000" w:sz="4" w:space="0"/>
                  </w:tcBorders>
                  <w:noWrap w:val="0"/>
                  <w:vAlign w:val="center"/>
                </w:tcPr>
                <w:p w14:paraId="6EB4257B">
                  <w:pPr>
                    <w:pStyle w:val="82"/>
                    <w:bidi w:val="0"/>
                    <w:rPr>
                      <w:rFonts w:hint="default"/>
                      <w:lang w:val="en-US" w:eastAsia="zh-CN"/>
                    </w:rPr>
                  </w:pPr>
                  <w:r>
                    <w:rPr>
                      <w:rFonts w:hint="default"/>
                      <w:lang w:val="en-US" w:eastAsia="zh-CN"/>
                    </w:rPr>
                    <w:t>数量</w:t>
                  </w:r>
                </w:p>
              </w:tc>
              <w:tc>
                <w:tcPr>
                  <w:tcW w:w="1324" w:type="pct"/>
                  <w:tcBorders>
                    <w:bottom w:val="single" w:color="000000" w:sz="4" w:space="0"/>
                  </w:tcBorders>
                  <w:noWrap w:val="0"/>
                  <w:vAlign w:val="center"/>
                </w:tcPr>
                <w:p w14:paraId="114C1E39">
                  <w:pPr>
                    <w:pStyle w:val="82"/>
                    <w:bidi w:val="0"/>
                    <w:rPr>
                      <w:rFonts w:hint="default"/>
                      <w:lang w:val="en-US" w:eastAsia="zh-CN"/>
                    </w:rPr>
                  </w:pPr>
                  <w:r>
                    <w:rPr>
                      <w:rFonts w:hint="default"/>
                      <w:lang w:val="en-US" w:eastAsia="zh-CN"/>
                    </w:rPr>
                    <w:t>对应工序</w:t>
                  </w:r>
                </w:p>
              </w:tc>
            </w:tr>
            <w:tr w14:paraId="342B21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0"/>
                  <w:vAlign w:val="center"/>
                </w:tcPr>
                <w:p w14:paraId="243C7B4E">
                  <w:pPr>
                    <w:bidi w:val="0"/>
                    <w:ind w:firstLine="0" w:firstLineChars="0"/>
                    <w:rPr>
                      <w:rFonts w:hint="default"/>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16BC5102">
                  <w:pPr>
                    <w:bidi w:val="0"/>
                    <w:rPr>
                      <w:rFonts w:hint="default"/>
                      <w:lang w:val="en-US" w:eastAsia="zh-CN"/>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6B347E4C">
                  <w:pPr>
                    <w:bidi w:val="0"/>
                    <w:rPr>
                      <w:rFonts w:hint="eastAsia" w:eastAsia="宋体"/>
                      <w:lang w:val="en-US" w:eastAsia="zh-CN"/>
                    </w:rPr>
                  </w:pPr>
                  <w:r>
                    <w:rPr>
                      <w:rFonts w:hint="eastAsia"/>
                      <w:lang w:val="en-US" w:eastAsia="zh-CN"/>
                    </w:rPr>
                    <w:t>****</w:t>
                  </w:r>
                </w:p>
              </w:tc>
              <w:tc>
                <w:tcPr>
                  <w:tcW w:w="760" w:type="pct"/>
                  <w:tcBorders>
                    <w:top w:val="single" w:color="000000" w:sz="4" w:space="0"/>
                    <w:bottom w:val="single" w:color="000000" w:sz="4" w:space="0"/>
                  </w:tcBorders>
                  <w:noWrap w:val="0"/>
                  <w:vAlign w:val="center"/>
                </w:tcPr>
                <w:p w14:paraId="5262DF3F">
                  <w:pPr>
                    <w:bidi w:val="0"/>
                    <w:rPr>
                      <w:rFonts w:hint="default"/>
                      <w:lang w:val="en-US" w:eastAsia="zh-CN"/>
                    </w:rPr>
                  </w:pPr>
                  <w:r>
                    <w:rPr>
                      <w:rFonts w:hint="eastAsia"/>
                      <w:lang w:val="en-US" w:eastAsia="zh-CN"/>
                    </w:rPr>
                    <w:t>****</w:t>
                  </w:r>
                </w:p>
              </w:tc>
              <w:tc>
                <w:tcPr>
                  <w:tcW w:w="1324" w:type="pct"/>
                  <w:tcBorders>
                    <w:top w:val="single" w:color="000000" w:sz="4" w:space="0"/>
                    <w:bottom w:val="single" w:color="000000" w:sz="4" w:space="0"/>
                  </w:tcBorders>
                  <w:noWrap w:val="0"/>
                  <w:vAlign w:val="center"/>
                </w:tcPr>
                <w:p w14:paraId="08D29977">
                  <w:pPr>
                    <w:bidi w:val="0"/>
                    <w:rPr>
                      <w:rFonts w:hint="eastAsia"/>
                      <w:lang w:val="en-US" w:eastAsia="zh-CN"/>
                    </w:rPr>
                  </w:pPr>
                  <w:r>
                    <w:rPr>
                      <w:rFonts w:hint="eastAsia"/>
                      <w:lang w:val="en-US" w:eastAsia="zh-CN"/>
                    </w:rPr>
                    <w:t>****</w:t>
                  </w:r>
                </w:p>
              </w:tc>
            </w:tr>
            <w:tr w14:paraId="59121B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0"/>
                  <w:vAlign w:val="center"/>
                </w:tcPr>
                <w:p w14:paraId="4F2949DF">
                  <w:pPr>
                    <w:bidi w:val="0"/>
                    <w:ind w:firstLine="0" w:firstLineChars="0"/>
                    <w:rPr>
                      <w:rFonts w:hint="default"/>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3676704E">
                  <w:pPr>
                    <w:bidi w:val="0"/>
                    <w:rPr>
                      <w:rFonts w:hint="eastAsia" w:eastAsia="宋体"/>
                      <w:lang w:val="en-US" w:eastAsia="zh-CN"/>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187F7F30">
                  <w:pPr>
                    <w:bidi w:val="0"/>
                    <w:rPr>
                      <w:rFonts w:hint="default"/>
                      <w:lang w:val="en-US" w:eastAsia="zh-CN"/>
                    </w:rPr>
                  </w:pPr>
                  <w:r>
                    <w:rPr>
                      <w:rFonts w:hint="eastAsia"/>
                      <w:lang w:val="en-US" w:eastAsia="zh-CN"/>
                    </w:rPr>
                    <w:t>****</w:t>
                  </w:r>
                </w:p>
              </w:tc>
              <w:tc>
                <w:tcPr>
                  <w:tcW w:w="760" w:type="pct"/>
                  <w:tcBorders>
                    <w:top w:val="single" w:color="000000" w:sz="4" w:space="0"/>
                    <w:bottom w:val="single" w:color="000000" w:sz="4" w:space="0"/>
                  </w:tcBorders>
                  <w:noWrap w:val="0"/>
                  <w:vAlign w:val="center"/>
                </w:tcPr>
                <w:p w14:paraId="00E3C428">
                  <w:pPr>
                    <w:bidi w:val="0"/>
                    <w:rPr>
                      <w:rFonts w:hint="default"/>
                      <w:lang w:val="en-US" w:eastAsia="zh-CN"/>
                    </w:rPr>
                  </w:pPr>
                  <w:r>
                    <w:rPr>
                      <w:rFonts w:hint="eastAsia"/>
                      <w:lang w:val="en-US" w:eastAsia="zh-CN"/>
                    </w:rPr>
                    <w:t>****</w:t>
                  </w:r>
                </w:p>
              </w:tc>
              <w:tc>
                <w:tcPr>
                  <w:tcW w:w="1324" w:type="pct"/>
                  <w:tcBorders>
                    <w:top w:val="single" w:color="000000" w:sz="4" w:space="0"/>
                    <w:bottom w:val="single" w:color="000000" w:sz="4" w:space="0"/>
                  </w:tcBorders>
                  <w:noWrap w:val="0"/>
                  <w:vAlign w:val="center"/>
                </w:tcPr>
                <w:p w14:paraId="2C6CCE2F">
                  <w:pPr>
                    <w:bidi w:val="0"/>
                    <w:rPr>
                      <w:rFonts w:hint="default"/>
                      <w:lang w:val="en-US" w:eastAsia="zh-CN"/>
                    </w:rPr>
                  </w:pPr>
                  <w:r>
                    <w:rPr>
                      <w:rFonts w:hint="eastAsia"/>
                      <w:lang w:val="en-US" w:eastAsia="zh-CN"/>
                    </w:rPr>
                    <w:t>****</w:t>
                  </w:r>
                </w:p>
              </w:tc>
            </w:tr>
            <w:tr w14:paraId="7D4BC4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0"/>
                  <w:vAlign w:val="center"/>
                </w:tcPr>
                <w:p w14:paraId="357F85FC">
                  <w:pPr>
                    <w:bidi w:val="0"/>
                    <w:ind w:firstLine="0" w:firstLineChars="0"/>
                    <w:rPr>
                      <w:rFonts w:hint="default"/>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6DBBEBD4">
                  <w:pPr>
                    <w:bidi w:val="0"/>
                    <w:ind w:firstLine="0" w:firstLineChars="0"/>
                    <w:rPr>
                      <w:rFonts w:hint="eastAsia"/>
                      <w:lang w:eastAsia="zh-CN"/>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65AD304F">
                  <w:pPr>
                    <w:bidi w:val="0"/>
                    <w:ind w:firstLine="0" w:firstLineChars="0"/>
                    <w:rPr>
                      <w:rFonts w:hint="eastAsia"/>
                    </w:rPr>
                  </w:pPr>
                  <w:r>
                    <w:rPr>
                      <w:rFonts w:hint="eastAsia"/>
                      <w:lang w:val="en-US" w:eastAsia="zh-CN"/>
                    </w:rPr>
                    <w:t>****</w:t>
                  </w:r>
                </w:p>
              </w:tc>
              <w:tc>
                <w:tcPr>
                  <w:tcW w:w="760" w:type="pct"/>
                  <w:tcBorders>
                    <w:top w:val="single" w:color="000000" w:sz="4" w:space="0"/>
                    <w:bottom w:val="single" w:color="000000" w:sz="4" w:space="0"/>
                  </w:tcBorders>
                  <w:noWrap w:val="0"/>
                  <w:vAlign w:val="center"/>
                </w:tcPr>
                <w:p w14:paraId="4D27C1C6">
                  <w:pPr>
                    <w:bidi w:val="0"/>
                    <w:ind w:firstLine="0" w:firstLineChars="0"/>
                    <w:rPr>
                      <w:rFonts w:hint="eastAsia"/>
                      <w:lang w:val="en-US" w:eastAsia="zh-CN"/>
                    </w:rPr>
                  </w:pPr>
                  <w:r>
                    <w:rPr>
                      <w:rFonts w:hint="eastAsia"/>
                      <w:lang w:val="en-US" w:eastAsia="zh-CN"/>
                    </w:rPr>
                    <w:t>****</w:t>
                  </w:r>
                </w:p>
              </w:tc>
              <w:tc>
                <w:tcPr>
                  <w:tcW w:w="1324" w:type="pct"/>
                  <w:tcBorders>
                    <w:top w:val="single" w:color="000000" w:sz="4" w:space="0"/>
                    <w:bottom w:val="single" w:color="000000" w:sz="4" w:space="0"/>
                  </w:tcBorders>
                  <w:noWrap w:val="0"/>
                  <w:vAlign w:val="center"/>
                </w:tcPr>
                <w:p w14:paraId="7CBD7142">
                  <w:pPr>
                    <w:bidi w:val="0"/>
                    <w:ind w:firstLine="0" w:firstLineChars="0"/>
                    <w:rPr>
                      <w:rFonts w:hint="eastAsia"/>
                      <w:lang w:val="en-US" w:eastAsia="zh-CN"/>
                    </w:rPr>
                  </w:pPr>
                  <w:r>
                    <w:rPr>
                      <w:rFonts w:hint="eastAsia"/>
                      <w:lang w:val="en-US" w:eastAsia="zh-CN"/>
                    </w:rPr>
                    <w:t>****</w:t>
                  </w:r>
                </w:p>
              </w:tc>
            </w:tr>
            <w:tr w14:paraId="78D35E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74BB7AAF">
                  <w:pPr>
                    <w:bidi w:val="0"/>
                    <w:ind w:firstLine="0" w:firstLineChars="0"/>
                    <w:rPr>
                      <w:rFonts w:hint="default"/>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45A96B7E">
                  <w:pPr>
                    <w:bidi w:val="0"/>
                    <w:rPr>
                      <w:rFonts w:hint="eastAsia" w:eastAsia="宋体"/>
                      <w:lang w:val="en-US" w:eastAsia="zh-CN"/>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48F0DFC4">
                  <w:pPr>
                    <w:bidi w:val="0"/>
                    <w:rPr>
                      <w:rFonts w:hint="default"/>
                      <w:lang w:val="en-US" w:eastAsia="zh-CN"/>
                    </w:rPr>
                  </w:pPr>
                  <w:r>
                    <w:rPr>
                      <w:rFonts w:hint="eastAsia"/>
                      <w:lang w:val="en-US" w:eastAsia="zh-CN"/>
                    </w:rPr>
                    <w:t>****</w:t>
                  </w:r>
                </w:p>
              </w:tc>
              <w:tc>
                <w:tcPr>
                  <w:tcW w:w="760" w:type="pct"/>
                  <w:tcBorders>
                    <w:top w:val="single" w:color="000000" w:sz="4" w:space="0"/>
                    <w:bottom w:val="single" w:color="000000" w:sz="4" w:space="0"/>
                  </w:tcBorders>
                  <w:noWrap w:val="0"/>
                  <w:vAlign w:val="center"/>
                </w:tcPr>
                <w:p w14:paraId="2DA69883">
                  <w:pPr>
                    <w:bidi w:val="0"/>
                    <w:rPr>
                      <w:rFonts w:hint="default"/>
                      <w:lang w:val="en-US" w:eastAsia="zh-CN"/>
                    </w:rPr>
                  </w:pPr>
                  <w:r>
                    <w:rPr>
                      <w:rFonts w:hint="eastAsia"/>
                      <w:lang w:val="en-US" w:eastAsia="zh-CN"/>
                    </w:rPr>
                    <w:t>****</w:t>
                  </w:r>
                </w:p>
              </w:tc>
              <w:tc>
                <w:tcPr>
                  <w:tcW w:w="1324" w:type="pct"/>
                  <w:tcBorders>
                    <w:top w:val="single" w:color="000000" w:sz="4" w:space="0"/>
                    <w:bottom w:val="single" w:color="000000" w:sz="4" w:space="0"/>
                  </w:tcBorders>
                  <w:noWrap w:val="0"/>
                  <w:vAlign w:val="center"/>
                </w:tcPr>
                <w:p w14:paraId="56724229">
                  <w:pPr>
                    <w:bidi w:val="0"/>
                    <w:rPr>
                      <w:rFonts w:hint="default"/>
                      <w:lang w:val="en-US" w:eastAsia="zh-CN"/>
                    </w:rPr>
                  </w:pPr>
                  <w:r>
                    <w:rPr>
                      <w:rFonts w:hint="eastAsia"/>
                      <w:lang w:val="en-US" w:eastAsia="zh-CN"/>
                    </w:rPr>
                    <w:t>****</w:t>
                  </w:r>
                </w:p>
              </w:tc>
            </w:tr>
            <w:tr w14:paraId="29E90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25B89C69">
                  <w:pPr>
                    <w:bidi w:val="0"/>
                    <w:ind w:firstLine="0" w:firstLineChars="0"/>
                    <w:rPr>
                      <w:rFonts w:hint="default"/>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20DC7715">
                  <w:pPr>
                    <w:bidi w:val="0"/>
                    <w:rPr>
                      <w:rFonts w:hint="eastAsia" w:eastAsia="宋体"/>
                      <w:lang w:val="en-US" w:eastAsia="zh-CN"/>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117A6CAC">
                  <w:pPr>
                    <w:bidi w:val="0"/>
                    <w:rPr>
                      <w:rFonts w:hint="default"/>
                      <w:lang w:val="en-US" w:eastAsia="zh-CN"/>
                    </w:rPr>
                  </w:pPr>
                  <w:r>
                    <w:rPr>
                      <w:rFonts w:hint="eastAsia"/>
                      <w:lang w:val="en-US" w:eastAsia="zh-CN"/>
                    </w:rPr>
                    <w:t>****</w:t>
                  </w:r>
                </w:p>
              </w:tc>
              <w:tc>
                <w:tcPr>
                  <w:tcW w:w="760" w:type="pct"/>
                  <w:tcBorders>
                    <w:top w:val="single" w:color="000000" w:sz="4" w:space="0"/>
                    <w:bottom w:val="single" w:color="000000" w:sz="4" w:space="0"/>
                  </w:tcBorders>
                  <w:noWrap w:val="0"/>
                  <w:vAlign w:val="center"/>
                </w:tcPr>
                <w:p w14:paraId="501E9D04">
                  <w:pPr>
                    <w:bidi w:val="0"/>
                    <w:rPr>
                      <w:rFonts w:hint="default"/>
                      <w:lang w:val="en-US" w:eastAsia="zh-CN"/>
                    </w:rPr>
                  </w:pPr>
                  <w:r>
                    <w:rPr>
                      <w:rFonts w:hint="eastAsia"/>
                      <w:lang w:val="en-US" w:eastAsia="zh-CN"/>
                    </w:rPr>
                    <w:t>****</w:t>
                  </w:r>
                </w:p>
              </w:tc>
              <w:tc>
                <w:tcPr>
                  <w:tcW w:w="1324" w:type="pct"/>
                  <w:tcBorders>
                    <w:top w:val="single" w:color="000000" w:sz="4" w:space="0"/>
                    <w:bottom w:val="single" w:color="000000" w:sz="4" w:space="0"/>
                  </w:tcBorders>
                  <w:noWrap w:val="0"/>
                  <w:vAlign w:val="center"/>
                </w:tcPr>
                <w:p w14:paraId="7A14D349">
                  <w:pPr>
                    <w:bidi w:val="0"/>
                    <w:rPr>
                      <w:rFonts w:hint="default"/>
                      <w:lang w:val="en-US" w:eastAsia="zh-CN"/>
                    </w:rPr>
                  </w:pPr>
                  <w:r>
                    <w:rPr>
                      <w:rFonts w:hint="eastAsia"/>
                      <w:lang w:val="en-US" w:eastAsia="zh-CN"/>
                    </w:rPr>
                    <w:t>****</w:t>
                  </w:r>
                </w:p>
              </w:tc>
            </w:tr>
            <w:tr w14:paraId="67395C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465" w:type="pct"/>
                  <w:tcBorders>
                    <w:top w:val="single" w:color="000000" w:sz="4" w:space="0"/>
                    <w:bottom w:val="single" w:color="000000" w:sz="4" w:space="0"/>
                  </w:tcBorders>
                  <w:noWrap/>
                  <w:vAlign w:val="center"/>
                </w:tcPr>
                <w:p w14:paraId="1AA28B40">
                  <w:pPr>
                    <w:bidi w:val="0"/>
                    <w:ind w:firstLine="0" w:firstLineChars="0"/>
                    <w:rPr>
                      <w:rFonts w:hint="default"/>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7AB9F113">
                  <w:pPr>
                    <w:bidi w:val="0"/>
                    <w:rPr>
                      <w:rFonts w:hint="eastAsia" w:eastAsia="宋体"/>
                      <w:lang w:val="en-US" w:eastAsia="zh-CN"/>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385A3C15">
                  <w:pPr>
                    <w:bidi w:val="0"/>
                    <w:rPr>
                      <w:rFonts w:hint="default"/>
                      <w:lang w:val="en-US" w:eastAsia="zh-CN"/>
                    </w:rPr>
                  </w:pPr>
                  <w:r>
                    <w:rPr>
                      <w:rFonts w:hint="eastAsia"/>
                      <w:lang w:val="en-US" w:eastAsia="zh-CN"/>
                    </w:rPr>
                    <w:t>****</w:t>
                  </w:r>
                </w:p>
              </w:tc>
              <w:tc>
                <w:tcPr>
                  <w:tcW w:w="760" w:type="pct"/>
                  <w:tcBorders>
                    <w:top w:val="single" w:color="000000" w:sz="4" w:space="0"/>
                    <w:bottom w:val="single" w:color="auto" w:sz="4" w:space="0"/>
                  </w:tcBorders>
                  <w:noWrap w:val="0"/>
                  <w:vAlign w:val="center"/>
                </w:tcPr>
                <w:p w14:paraId="037BDC8B">
                  <w:pPr>
                    <w:bidi w:val="0"/>
                    <w:rPr>
                      <w:rFonts w:hint="default"/>
                      <w:lang w:val="en-US" w:eastAsia="zh-CN"/>
                    </w:rPr>
                  </w:pPr>
                  <w:r>
                    <w:rPr>
                      <w:rFonts w:hint="eastAsia"/>
                      <w:lang w:val="en-US" w:eastAsia="zh-CN"/>
                    </w:rPr>
                    <w:t>****</w:t>
                  </w:r>
                </w:p>
              </w:tc>
              <w:tc>
                <w:tcPr>
                  <w:tcW w:w="1324" w:type="pct"/>
                  <w:tcBorders>
                    <w:top w:val="single" w:color="000000" w:sz="4" w:space="0"/>
                    <w:bottom w:val="single" w:color="auto" w:sz="4" w:space="0"/>
                  </w:tcBorders>
                  <w:noWrap w:val="0"/>
                  <w:vAlign w:val="center"/>
                </w:tcPr>
                <w:p w14:paraId="1EC36BF3">
                  <w:pPr>
                    <w:bidi w:val="0"/>
                    <w:rPr>
                      <w:rFonts w:hint="default"/>
                      <w:lang w:val="en-US" w:eastAsia="zh-CN"/>
                    </w:rPr>
                  </w:pPr>
                  <w:r>
                    <w:rPr>
                      <w:rFonts w:hint="eastAsia"/>
                      <w:lang w:val="en-US" w:eastAsia="zh-CN"/>
                    </w:rPr>
                    <w:t>****</w:t>
                  </w:r>
                </w:p>
              </w:tc>
            </w:tr>
            <w:tr w14:paraId="4FE517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139DE93B">
                  <w:pPr>
                    <w:bidi w:val="0"/>
                    <w:ind w:firstLine="0" w:firstLineChars="0"/>
                    <w:rPr>
                      <w:rFonts w:hint="eastAsia"/>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3E67FCBE">
                  <w:pPr>
                    <w:bidi w:val="0"/>
                    <w:ind w:firstLine="0" w:firstLineChars="0"/>
                    <w:rPr>
                      <w:rFonts w:hint="eastAsia"/>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5FDBA168">
                  <w:pPr>
                    <w:bidi w:val="0"/>
                    <w:ind w:firstLine="0" w:firstLineChars="0"/>
                    <w:rPr>
                      <w:rFonts w:hint="eastAsia"/>
                    </w:rPr>
                  </w:pPr>
                  <w:r>
                    <w:rPr>
                      <w:rFonts w:hint="eastAsia"/>
                      <w:lang w:val="en-US" w:eastAsia="zh-CN"/>
                    </w:rPr>
                    <w:t>****</w:t>
                  </w:r>
                </w:p>
              </w:tc>
              <w:tc>
                <w:tcPr>
                  <w:tcW w:w="760" w:type="pct"/>
                  <w:tcBorders>
                    <w:top w:val="single" w:color="000000" w:sz="4" w:space="0"/>
                    <w:bottom w:val="single" w:color="auto" w:sz="4" w:space="0"/>
                  </w:tcBorders>
                  <w:noWrap w:val="0"/>
                  <w:vAlign w:val="center"/>
                </w:tcPr>
                <w:p w14:paraId="5750AF34">
                  <w:pPr>
                    <w:bidi w:val="0"/>
                    <w:ind w:firstLine="0" w:firstLineChars="0"/>
                    <w:rPr>
                      <w:rFonts w:hint="eastAsia"/>
                      <w:lang w:val="en-US" w:eastAsia="zh-CN"/>
                    </w:rPr>
                  </w:pPr>
                  <w:r>
                    <w:rPr>
                      <w:rFonts w:hint="eastAsia"/>
                      <w:lang w:val="en-US" w:eastAsia="zh-CN"/>
                    </w:rPr>
                    <w:t>****</w:t>
                  </w:r>
                </w:p>
              </w:tc>
              <w:tc>
                <w:tcPr>
                  <w:tcW w:w="1324" w:type="pct"/>
                  <w:tcBorders>
                    <w:top w:val="single" w:color="000000" w:sz="4" w:space="0"/>
                    <w:bottom w:val="single" w:color="auto" w:sz="4" w:space="0"/>
                  </w:tcBorders>
                  <w:noWrap w:val="0"/>
                  <w:vAlign w:val="center"/>
                </w:tcPr>
                <w:p w14:paraId="6372378C">
                  <w:pPr>
                    <w:bidi w:val="0"/>
                    <w:ind w:firstLine="0" w:firstLineChars="0"/>
                    <w:rPr>
                      <w:rFonts w:hint="eastAsia"/>
                      <w:lang w:val="en-US" w:eastAsia="zh-CN"/>
                    </w:rPr>
                  </w:pPr>
                  <w:r>
                    <w:rPr>
                      <w:rFonts w:hint="eastAsia"/>
                      <w:lang w:val="en-US" w:eastAsia="zh-CN"/>
                    </w:rPr>
                    <w:t>****</w:t>
                  </w:r>
                </w:p>
              </w:tc>
            </w:tr>
            <w:tr w14:paraId="3ECA07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5941B019">
                  <w:pPr>
                    <w:bidi w:val="0"/>
                    <w:ind w:firstLine="0" w:firstLineChars="0"/>
                    <w:rPr>
                      <w:rFonts w:hint="eastAsia"/>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2D7765FB">
                  <w:pPr>
                    <w:bidi w:val="0"/>
                    <w:rPr>
                      <w:rFonts w:hint="eastAsia" w:eastAsia="宋体"/>
                      <w:lang w:eastAsia="zh-CN"/>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287B082F">
                  <w:pPr>
                    <w:bidi w:val="0"/>
                    <w:rPr>
                      <w:rFonts w:hint="eastAsia" w:eastAsia="宋体"/>
                      <w:lang w:val="en-US" w:eastAsia="zh-CN"/>
                    </w:rPr>
                  </w:pPr>
                  <w:r>
                    <w:rPr>
                      <w:rFonts w:hint="eastAsia"/>
                      <w:lang w:val="en-US" w:eastAsia="zh-CN"/>
                    </w:rPr>
                    <w:t>****</w:t>
                  </w:r>
                </w:p>
              </w:tc>
              <w:tc>
                <w:tcPr>
                  <w:tcW w:w="760" w:type="pct"/>
                  <w:tcBorders>
                    <w:top w:val="single" w:color="000000" w:sz="4" w:space="0"/>
                    <w:bottom w:val="single" w:color="auto" w:sz="4" w:space="0"/>
                  </w:tcBorders>
                  <w:noWrap w:val="0"/>
                  <w:vAlign w:val="center"/>
                </w:tcPr>
                <w:p w14:paraId="5B996C52">
                  <w:pPr>
                    <w:bidi w:val="0"/>
                    <w:rPr>
                      <w:rFonts w:hint="default"/>
                      <w:lang w:val="en-US" w:eastAsia="zh-CN"/>
                    </w:rPr>
                  </w:pPr>
                  <w:r>
                    <w:rPr>
                      <w:rFonts w:hint="eastAsia"/>
                      <w:lang w:val="en-US" w:eastAsia="zh-CN"/>
                    </w:rPr>
                    <w:t>****</w:t>
                  </w:r>
                </w:p>
              </w:tc>
              <w:tc>
                <w:tcPr>
                  <w:tcW w:w="1324" w:type="pct"/>
                  <w:tcBorders>
                    <w:top w:val="single" w:color="000000" w:sz="4" w:space="0"/>
                    <w:bottom w:val="single" w:color="auto" w:sz="4" w:space="0"/>
                  </w:tcBorders>
                  <w:noWrap w:val="0"/>
                  <w:vAlign w:val="center"/>
                </w:tcPr>
                <w:p w14:paraId="46897480">
                  <w:pPr>
                    <w:bidi w:val="0"/>
                    <w:rPr>
                      <w:rFonts w:hint="eastAsia"/>
                      <w:lang w:val="en-US" w:eastAsia="zh-CN"/>
                    </w:rPr>
                  </w:pPr>
                  <w:r>
                    <w:rPr>
                      <w:rFonts w:hint="eastAsia"/>
                      <w:lang w:val="en-US" w:eastAsia="zh-CN"/>
                    </w:rPr>
                    <w:t>****</w:t>
                  </w:r>
                </w:p>
              </w:tc>
            </w:tr>
            <w:tr w14:paraId="0F6F96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2DE84829">
                  <w:pPr>
                    <w:bidi w:val="0"/>
                    <w:ind w:firstLine="0" w:firstLineChars="0"/>
                    <w:rPr>
                      <w:rFonts w:hint="default"/>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70F54F1D">
                  <w:pPr>
                    <w:bidi w:val="0"/>
                    <w:rPr>
                      <w:rFonts w:hint="default"/>
                      <w:lang w:val="en-US" w:eastAsia="zh-CN"/>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7C3B5D9B">
                  <w:pPr>
                    <w:bidi w:val="0"/>
                    <w:rPr>
                      <w:rFonts w:hint="default"/>
                      <w:lang w:val="en-US" w:eastAsia="zh-CN"/>
                    </w:rPr>
                  </w:pPr>
                  <w:r>
                    <w:rPr>
                      <w:rFonts w:hint="eastAsia"/>
                      <w:lang w:val="en-US" w:eastAsia="zh-CN"/>
                    </w:rPr>
                    <w:t>****</w:t>
                  </w:r>
                </w:p>
              </w:tc>
              <w:tc>
                <w:tcPr>
                  <w:tcW w:w="760" w:type="pct"/>
                  <w:tcBorders>
                    <w:top w:val="single" w:color="000000" w:sz="4" w:space="0"/>
                    <w:bottom w:val="single" w:color="000000" w:sz="4" w:space="0"/>
                  </w:tcBorders>
                  <w:noWrap w:val="0"/>
                  <w:vAlign w:val="center"/>
                </w:tcPr>
                <w:p w14:paraId="2E8E82C0">
                  <w:pPr>
                    <w:bidi w:val="0"/>
                    <w:rPr>
                      <w:rFonts w:hint="default"/>
                      <w:lang w:val="en-US" w:eastAsia="zh-CN"/>
                    </w:rPr>
                  </w:pPr>
                  <w:r>
                    <w:rPr>
                      <w:rFonts w:hint="eastAsia"/>
                      <w:lang w:val="en-US" w:eastAsia="zh-CN"/>
                    </w:rPr>
                    <w:t>****</w:t>
                  </w:r>
                </w:p>
              </w:tc>
              <w:tc>
                <w:tcPr>
                  <w:tcW w:w="1324" w:type="pct"/>
                  <w:tcBorders>
                    <w:top w:val="single" w:color="000000" w:sz="4" w:space="0"/>
                    <w:bottom w:val="single" w:color="000000" w:sz="4" w:space="0"/>
                  </w:tcBorders>
                  <w:noWrap w:val="0"/>
                  <w:vAlign w:val="center"/>
                </w:tcPr>
                <w:p w14:paraId="14888267">
                  <w:pPr>
                    <w:bidi w:val="0"/>
                    <w:rPr>
                      <w:rFonts w:hint="default"/>
                      <w:lang w:val="en-US" w:eastAsia="zh-CN"/>
                    </w:rPr>
                  </w:pPr>
                  <w:r>
                    <w:rPr>
                      <w:rFonts w:hint="eastAsia"/>
                      <w:lang w:val="en-US" w:eastAsia="zh-CN"/>
                    </w:rPr>
                    <w:t>****</w:t>
                  </w:r>
                </w:p>
              </w:tc>
            </w:tr>
            <w:tr w14:paraId="1FC2A8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bottom w:val="single" w:color="000000" w:sz="4" w:space="0"/>
                  </w:tcBorders>
                  <w:noWrap/>
                  <w:vAlign w:val="center"/>
                </w:tcPr>
                <w:p w14:paraId="0A165990">
                  <w:pPr>
                    <w:bidi w:val="0"/>
                    <w:ind w:firstLine="0" w:firstLineChars="0"/>
                    <w:rPr>
                      <w:rFonts w:hint="default"/>
                      <w:lang w:val="en-US" w:eastAsia="zh-CN"/>
                    </w:rPr>
                  </w:pPr>
                  <w:r>
                    <w:rPr>
                      <w:rFonts w:hint="eastAsia"/>
                      <w:lang w:val="en-US" w:eastAsia="zh-CN"/>
                    </w:rPr>
                    <w:t>****</w:t>
                  </w:r>
                </w:p>
              </w:tc>
              <w:tc>
                <w:tcPr>
                  <w:tcW w:w="938" w:type="pct"/>
                  <w:tcBorders>
                    <w:top w:val="single" w:color="000000" w:sz="4" w:space="0"/>
                    <w:bottom w:val="single" w:color="000000" w:sz="4" w:space="0"/>
                  </w:tcBorders>
                  <w:noWrap w:val="0"/>
                  <w:vAlign w:val="center"/>
                </w:tcPr>
                <w:p w14:paraId="417B714A">
                  <w:pPr>
                    <w:bidi w:val="0"/>
                    <w:rPr>
                      <w:rFonts w:hint="default"/>
                      <w:lang w:val="en-US" w:eastAsia="zh-CN"/>
                    </w:rPr>
                  </w:pPr>
                  <w:r>
                    <w:rPr>
                      <w:rFonts w:hint="eastAsia"/>
                      <w:lang w:val="en-US" w:eastAsia="zh-CN"/>
                    </w:rPr>
                    <w:t>****</w:t>
                  </w:r>
                </w:p>
              </w:tc>
              <w:tc>
                <w:tcPr>
                  <w:tcW w:w="1510" w:type="pct"/>
                  <w:tcBorders>
                    <w:top w:val="single" w:color="000000" w:sz="4" w:space="0"/>
                    <w:bottom w:val="single" w:color="000000" w:sz="4" w:space="0"/>
                  </w:tcBorders>
                  <w:noWrap w:val="0"/>
                  <w:vAlign w:val="center"/>
                </w:tcPr>
                <w:p w14:paraId="7EDB4973">
                  <w:pPr>
                    <w:bidi w:val="0"/>
                    <w:rPr>
                      <w:rFonts w:hint="default"/>
                      <w:lang w:val="en-US" w:eastAsia="zh-CN"/>
                    </w:rPr>
                  </w:pPr>
                  <w:r>
                    <w:rPr>
                      <w:rFonts w:hint="eastAsia"/>
                      <w:lang w:val="en-US" w:eastAsia="zh-CN"/>
                    </w:rPr>
                    <w:t>****</w:t>
                  </w:r>
                </w:p>
              </w:tc>
              <w:tc>
                <w:tcPr>
                  <w:tcW w:w="760" w:type="pct"/>
                  <w:tcBorders>
                    <w:top w:val="single" w:color="000000" w:sz="4" w:space="0"/>
                    <w:bottom w:val="single" w:color="000000" w:sz="4" w:space="0"/>
                  </w:tcBorders>
                  <w:noWrap w:val="0"/>
                  <w:vAlign w:val="center"/>
                </w:tcPr>
                <w:p w14:paraId="2D3C6B10">
                  <w:pPr>
                    <w:bidi w:val="0"/>
                    <w:rPr>
                      <w:rFonts w:hint="default"/>
                      <w:lang w:val="en-US" w:eastAsia="zh-CN"/>
                    </w:rPr>
                  </w:pPr>
                  <w:r>
                    <w:rPr>
                      <w:rFonts w:hint="eastAsia"/>
                      <w:lang w:val="en-US" w:eastAsia="zh-CN"/>
                    </w:rPr>
                    <w:t>****</w:t>
                  </w:r>
                </w:p>
              </w:tc>
              <w:tc>
                <w:tcPr>
                  <w:tcW w:w="1324" w:type="pct"/>
                  <w:tcBorders>
                    <w:top w:val="single" w:color="000000" w:sz="4" w:space="0"/>
                    <w:bottom w:val="single" w:color="000000" w:sz="4" w:space="0"/>
                  </w:tcBorders>
                  <w:noWrap w:val="0"/>
                  <w:vAlign w:val="center"/>
                </w:tcPr>
                <w:p w14:paraId="3EB19F04">
                  <w:pPr>
                    <w:bidi w:val="0"/>
                    <w:rPr>
                      <w:rFonts w:hint="default"/>
                      <w:lang w:val="en-US" w:eastAsia="zh-CN"/>
                    </w:rPr>
                  </w:pPr>
                  <w:r>
                    <w:rPr>
                      <w:rFonts w:hint="eastAsia"/>
                      <w:lang w:val="en-US" w:eastAsia="zh-CN"/>
                    </w:rPr>
                    <w:t>****</w:t>
                  </w:r>
                </w:p>
              </w:tc>
            </w:tr>
            <w:tr w14:paraId="6365E3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65" w:type="pct"/>
                  <w:tcBorders>
                    <w:top w:val="single" w:color="000000" w:sz="4" w:space="0"/>
                  </w:tcBorders>
                  <w:noWrap/>
                  <w:vAlign w:val="center"/>
                </w:tcPr>
                <w:p w14:paraId="62CCB3D9">
                  <w:pPr>
                    <w:bidi w:val="0"/>
                    <w:ind w:firstLine="0" w:firstLineChars="0"/>
                    <w:rPr>
                      <w:rFonts w:hint="default"/>
                      <w:lang w:val="en-US" w:eastAsia="zh-CN"/>
                    </w:rPr>
                  </w:pPr>
                  <w:r>
                    <w:rPr>
                      <w:rFonts w:hint="eastAsia"/>
                      <w:lang w:val="en-US" w:eastAsia="zh-CN"/>
                    </w:rPr>
                    <w:t>****</w:t>
                  </w:r>
                </w:p>
              </w:tc>
              <w:tc>
                <w:tcPr>
                  <w:tcW w:w="938" w:type="pct"/>
                  <w:tcBorders>
                    <w:top w:val="single" w:color="000000" w:sz="4" w:space="0"/>
                  </w:tcBorders>
                  <w:noWrap w:val="0"/>
                  <w:vAlign w:val="center"/>
                </w:tcPr>
                <w:p w14:paraId="50389CCE">
                  <w:pPr>
                    <w:bidi w:val="0"/>
                    <w:rPr>
                      <w:rFonts w:hint="default"/>
                      <w:lang w:val="en-US" w:eastAsia="zh-CN"/>
                    </w:rPr>
                  </w:pPr>
                  <w:r>
                    <w:rPr>
                      <w:rFonts w:hint="eastAsia"/>
                      <w:lang w:val="en-US" w:eastAsia="zh-CN"/>
                    </w:rPr>
                    <w:t>****</w:t>
                  </w:r>
                </w:p>
              </w:tc>
              <w:tc>
                <w:tcPr>
                  <w:tcW w:w="1510" w:type="pct"/>
                  <w:tcBorders>
                    <w:top w:val="single" w:color="000000" w:sz="4" w:space="0"/>
                  </w:tcBorders>
                  <w:noWrap w:val="0"/>
                  <w:vAlign w:val="center"/>
                </w:tcPr>
                <w:p w14:paraId="797842B8">
                  <w:pPr>
                    <w:bidi w:val="0"/>
                    <w:rPr>
                      <w:rFonts w:hint="default" w:eastAsia="宋体"/>
                      <w:lang w:val="en-US" w:eastAsia="zh-CN"/>
                    </w:rPr>
                  </w:pPr>
                  <w:r>
                    <w:rPr>
                      <w:rFonts w:hint="eastAsia"/>
                      <w:lang w:val="en-US" w:eastAsia="zh-CN"/>
                    </w:rPr>
                    <w:t>****</w:t>
                  </w:r>
                </w:p>
              </w:tc>
              <w:tc>
                <w:tcPr>
                  <w:tcW w:w="760" w:type="pct"/>
                  <w:tcBorders>
                    <w:top w:val="single" w:color="000000" w:sz="4" w:space="0"/>
                  </w:tcBorders>
                  <w:noWrap w:val="0"/>
                  <w:vAlign w:val="center"/>
                </w:tcPr>
                <w:p w14:paraId="3577EA64">
                  <w:pPr>
                    <w:bidi w:val="0"/>
                    <w:rPr>
                      <w:rFonts w:hint="default"/>
                      <w:lang w:val="en-US" w:eastAsia="zh-CN"/>
                    </w:rPr>
                  </w:pPr>
                  <w:r>
                    <w:rPr>
                      <w:rFonts w:hint="eastAsia"/>
                      <w:lang w:val="en-US" w:eastAsia="zh-CN"/>
                    </w:rPr>
                    <w:t>****</w:t>
                  </w:r>
                </w:p>
              </w:tc>
              <w:tc>
                <w:tcPr>
                  <w:tcW w:w="1324" w:type="pct"/>
                  <w:tcBorders>
                    <w:top w:val="single" w:color="000000" w:sz="4" w:space="0"/>
                  </w:tcBorders>
                  <w:noWrap w:val="0"/>
                  <w:vAlign w:val="center"/>
                </w:tcPr>
                <w:p w14:paraId="08440966">
                  <w:pPr>
                    <w:bidi w:val="0"/>
                    <w:rPr>
                      <w:rFonts w:hint="default"/>
                      <w:lang w:val="en-US" w:eastAsia="zh-CN"/>
                    </w:rPr>
                  </w:pPr>
                  <w:r>
                    <w:rPr>
                      <w:rFonts w:hint="eastAsia"/>
                      <w:lang w:val="en-US" w:eastAsia="zh-CN"/>
                    </w:rPr>
                    <w:t>****</w:t>
                  </w:r>
                </w:p>
              </w:tc>
            </w:tr>
          </w:tbl>
          <w:p w14:paraId="79EC324F">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7</w:t>
            </w:r>
            <w:r>
              <w:rPr>
                <w:rFonts w:hint="default" w:ascii="Times New Roman" w:hAnsi="Times New Roman" w:cs="Times New Roman"/>
                <w:color w:val="auto"/>
                <w:lang w:val="en-US" w:eastAsia="zh-CN"/>
              </w:rPr>
              <w:t xml:space="preserve"> 水平衡</w:t>
            </w:r>
          </w:p>
          <w:p w14:paraId="09F656CC">
            <w:pPr>
              <w:pStyle w:val="43"/>
              <w:bidi w:val="0"/>
              <w:rPr>
                <w:rFonts w:hint="default" w:ascii="Times New Roman" w:hAnsi="Times New Roman" w:cs="Times New Roman"/>
                <w:color w:val="auto"/>
                <w:lang w:val="en-US" w:eastAsia="zh-CN"/>
              </w:rPr>
            </w:pPr>
            <w:r>
              <w:rPr>
                <w:rFonts w:hint="eastAsia" w:cs="Times New Roman"/>
                <w:color w:val="auto"/>
                <w:lang w:val="en-US" w:eastAsia="zh-CN"/>
              </w:rPr>
              <w:t>（1）</w:t>
            </w:r>
            <w:r>
              <w:rPr>
                <w:rFonts w:hint="default" w:ascii="Times New Roman" w:hAnsi="Times New Roman" w:cs="Times New Roman"/>
                <w:color w:val="auto"/>
                <w:lang w:val="en-US" w:eastAsia="zh-CN"/>
              </w:rPr>
              <w:t>生活用水</w:t>
            </w:r>
          </w:p>
          <w:p w14:paraId="304DAEB3">
            <w:pPr>
              <w:pStyle w:val="40"/>
              <w:bidi w:val="0"/>
              <w:rPr>
                <w:rFonts w:hint="default" w:ascii="Times New Roman" w:hAnsi="Times New Roman" w:cs="Times New Roman"/>
                <w:color w:val="auto"/>
              </w:rPr>
            </w:pPr>
            <w:r>
              <w:rPr>
                <w:rFonts w:hint="default" w:ascii="Times New Roman" w:hAnsi="Times New Roman" w:cs="Times New Roman"/>
                <w:color w:val="auto"/>
              </w:rPr>
              <w:t>根据业主提供的资料，本项目职工人数</w:t>
            </w:r>
            <w:r>
              <w:rPr>
                <w:rFonts w:hint="eastAsia" w:cs="Times New Roman"/>
                <w:color w:val="auto"/>
                <w:lang w:val="en-US" w:eastAsia="zh-CN"/>
              </w:rPr>
              <w:t>69</w:t>
            </w:r>
            <w:r>
              <w:rPr>
                <w:rFonts w:hint="default" w:ascii="Times New Roman" w:hAnsi="Times New Roman" w:cs="Times New Roman"/>
                <w:color w:val="auto"/>
                <w:lang w:eastAsia="zh-CN"/>
              </w:rPr>
              <w:t>人</w:t>
            </w:r>
            <w:r>
              <w:rPr>
                <w:rFonts w:hint="default" w:ascii="Times New Roman" w:hAnsi="Times New Roman" w:cs="Times New Roman"/>
                <w:color w:val="auto"/>
              </w:rPr>
              <w:t>(包括生产人员、管理人员等)，</w:t>
            </w:r>
            <w:r>
              <w:rPr>
                <w:rFonts w:hint="eastAsia" w:cs="Times New Roman"/>
                <w:color w:val="auto"/>
                <w:lang w:eastAsia="zh-CN"/>
              </w:rPr>
              <w:t>均不在厂内住宿</w:t>
            </w:r>
            <w:r>
              <w:rPr>
                <w:rFonts w:hint="default" w:ascii="Times New Roman" w:hAnsi="Times New Roman" w:cs="Times New Roman"/>
                <w:color w:val="auto"/>
              </w:rPr>
              <w:t>，根据《建筑给水排水设计规范》(GB50015-20</w:t>
            </w:r>
            <w:r>
              <w:rPr>
                <w:rFonts w:hint="default" w:ascii="Times New Roman" w:hAnsi="Times New Roman" w:cs="Times New Roman"/>
                <w:color w:val="auto"/>
                <w:lang w:val="en-US" w:eastAsia="zh-CN"/>
              </w:rPr>
              <w:t>19</w:t>
            </w:r>
            <w:r>
              <w:rPr>
                <w:rFonts w:hint="default" w:ascii="Times New Roman" w:hAnsi="Times New Roman" w:cs="Times New Roman"/>
                <w:color w:val="auto"/>
              </w:rPr>
              <w:t>)车间工人的生活用水定额应根据车间性质确定，</w:t>
            </w:r>
            <w:r>
              <w:rPr>
                <w:rFonts w:hint="default" w:ascii="Times New Roman" w:hAnsi="Times New Roman" w:cs="Times New Roman"/>
                <w:color w:val="auto"/>
                <w:lang w:val="en-US" w:eastAsia="zh-CN"/>
              </w:rPr>
              <w:t>不住厂生活用水定额按50L/人·日计。</w:t>
            </w:r>
            <w:r>
              <w:rPr>
                <w:rFonts w:hint="default" w:ascii="Times New Roman" w:hAnsi="Times New Roman" w:cs="Times New Roman"/>
                <w:color w:val="auto"/>
              </w:rPr>
              <w:t>年工作日按全年营业3</w:t>
            </w:r>
            <w:r>
              <w:rPr>
                <w:rFonts w:hint="default" w:ascii="Times New Roman" w:hAnsi="Times New Roman" w:cs="Times New Roman"/>
                <w:color w:val="auto"/>
                <w:lang w:val="en-US" w:eastAsia="zh-CN"/>
              </w:rPr>
              <w:t>00</w:t>
            </w:r>
            <w:r>
              <w:rPr>
                <w:rFonts w:hint="default" w:ascii="Times New Roman" w:hAnsi="Times New Roman" w:cs="Times New Roman"/>
                <w:color w:val="auto"/>
              </w:rPr>
              <w:t>天计，则本项目职工生活用水量约为</w:t>
            </w:r>
            <w:r>
              <w:rPr>
                <w:rFonts w:hint="eastAsia" w:cs="Times New Roman"/>
                <w:color w:val="auto"/>
                <w:lang w:val="en-US" w:eastAsia="zh-CN"/>
              </w:rPr>
              <w:t>3.45</w:t>
            </w:r>
            <w:r>
              <w:rPr>
                <w:rFonts w:hint="default" w:ascii="Times New Roman" w:hAnsi="Times New Roman" w:cs="Times New Roman"/>
                <w:color w:val="auto"/>
              </w:rPr>
              <w:t>t/d(</w:t>
            </w:r>
            <w:r>
              <w:rPr>
                <w:rFonts w:hint="eastAsia" w:cs="Times New Roman"/>
                <w:color w:val="auto"/>
                <w:lang w:val="en-US" w:eastAsia="zh-CN"/>
              </w:rPr>
              <w:t>1035</w:t>
            </w:r>
            <w:r>
              <w:rPr>
                <w:rFonts w:hint="default" w:ascii="Times New Roman" w:hAnsi="Times New Roman" w:cs="Times New Roman"/>
                <w:color w:val="auto"/>
              </w:rPr>
              <w:t>t/a)，</w:t>
            </w:r>
            <w:r>
              <w:rPr>
                <w:rFonts w:hint="default" w:ascii="Times New Roman" w:hAnsi="Times New Roman" w:cs="Times New Roman"/>
                <w:color w:val="auto"/>
                <w:lang w:val="en-US" w:eastAsia="zh-CN"/>
              </w:rPr>
              <w:t>参照</w:t>
            </w:r>
            <w:r>
              <w:rPr>
                <w:rFonts w:hint="default" w:ascii="Times New Roman" w:hAnsi="Times New Roman" w:cs="Times New Roman"/>
                <w:color w:val="auto"/>
              </w:rPr>
              <w:t>《建筑给水排水设计规范》(GB50015-201</w:t>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可知</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废水排放量正常取用水量的85%</w:t>
            </w:r>
            <w:r>
              <w:rPr>
                <w:rFonts w:hint="eastAsia" w:cs="Times New Roman"/>
                <w:color w:val="auto"/>
                <w:lang w:val="en-US" w:eastAsia="zh-CN"/>
              </w:rPr>
              <w:t>～</w:t>
            </w:r>
            <w:r>
              <w:rPr>
                <w:rFonts w:hint="default" w:ascii="Times New Roman" w:hAnsi="Times New Roman" w:cs="Times New Roman"/>
                <w:color w:val="auto"/>
                <w:lang w:val="en-US" w:eastAsia="zh-CN"/>
              </w:rPr>
              <w:t>95%，本评价按90%计算(其余10%蒸发损耗等)</w:t>
            </w:r>
            <w:r>
              <w:rPr>
                <w:rFonts w:hint="default" w:ascii="Times New Roman" w:hAnsi="Times New Roman" w:cs="Times New Roman"/>
                <w:color w:val="auto"/>
                <w:lang w:eastAsia="zh-CN"/>
              </w:rPr>
              <w:t>，</w:t>
            </w:r>
            <w:r>
              <w:rPr>
                <w:rFonts w:hint="default" w:ascii="Times New Roman" w:hAnsi="Times New Roman" w:cs="Times New Roman"/>
                <w:color w:val="auto"/>
              </w:rPr>
              <w:t>则生活污水量为</w:t>
            </w:r>
            <w:r>
              <w:rPr>
                <w:rFonts w:hint="eastAsia" w:cs="Times New Roman"/>
                <w:color w:val="auto"/>
                <w:lang w:val="en-US" w:eastAsia="zh-CN"/>
              </w:rPr>
              <w:t>3.105</w:t>
            </w:r>
            <w:r>
              <w:rPr>
                <w:rFonts w:hint="default" w:ascii="Times New Roman" w:hAnsi="Times New Roman" w:cs="Times New Roman"/>
                <w:color w:val="auto"/>
              </w:rPr>
              <w:t>t/d(</w:t>
            </w:r>
            <w:r>
              <w:rPr>
                <w:rFonts w:hint="eastAsia" w:cs="Times New Roman"/>
                <w:color w:val="auto"/>
                <w:lang w:val="en-US" w:eastAsia="zh-CN"/>
              </w:rPr>
              <w:t>931.5</w:t>
            </w:r>
            <w:r>
              <w:rPr>
                <w:rFonts w:hint="default" w:ascii="Times New Roman" w:hAnsi="Times New Roman" w:cs="Times New Roman"/>
                <w:color w:val="auto"/>
              </w:rPr>
              <w:t>t/a)。</w:t>
            </w:r>
          </w:p>
          <w:p w14:paraId="19434DF9">
            <w:pPr>
              <w:pStyle w:val="40"/>
              <w:bidi w:val="0"/>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2）</w:t>
            </w:r>
            <w:r>
              <w:rPr>
                <w:rFonts w:hint="default" w:ascii="Times New Roman" w:hAnsi="Times New Roman" w:cs="Times New Roman"/>
                <w:color w:val="auto"/>
              </w:rPr>
              <w:t>设备清洗用水</w:t>
            </w:r>
          </w:p>
          <w:p w14:paraId="168E68FA">
            <w:pPr>
              <w:pStyle w:val="40"/>
              <w:bidi w:val="0"/>
              <w:rPr>
                <w:rFonts w:hint="default" w:ascii="Times New Roman" w:hAnsi="Times New Roman" w:cs="Times New Roman"/>
                <w:color w:val="auto"/>
              </w:rPr>
            </w:pPr>
            <w:r>
              <w:rPr>
                <w:rFonts w:hint="default" w:ascii="Times New Roman" w:hAnsi="Times New Roman" w:cs="Times New Roman"/>
                <w:color w:val="auto"/>
              </w:rPr>
              <w:t>根据</w:t>
            </w:r>
            <w:r>
              <w:rPr>
                <w:rFonts w:hint="eastAsia" w:cs="Times New Roman"/>
                <w:color w:val="auto"/>
                <w:lang w:eastAsia="zh-CN"/>
              </w:rPr>
              <w:t>建设单位</w:t>
            </w:r>
            <w:r>
              <w:rPr>
                <w:rFonts w:hint="default" w:ascii="Times New Roman" w:hAnsi="Times New Roman" w:cs="Times New Roman"/>
                <w:color w:val="auto"/>
              </w:rPr>
              <w:t>提供资料，项目在每日生产完毕后需对设备进行清洗，用水量为0.1t/d，则设备清洗年用水量为</w:t>
            </w:r>
            <w:r>
              <w:rPr>
                <w:rFonts w:hint="eastAsia" w:cs="Times New Roman"/>
                <w:color w:val="auto"/>
                <w:lang w:val="en-US" w:eastAsia="zh-CN"/>
              </w:rPr>
              <w:t>30</w:t>
            </w:r>
            <w:r>
              <w:rPr>
                <w:rFonts w:hint="default" w:ascii="Times New Roman" w:hAnsi="Times New Roman" w:cs="Times New Roman"/>
                <w:color w:val="auto"/>
              </w:rPr>
              <w:t>t。</w:t>
            </w:r>
          </w:p>
          <w:p w14:paraId="55768997">
            <w:pPr>
              <w:pStyle w:val="40"/>
              <w:bidi w:val="0"/>
              <w:rPr>
                <w:rFonts w:hint="default" w:ascii="Times New Roman" w:hAnsi="Times New Roman" w:cs="Times New Roman"/>
                <w:color w:val="auto"/>
              </w:rPr>
            </w:pPr>
            <w:r>
              <w:rPr>
                <w:rFonts w:hint="default" w:ascii="Times New Roman" w:hAnsi="Times New Roman" w:cs="Times New Roman"/>
                <w:color w:val="auto"/>
              </w:rPr>
              <w:t>项目给排水量见表2.2-</w:t>
            </w:r>
            <w:r>
              <w:rPr>
                <w:rFonts w:hint="default" w:ascii="Times New Roman" w:hAnsi="Times New Roman" w:cs="Times New Roman"/>
                <w:color w:val="auto"/>
                <w:lang w:val="en-US" w:eastAsia="zh-CN"/>
              </w:rPr>
              <w:t>7</w:t>
            </w:r>
            <w:r>
              <w:rPr>
                <w:rFonts w:hint="default" w:ascii="Times New Roman" w:hAnsi="Times New Roman" w:cs="Times New Roman"/>
                <w:color w:val="auto"/>
              </w:rPr>
              <w:t>。项目水平衡图详见图2.2-</w:t>
            </w:r>
            <w:r>
              <w:rPr>
                <w:rFonts w:hint="eastAsia" w:cs="Times New Roman"/>
                <w:color w:val="auto"/>
                <w:lang w:val="en-US" w:eastAsia="zh-CN"/>
              </w:rPr>
              <w:t>1</w:t>
            </w:r>
            <w:r>
              <w:rPr>
                <w:rFonts w:hint="default" w:ascii="Times New Roman" w:hAnsi="Times New Roman" w:cs="Times New Roman"/>
                <w:color w:val="auto"/>
              </w:rPr>
              <w:t>。</w:t>
            </w:r>
          </w:p>
          <w:p w14:paraId="0E4CA215">
            <w:pPr>
              <w:spacing w:before="120" w:beforeLines="50"/>
              <w:jc w:val="center"/>
              <w:rPr>
                <w:rFonts w:hint="default" w:ascii="Times New Roman" w:hAnsi="Times New Roman" w:eastAsia="黑体" w:cs="Times New Roman"/>
                <w:bCs/>
                <w:color w:val="auto"/>
                <w:sz w:val="24"/>
              </w:rPr>
            </w:pPr>
          </w:p>
          <w:p w14:paraId="431E69DC">
            <w:pPr>
              <w:spacing w:before="120" w:beforeLines="50"/>
              <w:jc w:val="center"/>
              <w:rPr>
                <w:rFonts w:hint="default" w:ascii="Times New Roman" w:hAnsi="Times New Roman" w:cs="Times New Roman"/>
                <w:b/>
                <w:color w:val="auto"/>
              </w:rPr>
            </w:pPr>
            <w:r>
              <w:rPr>
                <w:rFonts w:hint="default" w:ascii="Times New Roman" w:hAnsi="Times New Roman" w:eastAsia="黑体" w:cs="Times New Roman"/>
                <w:bCs/>
                <w:color w:val="auto"/>
                <w:sz w:val="24"/>
              </w:rPr>
              <w:t>表2.2-</w:t>
            </w:r>
            <w:r>
              <w:rPr>
                <w:rFonts w:hint="default" w:ascii="Times New Roman" w:hAnsi="Times New Roman" w:eastAsia="黑体" w:cs="Times New Roman"/>
                <w:bCs/>
                <w:color w:val="auto"/>
                <w:sz w:val="24"/>
                <w:lang w:val="en-US" w:eastAsia="zh-CN"/>
              </w:rPr>
              <w:t>7</w:t>
            </w:r>
            <w:r>
              <w:rPr>
                <w:rFonts w:hint="default" w:ascii="Times New Roman" w:hAnsi="Times New Roman" w:eastAsia="黑体" w:cs="Times New Roman"/>
                <w:bCs/>
                <w:color w:val="auto"/>
                <w:sz w:val="24"/>
              </w:rPr>
              <w:t xml:space="preserve">  项目给排水量情况表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1309"/>
              <w:gridCol w:w="959"/>
              <w:gridCol w:w="1079"/>
              <w:gridCol w:w="821"/>
              <w:gridCol w:w="911"/>
              <w:gridCol w:w="1030"/>
            </w:tblGrid>
            <w:tr w14:paraId="7E6C2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9" w:type="pct"/>
                  <w:noWrap w:val="0"/>
                  <w:vAlign w:val="center"/>
                </w:tcPr>
                <w:p w14:paraId="3F4B075D">
                  <w:pPr>
                    <w:pStyle w:val="47"/>
                    <w:bidi w:val="0"/>
                    <w:rPr>
                      <w:rFonts w:hint="default" w:ascii="Times New Roman" w:hAnsi="Times New Roman" w:cs="Times New Roman"/>
                      <w:color w:val="auto"/>
                    </w:rPr>
                  </w:pPr>
                  <w:r>
                    <w:rPr>
                      <w:rFonts w:hint="default" w:ascii="Times New Roman" w:hAnsi="Times New Roman" w:cs="Times New Roman"/>
                      <w:color w:val="auto"/>
                    </w:rPr>
                    <w:t>用水类型</w:t>
                  </w:r>
                </w:p>
              </w:tc>
              <w:tc>
                <w:tcPr>
                  <w:tcW w:w="786" w:type="pct"/>
                  <w:noWrap w:val="0"/>
                  <w:vAlign w:val="center"/>
                </w:tcPr>
                <w:p w14:paraId="02B11176">
                  <w:pPr>
                    <w:pStyle w:val="47"/>
                    <w:bidi w:val="0"/>
                    <w:rPr>
                      <w:rFonts w:hint="default" w:ascii="Times New Roman" w:hAnsi="Times New Roman" w:cs="Times New Roman"/>
                      <w:color w:val="auto"/>
                    </w:rPr>
                  </w:pPr>
                  <w:r>
                    <w:rPr>
                      <w:rFonts w:hint="default" w:ascii="Times New Roman" w:hAnsi="Times New Roman" w:cs="Times New Roman"/>
                      <w:color w:val="auto"/>
                    </w:rPr>
                    <w:t>用水量</w:t>
                  </w:r>
                </w:p>
                <w:p w14:paraId="6C544D8D">
                  <w:pPr>
                    <w:pStyle w:val="47"/>
                    <w:bidi w:val="0"/>
                    <w:rPr>
                      <w:rFonts w:hint="default" w:ascii="Times New Roman" w:hAnsi="Times New Roman" w:cs="Times New Roman"/>
                      <w:color w:val="auto"/>
                    </w:rPr>
                  </w:pPr>
                  <w:r>
                    <w:rPr>
                      <w:rFonts w:hint="default" w:ascii="Times New Roman" w:hAnsi="Times New Roman" w:cs="Times New Roman"/>
                      <w:color w:val="auto"/>
                    </w:rPr>
                    <w:t>系数</w:t>
                  </w:r>
                </w:p>
              </w:tc>
              <w:tc>
                <w:tcPr>
                  <w:tcW w:w="576" w:type="pct"/>
                  <w:noWrap w:val="0"/>
                  <w:vAlign w:val="center"/>
                </w:tcPr>
                <w:p w14:paraId="33A1485A">
                  <w:pPr>
                    <w:pStyle w:val="47"/>
                    <w:bidi w:val="0"/>
                    <w:rPr>
                      <w:rFonts w:hint="default" w:ascii="Times New Roman" w:hAnsi="Times New Roman" w:cs="Times New Roman"/>
                      <w:color w:val="auto"/>
                    </w:rPr>
                  </w:pPr>
                  <w:r>
                    <w:rPr>
                      <w:rFonts w:hint="default" w:ascii="Times New Roman" w:hAnsi="Times New Roman" w:cs="Times New Roman"/>
                      <w:color w:val="auto"/>
                    </w:rPr>
                    <w:t>日用水(t/d)</w:t>
                  </w:r>
                </w:p>
              </w:tc>
              <w:tc>
                <w:tcPr>
                  <w:tcW w:w="648" w:type="pct"/>
                  <w:noWrap w:val="0"/>
                  <w:vAlign w:val="center"/>
                </w:tcPr>
                <w:p w14:paraId="5B73DD38">
                  <w:pPr>
                    <w:pStyle w:val="47"/>
                    <w:bidi w:val="0"/>
                    <w:rPr>
                      <w:rFonts w:hint="default" w:ascii="Times New Roman" w:hAnsi="Times New Roman" w:cs="Times New Roman"/>
                      <w:color w:val="auto"/>
                    </w:rPr>
                  </w:pPr>
                  <w:r>
                    <w:rPr>
                      <w:rFonts w:hint="default" w:ascii="Times New Roman" w:hAnsi="Times New Roman" w:cs="Times New Roman"/>
                      <w:color w:val="auto"/>
                    </w:rPr>
                    <w:t>年用水量(t/a)</w:t>
                  </w:r>
                </w:p>
              </w:tc>
              <w:tc>
                <w:tcPr>
                  <w:tcW w:w="493" w:type="pct"/>
                  <w:noWrap w:val="0"/>
                  <w:vAlign w:val="center"/>
                </w:tcPr>
                <w:p w14:paraId="6213D2B1">
                  <w:pPr>
                    <w:pStyle w:val="47"/>
                    <w:bidi w:val="0"/>
                    <w:rPr>
                      <w:rFonts w:hint="default" w:ascii="Times New Roman" w:hAnsi="Times New Roman" w:cs="Times New Roman"/>
                      <w:color w:val="auto"/>
                    </w:rPr>
                  </w:pPr>
                  <w:r>
                    <w:rPr>
                      <w:rFonts w:hint="default" w:ascii="Times New Roman" w:hAnsi="Times New Roman" w:cs="Times New Roman"/>
                      <w:color w:val="auto"/>
                    </w:rPr>
                    <w:t>排放</w:t>
                  </w:r>
                </w:p>
                <w:p w14:paraId="0FD34FFC">
                  <w:pPr>
                    <w:pStyle w:val="47"/>
                    <w:bidi w:val="0"/>
                    <w:rPr>
                      <w:rFonts w:hint="default" w:ascii="Times New Roman" w:hAnsi="Times New Roman" w:cs="Times New Roman"/>
                      <w:color w:val="auto"/>
                    </w:rPr>
                  </w:pPr>
                  <w:r>
                    <w:rPr>
                      <w:rFonts w:hint="default" w:ascii="Times New Roman" w:hAnsi="Times New Roman" w:cs="Times New Roman"/>
                      <w:color w:val="auto"/>
                    </w:rPr>
                    <w:t>系数</w:t>
                  </w:r>
                </w:p>
              </w:tc>
              <w:tc>
                <w:tcPr>
                  <w:tcW w:w="547" w:type="pct"/>
                  <w:noWrap w:val="0"/>
                  <w:vAlign w:val="center"/>
                </w:tcPr>
                <w:p w14:paraId="2EBCB807">
                  <w:pPr>
                    <w:pStyle w:val="47"/>
                    <w:bidi w:val="0"/>
                    <w:rPr>
                      <w:rFonts w:hint="default" w:ascii="Times New Roman" w:hAnsi="Times New Roman" w:cs="Times New Roman"/>
                      <w:color w:val="auto"/>
                    </w:rPr>
                  </w:pPr>
                  <w:r>
                    <w:rPr>
                      <w:rFonts w:hint="default" w:ascii="Times New Roman" w:hAnsi="Times New Roman" w:cs="Times New Roman"/>
                      <w:color w:val="auto"/>
                    </w:rPr>
                    <w:t>日排量(t/d)</w:t>
                  </w:r>
                </w:p>
              </w:tc>
              <w:tc>
                <w:tcPr>
                  <w:tcW w:w="618" w:type="pct"/>
                  <w:noWrap w:val="0"/>
                  <w:vAlign w:val="center"/>
                </w:tcPr>
                <w:p w14:paraId="3AF82061">
                  <w:pPr>
                    <w:pStyle w:val="47"/>
                    <w:bidi w:val="0"/>
                    <w:rPr>
                      <w:rFonts w:hint="default" w:ascii="Times New Roman" w:hAnsi="Times New Roman" w:cs="Times New Roman"/>
                      <w:color w:val="auto"/>
                    </w:rPr>
                  </w:pPr>
                  <w:r>
                    <w:rPr>
                      <w:rFonts w:hint="default" w:ascii="Times New Roman" w:hAnsi="Times New Roman" w:cs="Times New Roman"/>
                      <w:color w:val="auto"/>
                    </w:rPr>
                    <w:t>年排水量(t/a)</w:t>
                  </w:r>
                </w:p>
              </w:tc>
            </w:tr>
            <w:tr w14:paraId="7575D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9" w:type="pct"/>
                  <w:noWrap w:val="0"/>
                  <w:vAlign w:val="center"/>
                </w:tcPr>
                <w:p w14:paraId="64135040">
                  <w:pPr>
                    <w:pStyle w:val="47"/>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职工生活用水</w:t>
                  </w:r>
                </w:p>
              </w:tc>
              <w:tc>
                <w:tcPr>
                  <w:tcW w:w="786" w:type="pct"/>
                  <w:noWrap w:val="0"/>
                  <w:vAlign w:val="center"/>
                </w:tcPr>
                <w:p w14:paraId="4D9CB15A">
                  <w:pPr>
                    <w:pStyle w:val="47"/>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r>
                    <w:rPr>
                      <w:rFonts w:hint="default" w:ascii="Times New Roman" w:hAnsi="Times New Roman" w:cs="Times New Roman"/>
                      <w:color w:val="auto"/>
                    </w:rPr>
                    <w:t>L/人▪</w:t>
                  </w:r>
                  <w:r>
                    <w:rPr>
                      <w:rFonts w:hint="default" w:ascii="Times New Roman" w:hAnsi="Times New Roman" w:cs="Times New Roman"/>
                      <w:color w:val="auto"/>
                      <w:lang w:val="en-US" w:eastAsia="zh-CN"/>
                    </w:rPr>
                    <w:t>日</w:t>
                  </w:r>
                </w:p>
              </w:tc>
              <w:tc>
                <w:tcPr>
                  <w:tcW w:w="576" w:type="pct"/>
                  <w:noWrap w:val="0"/>
                  <w:vAlign w:val="center"/>
                </w:tcPr>
                <w:p w14:paraId="20AC1C03">
                  <w:pPr>
                    <w:pStyle w:val="47"/>
                    <w:bidi w:val="0"/>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3.45</w:t>
                  </w:r>
                </w:p>
              </w:tc>
              <w:tc>
                <w:tcPr>
                  <w:tcW w:w="648" w:type="pct"/>
                  <w:noWrap w:val="0"/>
                  <w:vAlign w:val="center"/>
                </w:tcPr>
                <w:p w14:paraId="37EC8963">
                  <w:pPr>
                    <w:pStyle w:val="47"/>
                    <w:bidi w:val="0"/>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1035</w:t>
                  </w:r>
                </w:p>
              </w:tc>
              <w:tc>
                <w:tcPr>
                  <w:tcW w:w="493" w:type="pct"/>
                  <w:noWrap w:val="0"/>
                  <w:vAlign w:val="center"/>
                </w:tcPr>
                <w:p w14:paraId="37A13F49">
                  <w:pPr>
                    <w:pStyle w:val="47"/>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0.9</w:t>
                  </w:r>
                </w:p>
              </w:tc>
              <w:tc>
                <w:tcPr>
                  <w:tcW w:w="547" w:type="pct"/>
                  <w:noWrap w:val="0"/>
                  <w:vAlign w:val="center"/>
                </w:tcPr>
                <w:p w14:paraId="42237933">
                  <w:pPr>
                    <w:pStyle w:val="47"/>
                    <w:bidi w:val="0"/>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3.105</w:t>
                  </w:r>
                </w:p>
              </w:tc>
              <w:tc>
                <w:tcPr>
                  <w:tcW w:w="618" w:type="pct"/>
                  <w:noWrap w:val="0"/>
                  <w:vAlign w:val="center"/>
                </w:tcPr>
                <w:p w14:paraId="0FD1D8E1">
                  <w:pPr>
                    <w:pStyle w:val="47"/>
                    <w:bidi w:val="0"/>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931.5</w:t>
                  </w:r>
                </w:p>
              </w:tc>
            </w:tr>
            <w:tr w14:paraId="60215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9" w:type="pct"/>
                  <w:noWrap w:val="0"/>
                  <w:vAlign w:val="center"/>
                </w:tcPr>
                <w:p w14:paraId="32729299">
                  <w:pPr>
                    <w:pStyle w:val="47"/>
                    <w:bidi w:val="0"/>
                    <w:ind w:left="0" w:leftChars="0" w:firstLine="0" w:firstLineChars="0"/>
                    <w:rPr>
                      <w:rFonts w:hint="eastAsia" w:ascii="Times New Roman" w:hAnsi="Times New Roman" w:eastAsia="宋体" w:cs="Times New Roman"/>
                      <w:color w:val="auto"/>
                      <w:lang w:eastAsia="zh-CN"/>
                    </w:rPr>
                  </w:pPr>
                  <w:r>
                    <w:rPr>
                      <w:rFonts w:hint="eastAsia" w:cs="Times New Roman"/>
                      <w:color w:val="auto"/>
                      <w:lang w:eastAsia="zh-CN"/>
                    </w:rPr>
                    <w:t>设备清洗用水</w:t>
                  </w:r>
                </w:p>
              </w:tc>
              <w:tc>
                <w:tcPr>
                  <w:tcW w:w="786" w:type="pct"/>
                  <w:noWrap w:val="0"/>
                  <w:vAlign w:val="center"/>
                </w:tcPr>
                <w:p w14:paraId="03BF392B">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w:t>
                  </w:r>
                </w:p>
              </w:tc>
              <w:tc>
                <w:tcPr>
                  <w:tcW w:w="576" w:type="pct"/>
                  <w:noWrap w:val="0"/>
                  <w:vAlign w:val="center"/>
                </w:tcPr>
                <w:p w14:paraId="567DF5D0">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0.1</w:t>
                  </w:r>
                </w:p>
              </w:tc>
              <w:tc>
                <w:tcPr>
                  <w:tcW w:w="648" w:type="pct"/>
                  <w:noWrap w:val="0"/>
                  <w:vAlign w:val="center"/>
                </w:tcPr>
                <w:p w14:paraId="2E291CA6">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30</w:t>
                  </w:r>
                </w:p>
              </w:tc>
              <w:tc>
                <w:tcPr>
                  <w:tcW w:w="493" w:type="pct"/>
                  <w:noWrap w:val="0"/>
                  <w:vAlign w:val="center"/>
                </w:tcPr>
                <w:p w14:paraId="47E30AE1">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w:t>
                  </w:r>
                </w:p>
              </w:tc>
              <w:tc>
                <w:tcPr>
                  <w:tcW w:w="547" w:type="pct"/>
                  <w:noWrap w:val="0"/>
                  <w:vAlign w:val="center"/>
                </w:tcPr>
                <w:p w14:paraId="331F1A37">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w:t>
                  </w:r>
                </w:p>
              </w:tc>
              <w:tc>
                <w:tcPr>
                  <w:tcW w:w="618" w:type="pct"/>
                  <w:noWrap w:val="0"/>
                  <w:vAlign w:val="center"/>
                </w:tcPr>
                <w:p w14:paraId="738833B9">
                  <w:pPr>
                    <w:pStyle w:val="47"/>
                    <w:bidi w:val="0"/>
                    <w:ind w:left="0" w:leftChars="0" w:firstLine="0" w:firstLineChars="0"/>
                    <w:rPr>
                      <w:rFonts w:hint="default" w:ascii="Times New Roman" w:hAnsi="Times New Roman" w:cs="Times New Roman"/>
                      <w:color w:val="auto"/>
                      <w:lang w:val="en-US" w:eastAsia="zh-CN"/>
                    </w:rPr>
                  </w:pPr>
                  <w:r>
                    <w:rPr>
                      <w:rFonts w:hint="eastAsia" w:cs="Times New Roman"/>
                      <w:color w:val="auto"/>
                      <w:lang w:val="en-US" w:eastAsia="zh-CN"/>
                    </w:rPr>
                    <w:t>/</w:t>
                  </w:r>
                </w:p>
              </w:tc>
            </w:tr>
            <w:tr w14:paraId="763E0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5" w:type="pct"/>
                  <w:gridSpan w:val="2"/>
                  <w:noWrap w:val="0"/>
                  <w:vAlign w:val="center"/>
                </w:tcPr>
                <w:p w14:paraId="0274579A">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合计</w:t>
                  </w:r>
                </w:p>
              </w:tc>
              <w:tc>
                <w:tcPr>
                  <w:tcW w:w="576" w:type="pct"/>
                  <w:noWrap w:val="0"/>
                  <w:vAlign w:val="center"/>
                </w:tcPr>
                <w:p w14:paraId="2F8D5AC6">
                  <w:pPr>
                    <w:pStyle w:val="47"/>
                    <w:bidi w:val="0"/>
                    <w:rPr>
                      <w:rFonts w:hint="default" w:ascii="Times New Roman" w:hAnsi="Times New Roman" w:cs="Times New Roman"/>
                      <w:color w:val="auto"/>
                      <w:lang w:val="en-US" w:eastAsia="zh-CN"/>
                    </w:rPr>
                  </w:pPr>
                  <w:r>
                    <w:rPr>
                      <w:rFonts w:hint="eastAsia" w:cs="Times New Roman"/>
                      <w:color w:val="auto"/>
                      <w:lang w:val="en-US" w:eastAsia="zh-CN"/>
                    </w:rPr>
                    <w:t>3.55</w:t>
                  </w:r>
                </w:p>
              </w:tc>
              <w:tc>
                <w:tcPr>
                  <w:tcW w:w="648" w:type="pct"/>
                  <w:noWrap w:val="0"/>
                  <w:vAlign w:val="center"/>
                </w:tcPr>
                <w:p w14:paraId="43739122">
                  <w:pPr>
                    <w:pStyle w:val="47"/>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eastAsia" w:cs="Times New Roman"/>
                      <w:color w:val="auto"/>
                      <w:lang w:val="en-US" w:eastAsia="zh-CN"/>
                    </w:rPr>
                    <w:t>06</w:t>
                  </w:r>
                  <w:r>
                    <w:rPr>
                      <w:rFonts w:hint="eastAsia" w:ascii="Times New Roman" w:hAnsi="Times New Roman" w:cs="Times New Roman"/>
                      <w:color w:val="auto"/>
                      <w:lang w:val="en-US" w:eastAsia="zh-CN"/>
                    </w:rPr>
                    <w:t>5</w:t>
                  </w:r>
                </w:p>
              </w:tc>
              <w:tc>
                <w:tcPr>
                  <w:tcW w:w="493" w:type="pct"/>
                  <w:noWrap w:val="0"/>
                  <w:vAlign w:val="center"/>
                </w:tcPr>
                <w:p w14:paraId="1EAD0F3D">
                  <w:pPr>
                    <w:pStyle w:val="4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47" w:type="pct"/>
                  <w:noWrap w:val="0"/>
                  <w:vAlign w:val="center"/>
                </w:tcPr>
                <w:p w14:paraId="5A0AE166">
                  <w:pPr>
                    <w:pStyle w:val="47"/>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3.105</w:t>
                  </w:r>
                </w:p>
              </w:tc>
              <w:tc>
                <w:tcPr>
                  <w:tcW w:w="618" w:type="pct"/>
                  <w:noWrap w:val="0"/>
                  <w:vAlign w:val="center"/>
                </w:tcPr>
                <w:p w14:paraId="5FDAB589">
                  <w:pPr>
                    <w:pStyle w:val="47"/>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931.5</w:t>
                  </w:r>
                </w:p>
              </w:tc>
            </w:tr>
          </w:tbl>
          <w:p w14:paraId="6B7FC5D2">
            <w:pPr>
              <w:pStyle w:val="43"/>
              <w:bidi w:val="0"/>
              <w:ind w:left="0" w:leftChars="0" w:firstLine="0" w:firstLineChars="0"/>
              <w:rPr>
                <w:rFonts w:hint="default" w:ascii="Times New Roman" w:hAnsi="Times New Roman" w:cs="Times New Roman"/>
                <w:color w:val="auto"/>
                <w:lang w:val="en-US"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158750</wp:posOffset>
                      </wp:positionH>
                      <wp:positionV relativeFrom="paragraph">
                        <wp:posOffset>128905</wp:posOffset>
                      </wp:positionV>
                      <wp:extent cx="5098415" cy="1659890"/>
                      <wp:effectExtent l="0" t="0" r="0" b="0"/>
                      <wp:wrapNone/>
                      <wp:docPr id="97" name="组合 97"/>
                      <wp:cNvGraphicFramePr/>
                      <a:graphic xmlns:a="http://schemas.openxmlformats.org/drawingml/2006/main">
                        <a:graphicData uri="http://schemas.microsoft.com/office/word/2010/wordprocessingGroup">
                          <wpg:wgp>
                            <wpg:cNvGrpSpPr/>
                            <wpg:grpSpPr>
                              <a:xfrm>
                                <a:off x="0" y="0"/>
                                <a:ext cx="5098415" cy="1659890"/>
                                <a:chOff x="3239" y="381261"/>
                                <a:chExt cx="8029" cy="2614"/>
                              </a:xfrm>
                            </wpg:grpSpPr>
                            <wps:wsp>
                              <wps:cNvPr id="124" name="文本框 190"/>
                              <wps:cNvSpPr txBox="1"/>
                              <wps:spPr>
                                <a:xfrm>
                                  <a:off x="6308" y="381736"/>
                                  <a:ext cx="990" cy="393"/>
                                </a:xfrm>
                                <a:prstGeom prst="rect">
                                  <a:avLst/>
                                </a:prstGeom>
                                <a:noFill/>
                                <a:ln>
                                  <a:noFill/>
                                </a:ln>
                              </wps:spPr>
                              <wps:txbx>
                                <w:txbxContent>
                                  <w:p w14:paraId="2B0AF603">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931.5</w:t>
                                    </w:r>
                                  </w:p>
                                </w:txbxContent>
                              </wps:txbx>
                              <wps:bodyPr vert="horz" anchor="t" anchorCtr="0" upright="1"/>
                            </wps:wsp>
                            <wps:wsp>
                              <wps:cNvPr id="125" name="Rectangle 3373"/>
                              <wps:cNvSpPr/>
                              <wps:spPr>
                                <a:xfrm>
                                  <a:off x="9127" y="381673"/>
                                  <a:ext cx="1140" cy="705"/>
                                </a:xfrm>
                                <a:prstGeom prst="rect">
                                  <a:avLst/>
                                </a:prstGeom>
                                <a:noFill/>
                                <a:ln>
                                  <a:noFill/>
                                </a:ln>
                              </wps:spPr>
                              <wps:txbx>
                                <w:txbxContent>
                                  <w:p w14:paraId="70F71490">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市政污水管网</w:t>
                                    </w:r>
                                  </w:p>
                                </w:txbxContent>
                              </wps:txbx>
                              <wps:bodyPr vert="horz" anchor="t" anchorCtr="0" upright="1"/>
                            </wps:wsp>
                            <wps:wsp>
                              <wps:cNvPr id="126" name="Text Box 3391"/>
                              <wps:cNvSpPr txBox="1"/>
                              <wps:spPr>
                                <a:xfrm>
                                  <a:off x="7186" y="381846"/>
                                  <a:ext cx="1369" cy="448"/>
                                </a:xfrm>
                                <a:prstGeom prst="rect">
                                  <a:avLst/>
                                </a:prstGeom>
                                <a:noFill/>
                                <a:ln w="9525" cap="flat" cmpd="sng">
                                  <a:solidFill>
                                    <a:srgbClr val="000000"/>
                                  </a:solidFill>
                                  <a:prstDash val="solid"/>
                                  <a:miter/>
                                  <a:headEnd type="none" w="med" len="med"/>
                                  <a:tailEnd type="none" w="med" len="med"/>
                                </a:ln>
                              </wps:spPr>
                              <wps:txbx>
                                <w:txbxContent>
                                  <w:p w14:paraId="783A373E">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化粪池</w:t>
                                    </w:r>
                                  </w:p>
                                </w:txbxContent>
                              </wps:txbx>
                              <wps:bodyPr vert="horz" anchor="t" anchorCtr="0" upright="1"/>
                            </wps:wsp>
                            <wps:wsp>
                              <wps:cNvPr id="127" name="Text Box 3389"/>
                              <wps:cNvSpPr txBox="1"/>
                              <wps:spPr>
                                <a:xfrm>
                                  <a:off x="3239" y="382046"/>
                                  <a:ext cx="995" cy="652"/>
                                </a:xfrm>
                                <a:prstGeom prst="rect">
                                  <a:avLst/>
                                </a:prstGeom>
                                <a:noFill/>
                                <a:ln>
                                  <a:noFill/>
                                </a:ln>
                              </wps:spPr>
                              <wps:txbx>
                                <w:txbxContent>
                                  <w:p w14:paraId="15C9A2D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新鲜水</w:t>
                                    </w:r>
                                    <w:r>
                                      <w:rPr>
                                        <w:rFonts w:hint="eastAsia" w:cs="Times New Roman"/>
                                        <w:sz w:val="21"/>
                                        <w:szCs w:val="21"/>
                                        <w:lang w:val="en-US" w:eastAsia="zh-CN"/>
                                      </w:rPr>
                                      <w:t>1065</w:t>
                                    </w:r>
                                  </w:p>
                                  <w:p w14:paraId="03172F63">
                                    <w:pPr>
                                      <w:jc w:val="center"/>
                                      <w:rPr>
                                        <w:rFonts w:hint="default" w:ascii="Times New Roman" w:hAnsi="Times New Roman" w:cs="Times New Roman"/>
                                        <w:sz w:val="21"/>
                                        <w:szCs w:val="21"/>
                                        <w:lang w:val="en-US" w:eastAsia="zh-CN"/>
                                      </w:rPr>
                                    </w:pPr>
                                  </w:p>
                                </w:txbxContent>
                              </wps:txbx>
                              <wps:bodyPr vert="horz" anchor="t" anchorCtr="0" upright="1"/>
                            </wps:wsp>
                            <wps:wsp>
                              <wps:cNvPr id="128" name="Text Box 3391"/>
                              <wps:cNvSpPr txBox="1"/>
                              <wps:spPr>
                                <a:xfrm>
                                  <a:off x="5337" y="381821"/>
                                  <a:ext cx="1185" cy="448"/>
                                </a:xfrm>
                                <a:prstGeom prst="rect">
                                  <a:avLst/>
                                </a:prstGeom>
                                <a:noFill/>
                                <a:ln w="9525" cap="flat" cmpd="sng">
                                  <a:solidFill>
                                    <a:srgbClr val="000000"/>
                                  </a:solidFill>
                                  <a:prstDash val="solid"/>
                                  <a:miter/>
                                  <a:headEnd type="none" w="med" len="med"/>
                                  <a:tailEnd type="none" w="med" len="med"/>
                                </a:ln>
                              </wps:spPr>
                              <wps:txbx>
                                <w:txbxContent>
                                  <w:p w14:paraId="149CC827">
                                    <w:pPr>
                                      <w:pStyle w:val="55"/>
                                      <w:ind w:firstLine="0" w:firstLineChars="0"/>
                                      <w:jc w:val="center"/>
                                      <w:rPr>
                                        <w:rFonts w:hint="eastAsia" w:ascii="宋体" w:hAnsi="宋体" w:cs="宋体"/>
                                        <w:sz w:val="21"/>
                                        <w:szCs w:val="21"/>
                                      </w:rPr>
                                    </w:pPr>
                                    <w:r>
                                      <w:rPr>
                                        <w:rFonts w:hint="eastAsia" w:ascii="宋体" w:hAnsi="宋体" w:cs="宋体"/>
                                        <w:sz w:val="21"/>
                                        <w:szCs w:val="21"/>
                                      </w:rPr>
                                      <w:t>生活用水</w:t>
                                    </w:r>
                                  </w:p>
                                </w:txbxContent>
                              </wps:txbx>
                              <wps:bodyPr vert="horz" anchor="t" anchorCtr="0" upright="1"/>
                            </wps:wsp>
                            <wps:wsp>
                              <wps:cNvPr id="130" name="FreeForm 3414"/>
                              <wps:cNvSpPr/>
                              <wps:spPr>
                                <a:xfrm rot="21360000">
                                  <a:off x="5790" y="381504"/>
                                  <a:ext cx="450" cy="275"/>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round/>
                                  <a:headEnd type="none" w="med" len="med"/>
                                  <a:tailEnd type="triangle" w="med" len="med"/>
                                </a:ln>
                              </wps:spPr>
                              <wps:bodyPr vert="horz" anchor="t" anchorCtr="0" upright="1"/>
                            </wps:wsp>
                            <wps:wsp>
                              <wps:cNvPr id="131" name="文本框 197"/>
                              <wps:cNvSpPr txBox="1"/>
                              <wps:spPr>
                                <a:xfrm>
                                  <a:off x="6084" y="381261"/>
                                  <a:ext cx="1504" cy="381"/>
                                </a:xfrm>
                                <a:prstGeom prst="rect">
                                  <a:avLst/>
                                </a:prstGeom>
                                <a:noFill/>
                                <a:ln>
                                  <a:noFill/>
                                </a:ln>
                              </wps:spPr>
                              <wps:txbx>
                                <w:txbxContent>
                                  <w:p w14:paraId="2F029721">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损耗：</w:t>
                                    </w:r>
                                    <w:r>
                                      <w:rPr>
                                        <w:rFonts w:hint="eastAsia" w:cs="Times New Roman"/>
                                        <w:sz w:val="21"/>
                                        <w:szCs w:val="21"/>
                                        <w:lang w:val="en-US" w:eastAsia="zh-CN"/>
                                      </w:rPr>
                                      <w:t>103.5</w:t>
                                    </w:r>
                                  </w:p>
                                </w:txbxContent>
                              </wps:txbx>
                              <wps:bodyPr vert="horz" anchor="t" anchorCtr="0" upright="1"/>
                            </wps:wsp>
                            <wps:wsp>
                              <wps:cNvPr id="132" name="文本框 198"/>
                              <wps:cNvSpPr txBox="1"/>
                              <wps:spPr>
                                <a:xfrm>
                                  <a:off x="8462" y="381677"/>
                                  <a:ext cx="890" cy="505"/>
                                </a:xfrm>
                                <a:prstGeom prst="rect">
                                  <a:avLst/>
                                </a:prstGeom>
                                <a:noFill/>
                                <a:ln>
                                  <a:noFill/>
                                </a:ln>
                              </wps:spPr>
                              <wps:txbx>
                                <w:txbxContent>
                                  <w:p w14:paraId="461F694B">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931.5</w:t>
                                    </w:r>
                                  </w:p>
                                </w:txbxContent>
                              </wps:txbx>
                              <wps:bodyPr vert="horz" anchor="t" anchorCtr="0" upright="1"/>
                            </wps:wsp>
                            <wps:wsp>
                              <wps:cNvPr id="138" name="Line 3816"/>
                              <wps:cNvCnPr/>
                              <wps:spPr>
                                <a:xfrm flipV="1">
                                  <a:off x="8569" y="382046"/>
                                  <a:ext cx="743" cy="2"/>
                                </a:xfrm>
                                <a:prstGeom prst="line">
                                  <a:avLst/>
                                </a:prstGeom>
                                <a:ln w="9525" cap="flat" cmpd="sng">
                                  <a:solidFill>
                                    <a:srgbClr val="000000"/>
                                  </a:solidFill>
                                  <a:prstDash val="solid"/>
                                  <a:round/>
                                  <a:headEnd type="none" w="med" len="med"/>
                                  <a:tailEnd type="triangle" w="med" len="med"/>
                                </a:ln>
                              </wps:spPr>
                              <wps:bodyPr upright="1"/>
                            </wps:wsp>
                            <wps:wsp>
                              <wps:cNvPr id="140" name="Line 3405"/>
                              <wps:cNvCnPr/>
                              <wps:spPr>
                                <a:xfrm>
                                  <a:off x="6517" y="382049"/>
                                  <a:ext cx="675" cy="1"/>
                                </a:xfrm>
                                <a:prstGeom prst="line">
                                  <a:avLst/>
                                </a:prstGeom>
                                <a:ln w="9525" cap="flat" cmpd="sng">
                                  <a:solidFill>
                                    <a:srgbClr val="000000"/>
                                  </a:solidFill>
                                  <a:prstDash val="solid"/>
                                  <a:round/>
                                  <a:headEnd type="none" w="med" len="med"/>
                                  <a:tailEnd type="triangle" w="med" len="med"/>
                                </a:ln>
                              </wps:spPr>
                              <wps:bodyPr upright="1"/>
                            </wps:wsp>
                            <wps:wsp>
                              <wps:cNvPr id="302" name="Text Box 3391"/>
                              <wps:cNvSpPr txBox="1"/>
                              <wps:spPr>
                                <a:xfrm>
                                  <a:off x="3775" y="383247"/>
                                  <a:ext cx="6492" cy="628"/>
                                </a:xfrm>
                                <a:prstGeom prst="rect">
                                  <a:avLst/>
                                </a:prstGeom>
                                <a:noFill/>
                                <a:ln w="9525" cap="flat" cmpd="sng">
                                  <a:noFill/>
                                  <a:prstDash val="solid"/>
                                  <a:miter/>
                                  <a:headEnd type="none" w="med" len="med"/>
                                  <a:tailEnd type="none" w="med" len="med"/>
                                </a:ln>
                              </wps:spPr>
                              <wps:txbx>
                                <w:txbxContent>
                                  <w:p w14:paraId="75294380">
                                    <w:pPr>
                                      <w:pStyle w:val="5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图2.2-</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 xml:space="preserve">  项目水平衡图   (单位：t/a)</w:t>
                                    </w:r>
                                  </w:p>
                                  <w:p w14:paraId="631D4443">
                                    <w:pPr>
                                      <w:rPr>
                                        <w:rFonts w:hint="default"/>
                                        <w:lang w:val="en-US" w:eastAsia="zh-CN"/>
                                      </w:rPr>
                                    </w:pPr>
                                  </w:p>
                                </w:txbxContent>
                              </wps:txbx>
                              <wps:bodyPr vert="horz" lIns="46800" tIns="46800" rIns="46800" bIns="46800" anchor="ctr" anchorCtr="0" upright="1"/>
                            </wps:wsp>
                            <wps:wsp>
                              <wps:cNvPr id="38" name="Text Box 3391"/>
                              <wps:cNvSpPr txBox="1"/>
                              <wps:spPr>
                                <a:xfrm>
                                  <a:off x="5343" y="382698"/>
                                  <a:ext cx="1202" cy="448"/>
                                </a:xfrm>
                                <a:prstGeom prst="rect">
                                  <a:avLst/>
                                </a:prstGeom>
                                <a:noFill/>
                                <a:ln w="9525" cap="flat" cmpd="sng">
                                  <a:solidFill>
                                    <a:srgbClr val="000000"/>
                                  </a:solidFill>
                                  <a:prstDash val="solid"/>
                                  <a:miter/>
                                  <a:headEnd type="none" w="med" len="med"/>
                                  <a:tailEnd type="none" w="med" len="med"/>
                                </a:ln>
                              </wps:spPr>
                              <wps:txbx>
                                <w:txbxContent>
                                  <w:p w14:paraId="5843CE29">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设备清洗</w:t>
                                    </w:r>
                                  </w:p>
                                </w:txbxContent>
                              </wps:txbx>
                              <wps:bodyPr vert="horz" anchor="t" anchorCtr="0" upright="1"/>
                            </wps:wsp>
                            <wps:wsp>
                              <wps:cNvPr id="39" name="Line 3405"/>
                              <wps:cNvCnPr/>
                              <wps:spPr>
                                <a:xfrm>
                                  <a:off x="6545" y="382922"/>
                                  <a:ext cx="633" cy="1"/>
                                </a:xfrm>
                                <a:prstGeom prst="line">
                                  <a:avLst/>
                                </a:prstGeom>
                                <a:ln w="9525" cap="flat" cmpd="sng">
                                  <a:solidFill>
                                    <a:srgbClr val="000000"/>
                                  </a:solidFill>
                                  <a:prstDash val="solid"/>
                                  <a:round/>
                                  <a:headEnd type="none" w="med" len="med"/>
                                  <a:tailEnd type="triangle" w="med" len="med"/>
                                </a:ln>
                              </wps:spPr>
                              <wps:bodyPr upright="1"/>
                            </wps:wsp>
                            <wps:wsp>
                              <wps:cNvPr id="40" name="Text Box 3391"/>
                              <wps:cNvSpPr txBox="1"/>
                              <wps:spPr>
                                <a:xfrm>
                                  <a:off x="7178" y="382697"/>
                                  <a:ext cx="1634" cy="448"/>
                                </a:xfrm>
                                <a:prstGeom prst="rect">
                                  <a:avLst/>
                                </a:prstGeom>
                                <a:noFill/>
                                <a:ln w="9525" cap="flat" cmpd="sng">
                                  <a:solidFill>
                                    <a:srgbClr val="000000"/>
                                  </a:solidFill>
                                  <a:prstDash val="solid"/>
                                  <a:miter/>
                                  <a:headEnd type="none" w="med" len="med"/>
                                  <a:tailEnd type="none" w="med" len="med"/>
                                </a:ln>
                              </wps:spPr>
                              <wps:txbx>
                                <w:txbxContent>
                                  <w:p w14:paraId="611A7604">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含胶清洗废水</w:t>
                                    </w:r>
                                  </w:p>
                                </w:txbxContent>
                              </wps:txbx>
                              <wps:bodyPr vert="horz" anchor="t" anchorCtr="0" upright="1"/>
                            </wps:wsp>
                            <wps:wsp>
                              <wps:cNvPr id="41" name="Line 3405"/>
                              <wps:cNvCnPr/>
                              <wps:spPr>
                                <a:xfrm>
                                  <a:off x="8825" y="382923"/>
                                  <a:ext cx="633" cy="1"/>
                                </a:xfrm>
                                <a:prstGeom prst="line">
                                  <a:avLst/>
                                </a:prstGeom>
                                <a:ln w="9525" cap="flat" cmpd="sng">
                                  <a:solidFill>
                                    <a:srgbClr val="000000"/>
                                  </a:solidFill>
                                  <a:prstDash val="solid"/>
                                  <a:round/>
                                  <a:headEnd type="none" w="med" len="med"/>
                                  <a:tailEnd type="triangle" w="med" len="med"/>
                                </a:ln>
                              </wps:spPr>
                              <wps:bodyPr upright="1"/>
                            </wps:wsp>
                            <wps:wsp>
                              <wps:cNvPr id="42" name="Text Box 3389"/>
                              <wps:cNvSpPr txBox="1"/>
                              <wps:spPr>
                                <a:xfrm>
                                  <a:off x="9458" y="382595"/>
                                  <a:ext cx="1810" cy="652"/>
                                </a:xfrm>
                                <a:prstGeom prst="rect">
                                  <a:avLst/>
                                </a:prstGeom>
                                <a:noFill/>
                                <a:ln>
                                  <a:noFill/>
                                </a:ln>
                              </wps:spPr>
                              <wps:txbx>
                                <w:txbxContent>
                                  <w:p w14:paraId="42B2EA2A">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作为危废委托有资质单位处置</w:t>
                                    </w:r>
                                  </w:p>
                                </w:txbxContent>
                              </wps:txbx>
                              <wps:bodyPr vert="horz" anchor="t" anchorCtr="0" upright="1"/>
                            </wps:wsp>
                            <wps:wsp>
                              <wps:cNvPr id="88" name="肘形连接符 88"/>
                              <wps:cNvCnPr/>
                              <wps:spPr>
                                <a:xfrm flipV="1">
                                  <a:off x="4077" y="381993"/>
                                  <a:ext cx="1260" cy="378"/>
                                </a:xfrm>
                                <a:prstGeom prst="bentConnector3">
                                  <a:avLst>
                                    <a:gd name="adj1" fmla="val 48888"/>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0" name="肘形连接符 90"/>
                              <wps:cNvCnPr>
                                <a:endCxn id="38" idx="1"/>
                              </wps:cNvCnPr>
                              <wps:spPr>
                                <a:xfrm>
                                  <a:off x="4060" y="382378"/>
                                  <a:ext cx="1283" cy="544"/>
                                </a:xfrm>
                                <a:prstGeom prst="bentConnector3">
                                  <a:avLst>
                                    <a:gd name="adj1" fmla="val 48246"/>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1" name="Text Box 3389"/>
                              <wps:cNvSpPr txBox="1"/>
                              <wps:spPr>
                                <a:xfrm>
                                  <a:off x="4621" y="381710"/>
                                  <a:ext cx="716" cy="419"/>
                                </a:xfrm>
                                <a:prstGeom prst="rect">
                                  <a:avLst/>
                                </a:prstGeom>
                                <a:noFill/>
                                <a:ln>
                                  <a:noFill/>
                                </a:ln>
                              </wps:spPr>
                              <wps:txbx>
                                <w:txbxContent>
                                  <w:p w14:paraId="2328BCF6">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1035</w:t>
                                    </w:r>
                                  </w:p>
                                  <w:p w14:paraId="30C04CF3">
                                    <w:pPr>
                                      <w:jc w:val="center"/>
                                      <w:rPr>
                                        <w:rFonts w:hint="default" w:ascii="Times New Roman" w:hAnsi="Times New Roman" w:cs="Times New Roman"/>
                                        <w:sz w:val="21"/>
                                        <w:szCs w:val="21"/>
                                        <w:lang w:val="en-US" w:eastAsia="zh-CN"/>
                                      </w:rPr>
                                    </w:pPr>
                                  </w:p>
                                </w:txbxContent>
                              </wps:txbx>
                              <wps:bodyPr vert="horz" anchor="t" anchorCtr="0" upright="1"/>
                            </wps:wsp>
                            <wps:wsp>
                              <wps:cNvPr id="92" name="Text Box 3389"/>
                              <wps:cNvSpPr txBox="1"/>
                              <wps:spPr>
                                <a:xfrm>
                                  <a:off x="4627" y="382595"/>
                                  <a:ext cx="716" cy="419"/>
                                </a:xfrm>
                                <a:prstGeom prst="rect">
                                  <a:avLst/>
                                </a:prstGeom>
                                <a:noFill/>
                                <a:ln>
                                  <a:noFill/>
                                </a:ln>
                              </wps:spPr>
                              <wps:txbx>
                                <w:txbxContent>
                                  <w:p w14:paraId="2D99FAFA">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30</w:t>
                                    </w:r>
                                  </w:p>
                                  <w:p w14:paraId="691714B2">
                                    <w:pPr>
                                      <w:jc w:val="center"/>
                                      <w:rPr>
                                        <w:rFonts w:hint="default" w:ascii="Times New Roman" w:hAnsi="Times New Roman" w:cs="Times New Roman"/>
                                        <w:sz w:val="21"/>
                                        <w:szCs w:val="21"/>
                                        <w:lang w:val="en-US" w:eastAsia="zh-CN"/>
                                      </w:rPr>
                                    </w:pPr>
                                  </w:p>
                                </w:txbxContent>
                              </wps:txbx>
                              <wps:bodyPr vert="horz" anchor="t" anchorCtr="0" upright="1"/>
                            </wps:wsp>
                            <wps:wsp>
                              <wps:cNvPr id="95" name="Text Box 3389"/>
                              <wps:cNvSpPr txBox="1"/>
                              <wps:spPr>
                                <a:xfrm>
                                  <a:off x="6470" y="382595"/>
                                  <a:ext cx="716" cy="419"/>
                                </a:xfrm>
                                <a:prstGeom prst="rect">
                                  <a:avLst/>
                                </a:prstGeom>
                                <a:noFill/>
                                <a:ln>
                                  <a:noFill/>
                                </a:ln>
                              </wps:spPr>
                              <wps:txbx>
                                <w:txbxContent>
                                  <w:p w14:paraId="384C9F1C">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30</w:t>
                                    </w:r>
                                  </w:p>
                                  <w:p w14:paraId="699808F9">
                                    <w:pPr>
                                      <w:jc w:val="center"/>
                                      <w:rPr>
                                        <w:rFonts w:hint="default" w:ascii="Times New Roman" w:hAnsi="Times New Roman" w:cs="Times New Roman"/>
                                        <w:sz w:val="21"/>
                                        <w:szCs w:val="21"/>
                                        <w:lang w:val="en-US" w:eastAsia="zh-CN"/>
                                      </w:rPr>
                                    </w:pPr>
                                  </w:p>
                                </w:txbxContent>
                              </wps:txbx>
                              <wps:bodyPr vert="horz" anchor="t" anchorCtr="0" upright="1"/>
                            </wps:wsp>
                          </wpg:wgp>
                        </a:graphicData>
                      </a:graphic>
                    </wp:anchor>
                  </w:drawing>
                </mc:Choice>
                <mc:Fallback>
                  <w:pict>
                    <v:group id="_x0000_s1026" o:spid="_x0000_s1026" o:spt="203" style="position:absolute;left:0pt;margin-left:12.5pt;margin-top:10.15pt;height:130.7pt;width:401.45pt;z-index:251673600;mso-width-relative:page;mso-height-relative:page;" coordorigin="3239,381261" coordsize="8029,2614" o:gfxdata="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Aokppp2gAAAAkBAAAPAAAAAAAAAAEAIAAAACIAAABkcnMv&#10;ZG93bnJldi54bWxQSwECFAAUAAAACACHTuJADJoYvCAHAAAxLgAADgAAAAAAAAABACAAAAApAQAA&#10;ZHJzL2Uyb0RvYy54bWxQSwUGAAAAAAYABgBZAQAAuwoAAAAA&#10;">
                      <o:lock v:ext="edit" aspectratio="f"/>
                      <v:shape id="文本框 190" o:spid="_x0000_s1026" o:spt="202" type="#_x0000_t202" style="position:absolute;left:6308;top:381736;height:393;width:990;" filled="f" stroked="f" coordsize="21600,21600" o:gfxdata="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BCD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0AF603">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931.5</w:t>
                              </w:r>
                            </w:p>
                          </w:txbxContent>
                        </v:textbox>
                      </v:shape>
                      <v:rect id="Rectangle 3373" o:spid="_x0000_s1026" o:spt="1" style="position:absolute;left:9127;top:381673;height:705;width:1140;" filled="f" stroked="f" coordsize="21600,21600" o:gfxdata="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jZ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0F71490">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市政污水管网</w:t>
                              </w:r>
                            </w:p>
                          </w:txbxContent>
                        </v:textbox>
                      </v:rect>
                      <v:shape id="Text Box 3391" o:spid="_x0000_s1026" o:spt="202" type="#_x0000_t202" style="position:absolute;left:7186;top:381846;height:448;width:1369;" filled="f" stroked="t" coordsize="21600,21600" o:gfxdata="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DgA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83A373E">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化粪池</w:t>
                              </w:r>
                            </w:p>
                          </w:txbxContent>
                        </v:textbox>
                      </v:shape>
                      <v:shape id="Text Box 3389" o:spid="_x0000_s1026" o:spt="202" type="#_x0000_t202" style="position:absolute;left:3239;top:382046;height:652;width:995;" filled="f" stroked="f" coordsize="21600,21600" o:gfxdata="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S3H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5C9A2D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新鲜水</w:t>
                              </w:r>
                              <w:r>
                                <w:rPr>
                                  <w:rFonts w:hint="eastAsia" w:cs="Times New Roman"/>
                                  <w:sz w:val="21"/>
                                  <w:szCs w:val="21"/>
                                  <w:lang w:val="en-US" w:eastAsia="zh-CN"/>
                                </w:rPr>
                                <w:t>1065</w:t>
                              </w:r>
                            </w:p>
                            <w:p w14:paraId="03172F63">
                              <w:pPr>
                                <w:jc w:val="center"/>
                                <w:rPr>
                                  <w:rFonts w:hint="default" w:ascii="Times New Roman" w:hAnsi="Times New Roman" w:cs="Times New Roman"/>
                                  <w:sz w:val="21"/>
                                  <w:szCs w:val="21"/>
                                  <w:lang w:val="en-US" w:eastAsia="zh-CN"/>
                                </w:rPr>
                              </w:pPr>
                            </w:p>
                          </w:txbxContent>
                        </v:textbox>
                      </v:shape>
                      <v:shape id="Text Box 3391" o:spid="_x0000_s1026" o:spt="202" type="#_x0000_t202" style="position:absolute;left:5337;top:381821;height:448;width:1185;" filled="f" stroked="t" coordsize="21600,21600" o:gfxdata="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0xz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149CC827">
                              <w:pPr>
                                <w:pStyle w:val="55"/>
                                <w:ind w:firstLine="0" w:firstLineChars="0"/>
                                <w:jc w:val="center"/>
                                <w:rPr>
                                  <w:rFonts w:hint="eastAsia" w:ascii="宋体" w:hAnsi="宋体" w:cs="宋体"/>
                                  <w:sz w:val="21"/>
                                  <w:szCs w:val="21"/>
                                </w:rPr>
                              </w:pPr>
                              <w:r>
                                <w:rPr>
                                  <w:rFonts w:hint="eastAsia" w:ascii="宋体" w:hAnsi="宋体" w:cs="宋体"/>
                                  <w:sz w:val="21"/>
                                  <w:szCs w:val="21"/>
                                </w:rPr>
                                <w:t>生活用水</w:t>
                              </w:r>
                            </w:p>
                          </w:txbxContent>
                        </v:textbox>
                      </v:shape>
                      <v:shape id="FreeForm 3414" o:spid="_x0000_s1026" o:spt="100" style="position:absolute;left:5790;top:381504;height:275;width:450;rotation:-262144f;" filled="f" stroked="t" coordsize="690,230" o:gfxdata="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qvrC8AAAA&#10;3AAAAA8AAAAAAAAAAQAgAAAAIgAAAGRycy9kb3ducmV2LnhtbFBLAQIUABQAAAAIAIdO4kAzLwWe&#10;OwAAADkAAAAQAAAAAAAAAAEAIAAAAAsBAABkcnMvc2hhcGV4bWwueG1sUEsFBgAAAAAGAAYAWwEA&#10;ALUDAAAAAA==&#10;" path="m0,230c180,202,360,175,390,140c420,105,130,40,180,20c230,0,460,10,690,20e">
                        <v:fill on="f" focussize="0,0"/>
                        <v:stroke color="#000000" joinstyle="round" dashstyle="dash" endarrow="block"/>
                        <v:imagedata o:title=""/>
                        <o:lock v:ext="edit" aspectratio="f"/>
                      </v:shape>
                      <v:shape id="文本框 197" o:spid="_x0000_s1026" o:spt="202" type="#_x0000_t202" style="position:absolute;left:6084;top:381261;height:381;width:1504;"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F029721">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损耗：</w:t>
                              </w:r>
                              <w:r>
                                <w:rPr>
                                  <w:rFonts w:hint="eastAsia" w:cs="Times New Roman"/>
                                  <w:sz w:val="21"/>
                                  <w:szCs w:val="21"/>
                                  <w:lang w:val="en-US" w:eastAsia="zh-CN"/>
                                </w:rPr>
                                <w:t>103.5</w:t>
                              </w:r>
                            </w:p>
                          </w:txbxContent>
                        </v:textbox>
                      </v:shape>
                      <v:shape id="文本框 198" o:spid="_x0000_s1026" o:spt="202" type="#_x0000_t202" style="position:absolute;left:8462;top:381677;height:505;width:890;" filled="f" stroked="f" coordsize="21600,21600" o:gfxdata="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86T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61F694B">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931.5</w:t>
                              </w:r>
                            </w:p>
                          </w:txbxContent>
                        </v:textbox>
                      </v:shape>
                      <v:line id="Line 3816" o:spid="_x0000_s1026" o:spt="20" style="position:absolute;left:8569;top:382046;flip:y;height:2;width:743;" filled="f" stroked="t" coordsize="21600,21600" o:gfxdata="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GTS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405" o:spid="_x0000_s1026" o:spt="20" style="position:absolute;left:6517;top:382049;height:1;width:675;"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3391" o:spid="_x0000_s1026" o:spt="202" type="#_x0000_t202" style="position:absolute;left:3775;top:383247;height:628;width:6492;v-text-anchor:middle;" filled="f" stroked="f" coordsize="21600,21600" o:gfxdata="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b+SbsAAADc&#10;AAAADwAAAAAAAAABACAAAAAiAAAAZHJzL2Rvd25yZXYueG1sUEsBAhQAFAAAAAgAh07iQDMvBZ47&#10;AAAAOQAAABAAAAAAAAAAAQAgAAAACgEAAGRycy9zaGFwZXhtbC54bWxQSwUGAAAAAAYABgBbAQAA&#10;tAMAAAAA&#10;">
                        <v:fill on="f" focussize="0,0"/>
                        <v:stroke on="f" joinstyle="miter"/>
                        <v:imagedata o:title=""/>
                        <o:lock v:ext="edit" aspectratio="f"/>
                        <v:textbox inset="1.3mm,1.3mm,1.3mm,1.3mm">
                          <w:txbxContent>
                            <w:p w14:paraId="75294380">
                              <w:pPr>
                                <w:pStyle w:val="5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图2.2-</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 xml:space="preserve">  项目水平衡图   (单位：t/a)</w:t>
                              </w:r>
                            </w:p>
                            <w:p w14:paraId="631D4443">
                              <w:pPr>
                                <w:rPr>
                                  <w:rFonts w:hint="default"/>
                                  <w:lang w:val="en-US" w:eastAsia="zh-CN"/>
                                </w:rPr>
                              </w:pPr>
                            </w:p>
                          </w:txbxContent>
                        </v:textbox>
                      </v:shape>
                      <v:shape id="Text Box 3391" o:spid="_x0000_s1026" o:spt="202" type="#_x0000_t202" style="position:absolute;left:5343;top:382698;height:448;width:1202;" filled="f" stroked="t" coordsize="21600,21600" o:gfxdata="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P1T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5843CE29">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设备清洗</w:t>
                              </w:r>
                            </w:p>
                          </w:txbxContent>
                        </v:textbox>
                      </v:shape>
                      <v:line id="Line 3405" o:spid="_x0000_s1026" o:spt="20" style="position:absolute;left:6545;top:382922;height:1;width:633;"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3391" o:spid="_x0000_s1026" o:spt="202" type="#_x0000_t202" style="position:absolute;left:7178;top:382697;height:448;width:1634;" filled="f" stroked="t" coordsize="21600,21600" o:gfxdata="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CK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611A7604">
                              <w:pPr>
                                <w:pStyle w:val="55"/>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含胶清洗废水</w:t>
                              </w:r>
                            </w:p>
                          </w:txbxContent>
                        </v:textbox>
                      </v:shape>
                      <v:line id="Line 3405" o:spid="_x0000_s1026" o:spt="20" style="position:absolute;left:8825;top:382923;height:1;width:633;"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3389" o:spid="_x0000_s1026" o:spt="202" type="#_x0000_t202" style="position:absolute;left:9458;top:382595;height:652;width:1810;"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2B2EA2A">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作为危废委托有资质单位处置</w:t>
                              </w:r>
                            </w:p>
                          </w:txbxContent>
                        </v:textbox>
                      </v:shape>
                      <v:shape id="_x0000_s1026" o:spid="_x0000_s1026" o:spt="34" type="#_x0000_t34" style="position:absolute;left:4077;top:381993;flip:y;height:378;width:1260;" filled="f" stroked="t" coordsize="21600,21600" o:gfxdata="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dOAZugAAANsA&#10;AAAPAAAAAAAAAAEAIAAAACIAAABkcnMvZG93bnJldi54bWxQSwECFAAUAAAACACHTuJAMy8FnjsA&#10;AAA5AAAAEAAAAAAAAAABACAAAAAJAQAAZHJzL3NoYXBleG1sLnhtbFBLBQYAAAAABgAGAFsBAACz&#10;AwAAAAA=&#10;" adj="10560">
                        <v:fill on="f" focussize="0,0"/>
                        <v:stroke color="#000000 [3213]" joinstyle="round" endarrow="block"/>
                        <v:imagedata o:title=""/>
                        <o:lock v:ext="edit" aspectratio="f"/>
                      </v:shape>
                      <v:shape id="_x0000_s1026" o:spid="_x0000_s1026" o:spt="34" type="#_x0000_t34" style="position:absolute;left:4060;top:382378;height:544;width:1283;" filled="f" stroked="t" coordsize="21600,21600" o:gfxdata="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ZB5GtwAAANsAAAAP&#10;AAAAAAAAAAEAIAAAACIAAABkcnMvZG93bnJldi54bWxQSwECFAAUAAAACACHTuJAMy8FnjsAAAA5&#10;AAAAEAAAAAAAAAABACAAAAAGAQAAZHJzL3NoYXBleG1sLnhtbFBLBQYAAAAABgAGAFsBAACwAwAA&#10;AAA=&#10;" adj="10421">
                        <v:fill on="f" focussize="0,0"/>
                        <v:stroke color="#000000 [3213]" joinstyle="round" endarrow="block"/>
                        <v:imagedata o:title=""/>
                        <o:lock v:ext="edit" aspectratio="f"/>
                      </v:shape>
                      <v:shape id="Text Box 3389" o:spid="_x0000_s1026" o:spt="202" type="#_x0000_t202" style="position:absolute;left:4621;top:381710;height:419;width:716;"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328BCF6">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1035</w:t>
                              </w:r>
                            </w:p>
                            <w:p w14:paraId="30C04CF3">
                              <w:pPr>
                                <w:jc w:val="center"/>
                                <w:rPr>
                                  <w:rFonts w:hint="default" w:ascii="Times New Roman" w:hAnsi="Times New Roman" w:cs="Times New Roman"/>
                                  <w:sz w:val="21"/>
                                  <w:szCs w:val="21"/>
                                  <w:lang w:val="en-US" w:eastAsia="zh-CN"/>
                                </w:rPr>
                              </w:pPr>
                            </w:p>
                          </w:txbxContent>
                        </v:textbox>
                      </v:shape>
                      <v:shape id="Text Box 3389" o:spid="_x0000_s1026" o:spt="202" type="#_x0000_t202" style="position:absolute;left:4627;top:382595;height:419;width:716;"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D99FAFA">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30</w:t>
                              </w:r>
                            </w:p>
                            <w:p w14:paraId="691714B2">
                              <w:pPr>
                                <w:jc w:val="center"/>
                                <w:rPr>
                                  <w:rFonts w:hint="default" w:ascii="Times New Roman" w:hAnsi="Times New Roman" w:cs="Times New Roman"/>
                                  <w:sz w:val="21"/>
                                  <w:szCs w:val="21"/>
                                  <w:lang w:val="en-US" w:eastAsia="zh-CN"/>
                                </w:rPr>
                              </w:pPr>
                            </w:p>
                          </w:txbxContent>
                        </v:textbox>
                      </v:shape>
                      <v:shape id="Text Box 3389" o:spid="_x0000_s1026" o:spt="202" type="#_x0000_t202" style="position:absolute;left:6470;top:382595;height:419;width:716;"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84C9F1C">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30</w:t>
                              </w:r>
                            </w:p>
                            <w:p w14:paraId="699808F9">
                              <w:pPr>
                                <w:jc w:val="center"/>
                                <w:rPr>
                                  <w:rFonts w:hint="default" w:ascii="Times New Roman" w:hAnsi="Times New Roman" w:cs="Times New Roman"/>
                                  <w:sz w:val="21"/>
                                  <w:szCs w:val="21"/>
                                  <w:lang w:val="en-US" w:eastAsia="zh-CN"/>
                                </w:rPr>
                              </w:pPr>
                            </w:p>
                          </w:txbxContent>
                        </v:textbox>
                      </v:shape>
                    </v:group>
                  </w:pict>
                </mc:Fallback>
              </mc:AlternateContent>
            </w:r>
          </w:p>
          <w:p w14:paraId="5198187C">
            <w:pPr>
              <w:pStyle w:val="43"/>
              <w:bidi w:val="0"/>
              <w:ind w:left="0" w:leftChars="0" w:firstLine="0" w:firstLineChars="0"/>
              <w:rPr>
                <w:rFonts w:hint="default" w:ascii="Times New Roman" w:hAnsi="Times New Roman" w:cs="Times New Roman"/>
                <w:color w:val="auto"/>
                <w:lang w:val="en-US" w:eastAsia="zh-CN"/>
              </w:rPr>
            </w:pPr>
          </w:p>
          <w:p w14:paraId="40916E15">
            <w:pPr>
              <w:pStyle w:val="43"/>
              <w:bidi w:val="0"/>
              <w:ind w:left="0" w:leftChars="0" w:firstLine="0" w:firstLineChars="0"/>
              <w:rPr>
                <w:rFonts w:hint="default" w:ascii="Times New Roman" w:hAnsi="Times New Roman" w:cs="Times New Roman"/>
                <w:color w:val="auto"/>
                <w:lang w:val="en-US" w:eastAsia="zh-CN"/>
              </w:rPr>
            </w:pPr>
          </w:p>
          <w:p w14:paraId="12CFE6D7">
            <w:pPr>
              <w:pStyle w:val="43"/>
              <w:bidi w:val="0"/>
              <w:ind w:left="0" w:leftChars="0" w:firstLine="0" w:firstLineChars="0"/>
              <w:rPr>
                <w:rFonts w:hint="default" w:ascii="Times New Roman" w:hAnsi="Times New Roman" w:cs="Times New Roman"/>
                <w:color w:val="auto"/>
                <w:lang w:val="en-US" w:eastAsia="zh-CN"/>
              </w:rPr>
            </w:pPr>
          </w:p>
          <w:p w14:paraId="0744E65A">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highlight w:val="none"/>
                <w:lang w:val="en-US" w:eastAsia="zh-CN"/>
              </w:rPr>
            </w:pPr>
          </w:p>
          <w:p w14:paraId="7F4226F5">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41E4DDD1">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8</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挥发性有机物平衡</w:t>
            </w:r>
          </w:p>
          <w:p w14:paraId="2A15186D">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5AF2B335">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781B16E3">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sz w:val="24"/>
              </w:rPr>
              <mc:AlternateContent>
                <mc:Choice Requires="wpg">
                  <w:drawing>
                    <wp:anchor distT="0" distB="0" distL="114300" distR="114300" simplePos="0" relativeHeight="251672576" behindDoc="0" locked="0" layoutInCell="1" allowOverlap="1">
                      <wp:simplePos x="0" y="0"/>
                      <wp:positionH relativeFrom="column">
                        <wp:posOffset>334645</wp:posOffset>
                      </wp:positionH>
                      <wp:positionV relativeFrom="paragraph">
                        <wp:posOffset>159385</wp:posOffset>
                      </wp:positionV>
                      <wp:extent cx="4897120" cy="1675765"/>
                      <wp:effectExtent l="4445" t="0" r="0" b="0"/>
                      <wp:wrapNone/>
                      <wp:docPr id="25" name="组合 25"/>
                      <wp:cNvGraphicFramePr/>
                      <a:graphic xmlns:a="http://schemas.openxmlformats.org/drawingml/2006/main">
                        <a:graphicData uri="http://schemas.microsoft.com/office/word/2010/wordprocessingGroup">
                          <wpg:wgp>
                            <wpg:cNvGrpSpPr/>
                            <wpg:grpSpPr>
                              <a:xfrm>
                                <a:off x="0" y="0"/>
                                <a:ext cx="4897120" cy="1675765"/>
                                <a:chOff x="3615" y="396156"/>
                                <a:chExt cx="7712" cy="2639"/>
                              </a:xfrm>
                            </wpg:grpSpPr>
                            <wps:wsp>
                              <wps:cNvPr id="429" name="文本框 429"/>
                              <wps:cNvSpPr txBox="1"/>
                              <wps:spPr>
                                <a:xfrm>
                                  <a:off x="3615" y="396213"/>
                                  <a:ext cx="1746" cy="662"/>
                                </a:xfrm>
                                <a:prstGeom prst="rect">
                                  <a:avLst/>
                                </a:prstGeom>
                                <a:noFill/>
                                <a:ln w="9525" cap="flat" cmpd="sng">
                                  <a:solidFill>
                                    <a:srgbClr val="000000"/>
                                  </a:solidFill>
                                  <a:prstDash val="solid"/>
                                  <a:miter/>
                                  <a:headEnd type="none" w="med" len="med"/>
                                  <a:tailEnd type="none" w="med" len="med"/>
                                </a:ln>
                              </wps:spPr>
                              <wps:txbx>
                                <w:txbxContent>
                                  <w:p w14:paraId="0000BAFE">
                                    <w:pPr>
                                      <w:tabs>
                                        <w:tab w:val="right" w:pos="8640"/>
                                        <w:tab w:val="right" w:pos="8784"/>
                                      </w:tabs>
                                      <w:bidi w:val="0"/>
                                      <w:jc w:val="center"/>
                                      <w:rPr>
                                        <w:rFonts w:hint="eastAsia"/>
                                        <w:sz w:val="18"/>
                                        <w:szCs w:val="18"/>
                                        <w:lang w:val="en-US" w:eastAsia="zh-CN"/>
                                      </w:rPr>
                                    </w:pPr>
                                    <w:r>
                                      <w:rPr>
                                        <w:rFonts w:hint="eastAsia"/>
                                        <w:sz w:val="18"/>
                                        <w:szCs w:val="18"/>
                                        <w:lang w:val="en-US" w:eastAsia="zh-CN"/>
                                      </w:rPr>
                                      <w:t>水性胶粘剂：35.6</w:t>
                                    </w:r>
                                  </w:p>
                                  <w:p w14:paraId="4926D52D">
                                    <w:pPr>
                                      <w:tabs>
                                        <w:tab w:val="right" w:pos="8640"/>
                                        <w:tab w:val="right" w:pos="8784"/>
                                      </w:tabs>
                                      <w:bidi w:val="0"/>
                                      <w:jc w:val="center"/>
                                      <w:rPr>
                                        <w:rFonts w:hint="default"/>
                                        <w:sz w:val="18"/>
                                        <w:szCs w:val="18"/>
                                        <w:lang w:val="en-US" w:eastAsia="zh-CN"/>
                                      </w:rPr>
                                    </w:pPr>
                                    <w:r>
                                      <w:rPr>
                                        <w:rFonts w:hint="eastAsia"/>
                                        <w:sz w:val="18"/>
                                        <w:szCs w:val="18"/>
                                        <w:lang w:val="en-US" w:eastAsia="zh-CN"/>
                                      </w:rPr>
                                      <w:t>水性固化剂：1.8</w:t>
                                    </w:r>
                                  </w:p>
                                </w:txbxContent>
                              </wps:txbx>
                              <wps:bodyPr anchor="ctr" anchorCtr="0" upright="1"/>
                            </wps:wsp>
                            <wps:wsp>
                              <wps:cNvPr id="557" name="直接箭头连接符 557"/>
                              <wps:cNvCnPr>
                                <a:stCxn id="559" idx="3"/>
                              </wps:cNvCnPr>
                              <wps:spPr>
                                <a:xfrm>
                                  <a:off x="5295" y="397632"/>
                                  <a:ext cx="479"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59" name="文本框 559"/>
                              <wps:cNvSpPr txBox="1"/>
                              <wps:spPr>
                                <a:xfrm>
                                  <a:off x="3680" y="397280"/>
                                  <a:ext cx="1615" cy="704"/>
                                </a:xfrm>
                                <a:prstGeom prst="rect">
                                  <a:avLst/>
                                </a:prstGeom>
                                <a:noFill/>
                                <a:ln w="9525" cap="flat" cmpd="sng">
                                  <a:solidFill>
                                    <a:srgbClr val="000000"/>
                                  </a:solidFill>
                                  <a:prstDash val="solid"/>
                                  <a:miter/>
                                  <a:headEnd type="none" w="med" len="med"/>
                                  <a:tailEnd type="none" w="med" len="med"/>
                                </a:ln>
                              </wps:spPr>
                              <wps:txbx>
                                <w:txbxContent>
                                  <w:p w14:paraId="0711E7E0">
                                    <w:pPr>
                                      <w:tabs>
                                        <w:tab w:val="right" w:pos="8640"/>
                                        <w:tab w:val="right" w:pos="8784"/>
                                      </w:tabs>
                                      <w:bidi w:val="0"/>
                                      <w:jc w:val="center"/>
                                      <w:rPr>
                                        <w:rFonts w:hint="eastAsia"/>
                                        <w:sz w:val="18"/>
                                        <w:szCs w:val="18"/>
                                        <w:lang w:val="en-US" w:eastAsia="zh-CN"/>
                                      </w:rPr>
                                    </w:pPr>
                                    <w:r>
                                      <w:rPr>
                                        <w:rFonts w:hint="eastAsia"/>
                                        <w:sz w:val="18"/>
                                        <w:szCs w:val="18"/>
                                        <w:lang w:val="en-US" w:eastAsia="zh-CN"/>
                                      </w:rPr>
                                      <w:t>VOC含量33g/L</w:t>
                                    </w:r>
                                  </w:p>
                                  <w:p w14:paraId="55872CA6">
                                    <w:pPr>
                                      <w:tabs>
                                        <w:tab w:val="right" w:pos="8640"/>
                                        <w:tab w:val="right" w:pos="8784"/>
                                      </w:tabs>
                                      <w:bidi w:val="0"/>
                                      <w:jc w:val="center"/>
                                      <w:rPr>
                                        <w:rFonts w:hint="default"/>
                                        <w:sz w:val="18"/>
                                        <w:szCs w:val="18"/>
                                        <w:lang w:val="en-US" w:eastAsia="zh-CN"/>
                                      </w:rPr>
                                    </w:pPr>
                                    <w:r>
                                      <w:rPr>
                                        <w:rFonts w:hint="eastAsia"/>
                                        <w:sz w:val="18"/>
                                        <w:szCs w:val="18"/>
                                        <w:lang w:val="en-US" w:eastAsia="zh-CN"/>
                                      </w:rPr>
                                      <w:t>(密度1.08g/cm</w:t>
                                    </w:r>
                                    <w:r>
                                      <w:rPr>
                                        <w:rFonts w:hint="eastAsia"/>
                                        <w:sz w:val="18"/>
                                        <w:szCs w:val="18"/>
                                        <w:vertAlign w:val="superscript"/>
                                        <w:lang w:val="en-US" w:eastAsia="zh-CN"/>
                                      </w:rPr>
                                      <w:t>3</w:t>
                                    </w:r>
                                    <w:r>
                                      <w:rPr>
                                        <w:rFonts w:hint="eastAsia"/>
                                        <w:sz w:val="18"/>
                                        <w:szCs w:val="18"/>
                                        <w:lang w:val="en-US" w:eastAsia="zh-CN"/>
                                      </w:rPr>
                                      <w:t>)</w:t>
                                    </w:r>
                                  </w:p>
                                </w:txbxContent>
                              </wps:txbx>
                              <wps:bodyPr anchor="ctr" anchorCtr="0" upright="1"/>
                            </wps:wsp>
                            <wps:wsp>
                              <wps:cNvPr id="561" name="直接箭头连接符 561"/>
                              <wps:cNvCnPr>
                                <a:stCxn id="563" idx="3"/>
                                <a:endCxn id="21" idx="1"/>
                              </wps:cNvCnPr>
                              <wps:spPr>
                                <a:xfrm>
                                  <a:off x="7064" y="397640"/>
                                  <a:ext cx="508" cy="11"/>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63" name="文本框 563"/>
                              <wps:cNvSpPr txBox="1"/>
                              <wps:spPr>
                                <a:xfrm>
                                  <a:off x="5774" y="397295"/>
                                  <a:ext cx="1290" cy="689"/>
                                </a:xfrm>
                                <a:prstGeom prst="rect">
                                  <a:avLst/>
                                </a:prstGeom>
                                <a:noFill/>
                                <a:ln w="9525" cap="flat" cmpd="sng">
                                  <a:solidFill>
                                    <a:srgbClr val="000000"/>
                                  </a:solidFill>
                                  <a:prstDash val="solid"/>
                                  <a:miter/>
                                  <a:headEnd type="none" w="med" len="med"/>
                                  <a:tailEnd type="none" w="med" len="med"/>
                                </a:ln>
                              </wps:spPr>
                              <wps:txbx>
                                <w:txbxContent>
                                  <w:p w14:paraId="05B95882">
                                    <w:pPr>
                                      <w:tabs>
                                        <w:tab w:val="right" w:pos="8640"/>
                                        <w:tab w:val="right" w:pos="8784"/>
                                      </w:tabs>
                                      <w:bidi w:val="0"/>
                                      <w:jc w:val="center"/>
                                      <w:rPr>
                                        <w:rFonts w:hint="default"/>
                                        <w:sz w:val="18"/>
                                        <w:szCs w:val="18"/>
                                        <w:lang w:val="en-US" w:eastAsia="zh-CN"/>
                                      </w:rPr>
                                    </w:pPr>
                                    <w:r>
                                      <w:rPr>
                                        <w:rFonts w:hint="eastAsia"/>
                                        <w:sz w:val="18"/>
                                        <w:szCs w:val="18"/>
                                        <w:lang w:val="en-US" w:eastAsia="zh-CN"/>
                                      </w:rPr>
                                      <w:t>调胶、喷胶、辊胶、烘干</w:t>
                                    </w:r>
                                  </w:p>
                                </w:txbxContent>
                              </wps:txbx>
                              <wps:bodyPr anchor="ctr" anchorCtr="0" upright="1"/>
                            </wps:wsp>
                            <wps:wsp>
                              <wps:cNvPr id="565" name="文本框 565"/>
                              <wps:cNvSpPr txBox="1"/>
                              <wps:spPr>
                                <a:xfrm>
                                  <a:off x="7687" y="396156"/>
                                  <a:ext cx="1538" cy="614"/>
                                </a:xfrm>
                                <a:prstGeom prst="rect">
                                  <a:avLst/>
                                </a:prstGeom>
                                <a:noFill/>
                                <a:ln w="9525" cap="flat" cmpd="sng">
                                  <a:noFill/>
                                  <a:prstDash val="solid"/>
                                  <a:miter/>
                                  <a:headEnd type="none" w="med" len="med"/>
                                  <a:tailEnd type="none" w="med" len="med"/>
                                </a:ln>
                              </wps:spPr>
                              <wps:txbx>
                                <w:txbxContent>
                                  <w:p w14:paraId="3195C76E">
                                    <w:pPr>
                                      <w:tabs>
                                        <w:tab w:val="right" w:pos="8640"/>
                                        <w:tab w:val="right" w:pos="8784"/>
                                      </w:tabs>
                                      <w:bidi w:val="0"/>
                                      <w:jc w:val="left"/>
                                      <w:rPr>
                                        <w:rFonts w:hint="default"/>
                                        <w:sz w:val="18"/>
                                        <w:szCs w:val="18"/>
                                        <w:lang w:val="en-US" w:eastAsia="zh-CN"/>
                                      </w:rPr>
                                    </w:pPr>
                                    <w:r>
                                      <w:rPr>
                                        <w:rFonts w:hint="eastAsia"/>
                                        <w:sz w:val="18"/>
                                        <w:szCs w:val="18"/>
                                        <w:lang w:val="en-US" w:eastAsia="zh-CN"/>
                                      </w:rPr>
                                      <w:t>无组织排放NMHC:0.1708</w:t>
                                    </w:r>
                                  </w:p>
                                </w:txbxContent>
                              </wps:txbx>
                              <wps:bodyPr anchor="ctr" anchorCtr="0" upright="1"/>
                            </wps:wsp>
                            <wps:wsp>
                              <wps:cNvPr id="568" name="文本框 568"/>
                              <wps:cNvSpPr txBox="1"/>
                              <wps:spPr>
                                <a:xfrm>
                                  <a:off x="4781" y="398257"/>
                                  <a:ext cx="5812"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85299">
                                    <w:pPr>
                                      <w:pStyle w:val="81"/>
                                      <w:bidi w:val="0"/>
                                      <w:rPr>
                                        <w:rFonts w:hint="default" w:eastAsia="黑体"/>
                                        <w:lang w:val="en-US" w:eastAsia="zh-CN"/>
                                      </w:rPr>
                                    </w:pPr>
                                    <w:r>
                                      <w:rPr>
                                        <w:rFonts w:hint="eastAsia"/>
                                        <w:lang w:val="en-US" w:eastAsia="zh-CN"/>
                                      </w:rPr>
                                      <w:t>图2.2-2 项目挥发性有机物平衡图，单位:t/a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20"/>
                              <wps:cNvCnPr>
                                <a:stCxn id="21" idx="3"/>
                                <a:endCxn id="23" idx="1"/>
                              </wps:cNvCnPr>
                              <wps:spPr>
                                <a:xfrm>
                                  <a:off x="9339" y="397651"/>
                                  <a:ext cx="450" cy="3"/>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1" name="文本框 21"/>
                              <wps:cNvSpPr txBox="1"/>
                              <wps:spPr>
                                <a:xfrm>
                                  <a:off x="7572" y="397295"/>
                                  <a:ext cx="1767" cy="712"/>
                                </a:xfrm>
                                <a:prstGeom prst="rect">
                                  <a:avLst/>
                                </a:prstGeom>
                                <a:noFill/>
                                <a:ln w="9525" cap="flat" cmpd="sng">
                                  <a:solidFill>
                                    <a:srgbClr val="000000"/>
                                  </a:solidFill>
                                  <a:prstDash val="solid"/>
                                  <a:miter/>
                                  <a:headEnd type="none" w="med" len="med"/>
                                  <a:tailEnd type="none" w="med" len="med"/>
                                </a:ln>
                              </wps:spPr>
                              <wps:txbx>
                                <w:txbxContent>
                                  <w:p w14:paraId="57E37B4E">
                                    <w:pPr>
                                      <w:tabs>
                                        <w:tab w:val="right" w:pos="8640"/>
                                        <w:tab w:val="right" w:pos="8784"/>
                                      </w:tabs>
                                      <w:bidi w:val="0"/>
                                      <w:jc w:val="center"/>
                                      <w:rPr>
                                        <w:rFonts w:hint="default"/>
                                        <w:sz w:val="18"/>
                                        <w:szCs w:val="18"/>
                                        <w:lang w:val="en-US" w:eastAsia="zh-CN"/>
                                      </w:rPr>
                                    </w:pPr>
                                    <w:r>
                                      <w:rPr>
                                        <w:rFonts w:hint="eastAsia"/>
                                        <w:sz w:val="18"/>
                                        <w:szCs w:val="18"/>
                                        <w:lang w:val="en-US" w:eastAsia="zh-CN"/>
                                      </w:rPr>
                                      <w:t>干式过滤器+二级活性炭吸附装置</w:t>
                                    </w:r>
                                  </w:p>
                                </w:txbxContent>
                              </wps:txbx>
                              <wps:bodyPr anchor="ctr" anchorCtr="0" upright="1"/>
                            </wps:wsp>
                            <wps:wsp>
                              <wps:cNvPr id="22" name="直接箭头连接符 22"/>
                              <wps:cNvCnPr>
                                <a:stCxn id="429" idx="2"/>
                                <a:endCxn id="559" idx="0"/>
                              </wps:cNvCnPr>
                              <wps:spPr>
                                <a:xfrm>
                                  <a:off x="4488" y="396875"/>
                                  <a:ext cx="0" cy="405"/>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3" name="文本框 23"/>
                              <wps:cNvSpPr txBox="1"/>
                              <wps:spPr>
                                <a:xfrm>
                                  <a:off x="9789" y="397295"/>
                                  <a:ext cx="1538" cy="718"/>
                                </a:xfrm>
                                <a:prstGeom prst="rect">
                                  <a:avLst/>
                                </a:prstGeom>
                                <a:noFill/>
                                <a:ln w="9525" cap="flat" cmpd="sng">
                                  <a:noFill/>
                                  <a:prstDash val="solid"/>
                                  <a:miter/>
                                  <a:headEnd type="none" w="med" len="med"/>
                                  <a:tailEnd type="none" w="med" len="med"/>
                                </a:ln>
                              </wps:spPr>
                              <wps:txbx>
                                <w:txbxContent>
                                  <w:p w14:paraId="38AD1118">
                                    <w:pPr>
                                      <w:tabs>
                                        <w:tab w:val="right" w:pos="8640"/>
                                        <w:tab w:val="right" w:pos="8784"/>
                                      </w:tabs>
                                      <w:bidi w:val="0"/>
                                      <w:jc w:val="left"/>
                                      <w:rPr>
                                        <w:rFonts w:hint="default"/>
                                        <w:sz w:val="18"/>
                                        <w:szCs w:val="18"/>
                                        <w:lang w:val="en-US" w:eastAsia="zh-CN"/>
                                      </w:rPr>
                                    </w:pPr>
                                    <w:r>
                                      <w:rPr>
                                        <w:rFonts w:hint="eastAsia"/>
                                        <w:sz w:val="18"/>
                                        <w:szCs w:val="18"/>
                                        <w:lang w:val="en-US" w:eastAsia="zh-CN"/>
                                      </w:rPr>
                                      <w:t>有组织排放NMHC:0.1936</w:t>
                                    </w:r>
                                  </w:p>
                                </w:txbxContent>
                              </wps:txbx>
                              <wps:bodyPr anchor="ctr" anchorCtr="0" upright="1"/>
                            </wps:wsp>
                            <wps:wsp>
                              <wps:cNvPr id="24" name="直接箭头连接符 24"/>
                              <wps:cNvCnPr>
                                <a:stCxn id="565" idx="2"/>
                                <a:endCxn id="21" idx="0"/>
                              </wps:cNvCnPr>
                              <wps:spPr>
                                <a:xfrm>
                                  <a:off x="8456" y="396770"/>
                                  <a:ext cx="0" cy="525"/>
                                </a:xfrm>
                                <a:prstGeom prst="straightConnector1">
                                  <a:avLst/>
                                </a:prstGeom>
                                <a:ln w="6350">
                                  <a:solidFill>
                                    <a:schemeClr val="tx1"/>
                                  </a:solidFill>
                                  <a:prstDash val="solid"/>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6.35pt;margin-top:12.55pt;height:131.95pt;width:385.6pt;z-index:251672576;mso-width-relative:page;mso-height-relative:page;" coordorigin="3615,396156" coordsize="7712,2639" o:gfxdata="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HKiq1jaAAAACQEAAA8AAAAAAAAAAQAgAAAAIgAAAGRycy9kb3ducmV2&#10;LnhtbFBLAQIUABQAAAAIAIdO4kALftwXwwUAAAIfAAAOAAAAAAAAAAEAIAAAACkBAABkcnMvZTJv&#10;RG9jLnhtbFBLBQYAAAAABgAGAFkBAABeCQAAAAA=&#10;">
                      <o:lock v:ext="edit" aspectratio="f"/>
                      <v:shape id="_x0000_s1026" o:spid="_x0000_s1026" o:spt="202" type="#_x0000_t202" style="position:absolute;left:3615;top:396213;height:662;width:1746;v-text-anchor:middle;" filled="f" stroked="t" coordsize="21600,21600" o:gfxdata="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gQ8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0000BAFE">
                              <w:pPr>
                                <w:tabs>
                                  <w:tab w:val="right" w:pos="8640"/>
                                  <w:tab w:val="right" w:pos="8784"/>
                                </w:tabs>
                                <w:bidi w:val="0"/>
                                <w:jc w:val="center"/>
                                <w:rPr>
                                  <w:rFonts w:hint="eastAsia"/>
                                  <w:sz w:val="18"/>
                                  <w:szCs w:val="18"/>
                                  <w:lang w:val="en-US" w:eastAsia="zh-CN"/>
                                </w:rPr>
                              </w:pPr>
                              <w:r>
                                <w:rPr>
                                  <w:rFonts w:hint="eastAsia"/>
                                  <w:sz w:val="18"/>
                                  <w:szCs w:val="18"/>
                                  <w:lang w:val="en-US" w:eastAsia="zh-CN"/>
                                </w:rPr>
                                <w:t>水性胶粘剂：35.6</w:t>
                              </w:r>
                            </w:p>
                            <w:p w14:paraId="4926D52D">
                              <w:pPr>
                                <w:tabs>
                                  <w:tab w:val="right" w:pos="8640"/>
                                  <w:tab w:val="right" w:pos="8784"/>
                                </w:tabs>
                                <w:bidi w:val="0"/>
                                <w:jc w:val="center"/>
                                <w:rPr>
                                  <w:rFonts w:hint="default"/>
                                  <w:sz w:val="18"/>
                                  <w:szCs w:val="18"/>
                                  <w:lang w:val="en-US" w:eastAsia="zh-CN"/>
                                </w:rPr>
                              </w:pPr>
                              <w:r>
                                <w:rPr>
                                  <w:rFonts w:hint="eastAsia"/>
                                  <w:sz w:val="18"/>
                                  <w:szCs w:val="18"/>
                                  <w:lang w:val="en-US" w:eastAsia="zh-CN"/>
                                </w:rPr>
                                <w:t>水性固化剂：1.8</w:t>
                              </w:r>
                            </w:p>
                          </w:txbxContent>
                        </v:textbox>
                      </v:shape>
                      <v:shape id="_x0000_s1026" o:spid="_x0000_s1026" o:spt="32" type="#_x0000_t32" style="position:absolute;left:5295;top:397632;height:0;width:479;" filled="f" stroked="t" coordsize="21600,21600" o:gfxdata="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e5L4A&#10;AADcAAAADwAAAAAAAAABACAAAAAiAAAAZHJzL2Rvd25yZXYueG1sUEsBAhQAFAAAAAgAh07iQDMv&#10;BZ47AAAAOQAAABAAAAAAAAAAAQAgAAAADQEAAGRycy9zaGFwZXhtbC54bWxQSwUGAAAAAAYABgBb&#10;AQAAtwMAAAAA&#10;">
                        <v:fill on="f" focussize="0,0"/>
                        <v:stroke weight="0.5pt" color="#000000 [3213]" joinstyle="round" endarrow="block"/>
                        <v:imagedata o:title=""/>
                        <o:lock v:ext="edit" aspectratio="f"/>
                      </v:shape>
                      <v:shape id="_x0000_s1026" o:spid="_x0000_s1026" o:spt="202" type="#_x0000_t202" style="position:absolute;left:3680;top:397280;height:704;width:1615;v-text-anchor:middle;" filled="f" stroked="t" coordsize="21600,21600" o:gfxdata="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143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0711E7E0">
                              <w:pPr>
                                <w:tabs>
                                  <w:tab w:val="right" w:pos="8640"/>
                                  <w:tab w:val="right" w:pos="8784"/>
                                </w:tabs>
                                <w:bidi w:val="0"/>
                                <w:jc w:val="center"/>
                                <w:rPr>
                                  <w:rFonts w:hint="eastAsia"/>
                                  <w:sz w:val="18"/>
                                  <w:szCs w:val="18"/>
                                  <w:lang w:val="en-US" w:eastAsia="zh-CN"/>
                                </w:rPr>
                              </w:pPr>
                              <w:r>
                                <w:rPr>
                                  <w:rFonts w:hint="eastAsia"/>
                                  <w:sz w:val="18"/>
                                  <w:szCs w:val="18"/>
                                  <w:lang w:val="en-US" w:eastAsia="zh-CN"/>
                                </w:rPr>
                                <w:t>VOC含量33g/L</w:t>
                              </w:r>
                            </w:p>
                            <w:p w14:paraId="55872CA6">
                              <w:pPr>
                                <w:tabs>
                                  <w:tab w:val="right" w:pos="8640"/>
                                  <w:tab w:val="right" w:pos="8784"/>
                                </w:tabs>
                                <w:bidi w:val="0"/>
                                <w:jc w:val="center"/>
                                <w:rPr>
                                  <w:rFonts w:hint="default"/>
                                  <w:sz w:val="18"/>
                                  <w:szCs w:val="18"/>
                                  <w:lang w:val="en-US" w:eastAsia="zh-CN"/>
                                </w:rPr>
                              </w:pPr>
                              <w:r>
                                <w:rPr>
                                  <w:rFonts w:hint="eastAsia"/>
                                  <w:sz w:val="18"/>
                                  <w:szCs w:val="18"/>
                                  <w:lang w:val="en-US" w:eastAsia="zh-CN"/>
                                </w:rPr>
                                <w:t>(密度1.08g/cm</w:t>
                              </w:r>
                              <w:r>
                                <w:rPr>
                                  <w:rFonts w:hint="eastAsia"/>
                                  <w:sz w:val="18"/>
                                  <w:szCs w:val="18"/>
                                  <w:vertAlign w:val="superscript"/>
                                  <w:lang w:val="en-US" w:eastAsia="zh-CN"/>
                                </w:rPr>
                                <w:t>3</w:t>
                              </w:r>
                              <w:r>
                                <w:rPr>
                                  <w:rFonts w:hint="eastAsia"/>
                                  <w:sz w:val="18"/>
                                  <w:szCs w:val="18"/>
                                  <w:lang w:val="en-US" w:eastAsia="zh-CN"/>
                                </w:rPr>
                                <w:t>)</w:t>
                              </w:r>
                            </w:p>
                          </w:txbxContent>
                        </v:textbox>
                      </v:shape>
                      <v:shape id="_x0000_s1026" o:spid="_x0000_s1026" o:spt="32" type="#_x0000_t32" style="position:absolute;left:7064;top:397640;height:11;width:508;" filled="f" stroked="t" coordsize="21600,21600" o:gfxdata="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aptr4A&#10;AADcAAAADwAAAAAAAAABACAAAAAiAAAAZHJzL2Rvd25yZXYueG1sUEsBAhQAFAAAAAgAh07iQDMv&#10;BZ47AAAAOQAAABAAAAAAAAAAAQAgAAAADQEAAGRycy9zaGFwZXhtbC54bWxQSwUGAAAAAAYABgBb&#10;AQAAtwMAAAAA&#10;">
                        <v:fill on="f" focussize="0,0"/>
                        <v:stroke weight="0.5pt" color="#000000 [3213]" joinstyle="round" endarrow="block"/>
                        <v:imagedata o:title=""/>
                        <o:lock v:ext="edit" aspectratio="f"/>
                      </v:shape>
                      <v:shape id="_x0000_s1026" o:spid="_x0000_s1026" o:spt="202" type="#_x0000_t202" style="position:absolute;left:5774;top:397295;height:689;width:1290;v-text-anchor:middle;" filled="f" stroked="t" coordsize="21600,21600" o:gfxdata="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mFi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05B95882">
                              <w:pPr>
                                <w:tabs>
                                  <w:tab w:val="right" w:pos="8640"/>
                                  <w:tab w:val="right" w:pos="8784"/>
                                </w:tabs>
                                <w:bidi w:val="0"/>
                                <w:jc w:val="center"/>
                                <w:rPr>
                                  <w:rFonts w:hint="default"/>
                                  <w:sz w:val="18"/>
                                  <w:szCs w:val="18"/>
                                  <w:lang w:val="en-US" w:eastAsia="zh-CN"/>
                                </w:rPr>
                              </w:pPr>
                              <w:r>
                                <w:rPr>
                                  <w:rFonts w:hint="eastAsia"/>
                                  <w:sz w:val="18"/>
                                  <w:szCs w:val="18"/>
                                  <w:lang w:val="en-US" w:eastAsia="zh-CN"/>
                                </w:rPr>
                                <w:t>调胶、喷胶、辊胶、烘干</w:t>
                              </w:r>
                            </w:p>
                          </w:txbxContent>
                        </v:textbox>
                      </v:shape>
                      <v:shape id="_x0000_s1026" o:spid="_x0000_s1026" o:spt="202" type="#_x0000_t202" style="position:absolute;left:7687;top:396156;height:614;width:1538;v-text-anchor:middle;" filled="f" stroked="f" coordsize="21600,21600" o:gfxdata="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f/9r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3195C76E">
                              <w:pPr>
                                <w:tabs>
                                  <w:tab w:val="right" w:pos="8640"/>
                                  <w:tab w:val="right" w:pos="8784"/>
                                </w:tabs>
                                <w:bidi w:val="0"/>
                                <w:jc w:val="left"/>
                                <w:rPr>
                                  <w:rFonts w:hint="default"/>
                                  <w:sz w:val="18"/>
                                  <w:szCs w:val="18"/>
                                  <w:lang w:val="en-US" w:eastAsia="zh-CN"/>
                                </w:rPr>
                              </w:pPr>
                              <w:r>
                                <w:rPr>
                                  <w:rFonts w:hint="eastAsia"/>
                                  <w:sz w:val="18"/>
                                  <w:szCs w:val="18"/>
                                  <w:lang w:val="en-US" w:eastAsia="zh-CN"/>
                                </w:rPr>
                                <w:t>无组织排放NMHC:0.1708</w:t>
                              </w:r>
                            </w:p>
                          </w:txbxContent>
                        </v:textbox>
                      </v:shape>
                      <v:shape id="_x0000_s1026" o:spid="_x0000_s1026" o:spt="202" type="#_x0000_t202" style="position:absolute;left:4781;top:398257;height:539;width:5812;" filled="f" stroked="f" coordsize="21600,21600" o:gfxdata="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xIMb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36985299">
                              <w:pPr>
                                <w:pStyle w:val="81"/>
                                <w:bidi w:val="0"/>
                                <w:rPr>
                                  <w:rFonts w:hint="default" w:eastAsia="黑体"/>
                                  <w:lang w:val="en-US" w:eastAsia="zh-CN"/>
                                </w:rPr>
                              </w:pPr>
                              <w:r>
                                <w:rPr>
                                  <w:rFonts w:hint="eastAsia"/>
                                  <w:lang w:val="en-US" w:eastAsia="zh-CN"/>
                                </w:rPr>
                                <w:t>图2.2-2 项目挥发性有机物平衡图，单位:t/a</w:t>
                              </w:r>
                            </w:p>
                          </w:txbxContent>
                        </v:textbox>
                      </v:shape>
                      <v:shape id="_x0000_s1026" o:spid="_x0000_s1026" o:spt="32" type="#_x0000_t32" style="position:absolute;left:9339;top:397651;height:3;width:450;" filled="f" stroked="t" coordsize="21600,21600" o:gfxdata="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5zevugAAANsA&#10;AAAPAAAAAAAAAAEAIAAAACIAAABkcnMvZG93bnJldi54bWxQSwECFAAUAAAACACHTuJAMy8FnjsA&#10;AAA5AAAAEAAAAAAAAAABACAAAAAJAQAAZHJzL3NoYXBleG1sLnhtbFBLBQYAAAAABgAGAFsBAACz&#10;AwAAAAA=&#10;">
                        <v:fill on="f" focussize="0,0"/>
                        <v:stroke weight="0.5pt" color="#000000 [3213]" joinstyle="round" endarrow="block"/>
                        <v:imagedata o:title=""/>
                        <o:lock v:ext="edit" aspectratio="f"/>
                      </v:shape>
                      <v:shape id="_x0000_s1026" o:spid="_x0000_s1026" o:spt="202" type="#_x0000_t202" style="position:absolute;left:7572;top:397295;height:712;width:1767;v-text-anchor:middle;" filled="f" stroked="t" coordsize="21600,21600" o:gfxdata="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30mL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57E37B4E">
                              <w:pPr>
                                <w:tabs>
                                  <w:tab w:val="right" w:pos="8640"/>
                                  <w:tab w:val="right" w:pos="8784"/>
                                </w:tabs>
                                <w:bidi w:val="0"/>
                                <w:jc w:val="center"/>
                                <w:rPr>
                                  <w:rFonts w:hint="default"/>
                                  <w:sz w:val="18"/>
                                  <w:szCs w:val="18"/>
                                  <w:lang w:val="en-US" w:eastAsia="zh-CN"/>
                                </w:rPr>
                              </w:pPr>
                              <w:r>
                                <w:rPr>
                                  <w:rFonts w:hint="eastAsia"/>
                                  <w:sz w:val="18"/>
                                  <w:szCs w:val="18"/>
                                  <w:lang w:val="en-US" w:eastAsia="zh-CN"/>
                                </w:rPr>
                                <w:t>干式过滤器+二级活性炭吸附装置</w:t>
                              </w:r>
                            </w:p>
                          </w:txbxContent>
                        </v:textbox>
                      </v:shape>
                      <v:shape id="_x0000_s1026" o:spid="_x0000_s1026" o:spt="32" type="#_x0000_t32" style="position:absolute;left:4488;top:396875;height:405;width:0;" filled="f" stroked="t" coordsize="21600,21600" o:gfxdata="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QxDvQAA&#10;ANsAAAAPAAAAAAAAAAEAIAAAACIAAABkcnMvZG93bnJldi54bWxQSwECFAAUAAAACACHTuJAMy8F&#10;njsAAAA5AAAAEAAAAAAAAAABACAAAAAMAQAAZHJzL3NoYXBleG1sLnhtbFBLBQYAAAAABgAGAFsB&#10;AAC2AwAAAAA=&#10;">
                        <v:fill on="f" focussize="0,0"/>
                        <v:stroke weight="0.5pt" color="#000000 [3213]" joinstyle="round" endarrow="block"/>
                        <v:imagedata o:title=""/>
                        <o:lock v:ext="edit" aspectratio="f"/>
                      </v:shape>
                      <v:shape id="_x0000_s1026" o:spid="_x0000_s1026" o:spt="202" type="#_x0000_t202" style="position:absolute;left:9789;top:397295;height:718;width:1538;v-text-anchor:middle;" filled="f" stroked="f" coordsize="21600,21600" o:gfxdata="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arh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38AD1118">
                              <w:pPr>
                                <w:tabs>
                                  <w:tab w:val="right" w:pos="8640"/>
                                  <w:tab w:val="right" w:pos="8784"/>
                                </w:tabs>
                                <w:bidi w:val="0"/>
                                <w:jc w:val="left"/>
                                <w:rPr>
                                  <w:rFonts w:hint="default"/>
                                  <w:sz w:val="18"/>
                                  <w:szCs w:val="18"/>
                                  <w:lang w:val="en-US" w:eastAsia="zh-CN"/>
                                </w:rPr>
                              </w:pPr>
                              <w:r>
                                <w:rPr>
                                  <w:rFonts w:hint="eastAsia"/>
                                  <w:sz w:val="18"/>
                                  <w:szCs w:val="18"/>
                                  <w:lang w:val="en-US" w:eastAsia="zh-CN"/>
                                </w:rPr>
                                <w:t>有组织排放NMHC:0.1936</w:t>
                              </w:r>
                            </w:p>
                          </w:txbxContent>
                        </v:textbox>
                      </v:shape>
                      <v:shape id="_x0000_s1026" o:spid="_x0000_s1026" o:spt="32" type="#_x0000_t32" style="position:absolute;left:8456;top:396770;height:525;width:0;" filled="f" stroked="t" coordsize="21600,21600" o:gfxdata="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nwr4A&#10;AADbAAAADwAAAAAAAAABACAAAAAiAAAAZHJzL2Rvd25yZXYueG1sUEsBAhQAFAAAAAgAh07iQDMv&#10;BZ47AAAAOQAAABAAAAAAAAAAAQAgAAAADQEAAGRycy9zaGFwZXhtbC54bWxQSwUGAAAAAAYABgBb&#10;AQAAtwMAAAAA&#10;">
                        <v:fill on="f" focussize="0,0"/>
                        <v:stroke weight="0.5pt" color="#000000 [3213]" joinstyle="round" startarrow="block"/>
                        <v:imagedata o:title=""/>
                        <o:lock v:ext="edit" aspectratio="f"/>
                      </v:shape>
                    </v:group>
                  </w:pict>
                </mc:Fallback>
              </mc:AlternateContent>
            </w:r>
          </w:p>
          <w:p w14:paraId="243E96CA">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4D30690F">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7626E8CB">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510DC99D">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76229483">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p>
          <w:p w14:paraId="44641CDB">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r>
              <w:rPr>
                <w:rFonts w:hint="eastAsia" w:cs="Times New Roman"/>
                <w:color w:val="auto"/>
                <w:lang w:val="en-US" w:eastAsia="zh-CN"/>
              </w:rPr>
              <w:t>9</w:t>
            </w:r>
            <w:r>
              <w:rPr>
                <w:rFonts w:hint="default" w:ascii="Times New Roman" w:hAnsi="Times New Roman" w:cs="Times New Roman"/>
                <w:color w:val="auto"/>
                <w:lang w:val="en-US" w:eastAsia="zh-CN"/>
              </w:rPr>
              <w:t xml:space="preserve"> 项目平面布置合理性分析</w:t>
            </w:r>
          </w:p>
          <w:p w14:paraId="04BB875F">
            <w:pPr>
              <w:pStyle w:val="40"/>
              <w:bidi w:val="0"/>
              <w:rPr>
                <w:rFonts w:hint="default" w:ascii="Times New Roman" w:hAnsi="Times New Roman" w:cs="Times New Roman"/>
                <w:color w:val="auto"/>
                <w:lang w:val="en-US" w:eastAsia="zh-CN"/>
              </w:rPr>
            </w:pPr>
            <w:r>
              <w:rPr>
                <w:rFonts w:hint="eastAsia" w:cs="Times New Roman"/>
                <w:color w:val="auto"/>
                <w:lang w:val="en-US" w:eastAsia="zh-CN"/>
              </w:rPr>
              <w:t>项目</w:t>
            </w:r>
            <w:r>
              <w:rPr>
                <w:rFonts w:hint="default" w:ascii="Times New Roman" w:hAnsi="Times New Roman" w:cs="Times New Roman"/>
                <w:color w:val="auto"/>
                <w:lang w:val="en-US" w:eastAsia="zh-CN"/>
              </w:rPr>
              <w:t>在满足生产条件要求的前提下，</w:t>
            </w:r>
            <w:r>
              <w:rPr>
                <w:rFonts w:hint="eastAsia" w:cs="Times New Roman"/>
                <w:color w:val="auto"/>
                <w:lang w:val="en-US" w:eastAsia="zh-CN"/>
              </w:rPr>
              <w:t>在</w:t>
            </w:r>
            <w:r>
              <w:rPr>
                <w:rFonts w:hint="default" w:ascii="Times New Roman" w:hAnsi="Times New Roman" w:cs="Times New Roman"/>
                <w:color w:val="auto"/>
                <w:lang w:val="en-US" w:eastAsia="zh-CN"/>
              </w:rPr>
              <w:t>车间内进行了分区布置</w:t>
            </w:r>
            <w:r>
              <w:rPr>
                <w:rFonts w:hint="eastAsia" w:cs="Times New Roman"/>
                <w:color w:val="auto"/>
                <w:lang w:val="en-US" w:eastAsia="zh-CN"/>
              </w:rPr>
              <w:t>，</w:t>
            </w:r>
            <w:r>
              <w:rPr>
                <w:rFonts w:hint="default" w:ascii="Times New Roman" w:hAnsi="Times New Roman" w:cs="Times New Roman"/>
                <w:color w:val="auto"/>
                <w:lang w:val="en-US" w:eastAsia="zh-CN"/>
              </w:rPr>
              <w:t>充分利用</w:t>
            </w:r>
            <w:r>
              <w:rPr>
                <w:rFonts w:hint="eastAsia" w:cs="Times New Roman"/>
                <w:color w:val="auto"/>
                <w:lang w:val="en-US" w:eastAsia="zh-CN"/>
              </w:rPr>
              <w:t>车间</w:t>
            </w:r>
            <w:r>
              <w:rPr>
                <w:rFonts w:hint="default" w:ascii="Times New Roman" w:hAnsi="Times New Roman" w:cs="Times New Roman"/>
                <w:color w:val="auto"/>
                <w:lang w:val="en-US" w:eastAsia="zh-CN"/>
              </w:rPr>
              <w:t>空间进行设备布置，布局紧凑，生产流程比较流畅，布局基本合理。平面布置图详见</w:t>
            </w:r>
            <w:r>
              <w:rPr>
                <w:rFonts w:hint="default" w:ascii="Times New Roman" w:hAnsi="Times New Roman" w:cs="Times New Roman"/>
                <w:color w:val="auto"/>
                <w:highlight w:val="none"/>
                <w:lang w:val="en-US" w:eastAsia="zh-CN"/>
              </w:rPr>
              <w:t>附图</w:t>
            </w:r>
            <w:r>
              <w:rPr>
                <w:rFonts w:hint="eastAsia" w:cs="Times New Roman"/>
                <w:color w:val="auto"/>
                <w:highlight w:val="none"/>
                <w:lang w:val="en-US" w:eastAsia="zh-CN"/>
              </w:rPr>
              <w:t>5</w:t>
            </w:r>
            <w:r>
              <w:rPr>
                <w:rFonts w:hint="default" w:ascii="Times New Roman" w:hAnsi="Times New Roman" w:cs="Times New Roman"/>
                <w:color w:val="auto"/>
                <w:lang w:val="en-US" w:eastAsia="zh-CN"/>
              </w:rPr>
              <w:t>。</w:t>
            </w:r>
          </w:p>
          <w:p w14:paraId="408F4789">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项目当地常年主导风向以东北风为主，说明其下风向(西南侧)受污染</w:t>
            </w:r>
            <w:r>
              <w:rPr>
                <w:rFonts w:hint="eastAsia" w:cs="Times New Roman"/>
                <w:color w:val="auto"/>
                <w:lang w:val="en-US" w:eastAsia="zh-CN"/>
              </w:rPr>
              <w:t>的概率</w:t>
            </w:r>
            <w:r>
              <w:rPr>
                <w:rFonts w:hint="default" w:ascii="Times New Roman" w:hAnsi="Times New Roman" w:cs="Times New Roman"/>
                <w:color w:val="auto"/>
                <w:lang w:val="en-US" w:eastAsia="zh-CN"/>
              </w:rPr>
              <w:t>最高，</w:t>
            </w:r>
            <w:r>
              <w:rPr>
                <w:rFonts w:hint="default" w:ascii="Times New Roman" w:hAnsi="Times New Roman" w:cs="Times New Roman"/>
                <w:color w:val="auto"/>
                <w:highlight w:val="none"/>
                <w:lang w:val="en-US" w:eastAsia="zh-CN"/>
              </w:rPr>
              <w:t>项目拟将DA001排气筒设置在1号厂房顶部西北侧，</w:t>
            </w:r>
            <w:r>
              <w:rPr>
                <w:rFonts w:hint="default" w:ascii="Times New Roman" w:hAnsi="Times New Roman" w:cs="Times New Roman"/>
                <w:color w:val="auto"/>
                <w:lang w:val="en-US" w:eastAsia="zh-CN"/>
              </w:rPr>
              <w:t>位于年主导风向侧风向，</w:t>
            </w:r>
            <w:r>
              <w:rPr>
                <w:rFonts w:hint="eastAsia" w:cs="Times New Roman"/>
                <w:color w:val="auto"/>
                <w:lang w:val="en-US" w:eastAsia="zh-CN"/>
              </w:rPr>
              <w:t>尽可能远离</w:t>
            </w:r>
            <w:r>
              <w:rPr>
                <w:rFonts w:hint="default" w:ascii="Times New Roman" w:hAnsi="Times New Roman" w:cs="Times New Roman"/>
                <w:color w:val="auto"/>
                <w:lang w:val="en-US" w:eastAsia="zh-CN"/>
              </w:rPr>
              <w:t>周边居住区和厂区宿舍楼，可降低废气对周边居住区的影响；项目高噪声设备经设备基础减振、厂房墙体隔声等综合降噪措施后，可实现噪声达标排放。</w:t>
            </w:r>
          </w:p>
          <w:p w14:paraId="6546C024">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综上所述，本项目的总平布置基本合理。</w:t>
            </w:r>
          </w:p>
          <w:p w14:paraId="2682EBBC">
            <w:pPr>
              <w:rPr>
                <w:rFonts w:hint="default"/>
                <w:lang w:val="en-US" w:eastAsia="zh-CN"/>
              </w:rPr>
            </w:pPr>
          </w:p>
        </w:tc>
      </w:tr>
      <w:tr w14:paraId="0B16A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dxa"/>
            <w:noWrap w:val="0"/>
            <w:vAlign w:val="center"/>
          </w:tcPr>
          <w:p w14:paraId="42259EA2">
            <w:pPr>
              <w:pStyle w:val="22"/>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542" w:type="dxa"/>
            <w:noWrap w:val="0"/>
            <w:vAlign w:val="top"/>
          </w:tcPr>
          <w:p w14:paraId="6657EFB7">
            <w:pPr>
              <w:pStyle w:val="3"/>
              <w:bidi w:val="0"/>
              <w:rPr>
                <w:rFonts w:hint="default" w:ascii="Times New Roman" w:hAnsi="Times New Roman" w:cs="Times New Roman"/>
                <w:color w:val="auto"/>
              </w:rPr>
            </w:pPr>
            <w:r>
              <w:rPr>
                <w:rFonts w:hint="default" w:ascii="Times New Roman" w:hAnsi="Times New Roman" w:cs="Times New Roman"/>
                <w:color w:val="auto"/>
              </w:rPr>
              <w:t>2.3</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生产工艺流程及产污环节</w:t>
            </w:r>
          </w:p>
          <w:p w14:paraId="447282A8">
            <w:pPr>
              <w:pStyle w:val="4"/>
              <w:bidi w:val="0"/>
              <w:rPr>
                <w:rFonts w:hint="default" w:ascii="Times New Roman" w:hAnsi="Times New Roman" w:cs="Times New Roman"/>
                <w:color w:val="auto"/>
              </w:rPr>
            </w:pPr>
            <w:r>
              <w:rPr>
                <w:rFonts w:hint="default" w:ascii="Times New Roman" w:hAnsi="Times New Roman" w:cs="Times New Roman"/>
                <w:color w:val="auto"/>
              </w:rPr>
              <w:t>2.3.1</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工艺流程及工艺介绍</w:t>
            </w:r>
          </w:p>
          <w:p w14:paraId="3AF5C73A">
            <w:pPr>
              <w:pStyle w:val="4"/>
              <w:keepNext/>
              <w:keepLines/>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color w:val="auto"/>
                <w:lang w:eastAsia="zh-CN"/>
              </w:rPr>
            </w:pPr>
            <w:r>
              <w:rPr>
                <w:rFonts w:hint="eastAsia" w:cs="Times New Roman"/>
                <w:color w:val="auto"/>
                <w:lang w:eastAsia="zh-CN"/>
              </w:rPr>
              <w:t>涉密删除！</w:t>
            </w:r>
          </w:p>
          <w:p w14:paraId="3058261B">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2.3.</w:t>
            </w:r>
            <w:r>
              <w:rPr>
                <w:rFonts w:hint="default" w:ascii="Times New Roman" w:hAnsi="Times New Roman" w:cs="Times New Roman"/>
                <w:color w:val="auto"/>
                <w:lang w:val="en-US" w:eastAsia="zh-CN"/>
              </w:rPr>
              <w:t>2产污环节分析</w:t>
            </w:r>
          </w:p>
          <w:p w14:paraId="1B28708A">
            <w:pPr>
              <w:pStyle w:val="4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项目产污环节说明一览表详见下表2.3-3。</w:t>
            </w:r>
          </w:p>
          <w:p w14:paraId="385416E1">
            <w:pPr>
              <w:pStyle w:val="56"/>
              <w:bidi w:val="0"/>
              <w:rPr>
                <w:rFonts w:hint="default" w:ascii="Times New Roman" w:hAnsi="Times New Roman" w:cs="Times New Roman"/>
                <w:color w:val="auto"/>
              </w:rPr>
            </w:pPr>
            <w:r>
              <w:rPr>
                <w:rFonts w:hint="default" w:ascii="Times New Roman" w:hAnsi="Times New Roman" w:cs="Times New Roman"/>
                <w:color w:val="auto"/>
              </w:rPr>
              <w:t>表2.3-</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项目运营期产污环节汇总表</w:t>
            </w:r>
          </w:p>
          <w:tbl>
            <w:tblPr>
              <w:tblStyle w:val="2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57" w:type="dxa"/>
                <w:bottom w:w="0" w:type="dxa"/>
                <w:right w:w="57" w:type="dxa"/>
              </w:tblCellMar>
            </w:tblPr>
            <w:tblGrid>
              <w:gridCol w:w="816"/>
              <w:gridCol w:w="1237"/>
              <w:gridCol w:w="2123"/>
              <w:gridCol w:w="4147"/>
            </w:tblGrid>
            <w:tr w14:paraId="5AD19E7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tcBorders>
                    <w:tl2br w:val="nil"/>
                    <w:tr2bl w:val="nil"/>
                  </w:tcBorders>
                  <w:noWrap w:val="0"/>
                  <w:vAlign w:val="center"/>
                </w:tcPr>
                <w:p w14:paraId="45A71581">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类别</w:t>
                  </w:r>
                </w:p>
              </w:tc>
              <w:tc>
                <w:tcPr>
                  <w:tcW w:w="743" w:type="pct"/>
                  <w:tcBorders>
                    <w:tl2br w:val="nil"/>
                    <w:tr2bl w:val="nil"/>
                  </w:tcBorders>
                  <w:noWrap w:val="0"/>
                  <w:vAlign w:val="center"/>
                </w:tcPr>
                <w:p w14:paraId="323EBE8D">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污染源或污染工序</w:t>
                  </w:r>
                </w:p>
              </w:tc>
              <w:tc>
                <w:tcPr>
                  <w:tcW w:w="1275" w:type="pct"/>
                  <w:tcBorders>
                    <w:tl2br w:val="nil"/>
                    <w:tr2bl w:val="nil"/>
                  </w:tcBorders>
                  <w:noWrap w:val="0"/>
                  <w:vAlign w:val="center"/>
                </w:tcPr>
                <w:p w14:paraId="583EF997">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2490" w:type="pct"/>
                  <w:tcBorders>
                    <w:tl2br w:val="nil"/>
                    <w:tr2bl w:val="nil"/>
                  </w:tcBorders>
                  <w:noWrap w:val="0"/>
                  <w:vAlign w:val="center"/>
                </w:tcPr>
                <w:p w14:paraId="72DC659F">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治理措施</w:t>
                  </w:r>
                </w:p>
              </w:tc>
            </w:tr>
            <w:tr w14:paraId="103829E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tcBorders>
                    <w:tl2br w:val="nil"/>
                    <w:tr2bl w:val="nil"/>
                  </w:tcBorders>
                  <w:noWrap w:val="0"/>
                  <w:vAlign w:val="center"/>
                </w:tcPr>
                <w:p w14:paraId="3A951B8A">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w:t>
                  </w:r>
                </w:p>
              </w:tc>
              <w:tc>
                <w:tcPr>
                  <w:tcW w:w="743" w:type="pct"/>
                  <w:tcBorders>
                    <w:tl2br w:val="nil"/>
                    <w:tr2bl w:val="nil"/>
                  </w:tcBorders>
                  <w:noWrap w:val="0"/>
                  <w:vAlign w:val="center"/>
                </w:tcPr>
                <w:p w14:paraId="737F2082">
                  <w:pPr>
                    <w:pStyle w:val="41"/>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职工生活污水</w:t>
                  </w:r>
                </w:p>
              </w:tc>
              <w:tc>
                <w:tcPr>
                  <w:tcW w:w="1275" w:type="pct"/>
                  <w:tcBorders>
                    <w:tl2br w:val="nil"/>
                    <w:tr2bl w:val="nil"/>
                  </w:tcBorders>
                  <w:noWrap w:val="0"/>
                  <w:vAlign w:val="center"/>
                </w:tcPr>
                <w:p w14:paraId="688D2BF2">
                  <w:pPr>
                    <w:pStyle w:val="41"/>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pH、COD、BOD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、SS、NH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2490" w:type="pct"/>
                  <w:tcBorders>
                    <w:tl2br w:val="nil"/>
                    <w:tr2bl w:val="nil"/>
                  </w:tcBorders>
                  <w:noWrap w:val="0"/>
                  <w:vAlign w:val="center"/>
                </w:tcPr>
                <w:p w14:paraId="653CF23E">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生活污水经</w:t>
                  </w:r>
                  <w:r>
                    <w:rPr>
                      <w:rFonts w:hint="default" w:ascii="Times New Roman" w:hAnsi="Times New Roman" w:cs="Times New Roman"/>
                      <w:color w:val="000000" w:themeColor="text1"/>
                      <w:lang w:eastAsia="zh-CN"/>
                      <w14:textFill>
                        <w14:solidFill>
                          <w14:schemeClr w14:val="tx1"/>
                        </w14:solidFill>
                      </w14:textFill>
                    </w:rPr>
                    <w:t>化粪池预处理后</w:t>
                  </w:r>
                  <w:r>
                    <w:rPr>
                      <w:rFonts w:hint="default" w:ascii="Times New Roman" w:hAnsi="Times New Roman" w:cs="Times New Roman"/>
                      <w:color w:val="000000" w:themeColor="text1"/>
                      <w:lang w:val="en-US" w:eastAsia="zh-CN"/>
                      <w14:textFill>
                        <w14:solidFill>
                          <w14:schemeClr w14:val="tx1"/>
                        </w14:solidFill>
                      </w14:textFill>
                    </w:rPr>
                    <w:t>排入市政污水管网送往福清市第二污水处理厂集中处理</w:t>
                  </w:r>
                </w:p>
              </w:tc>
            </w:tr>
            <w:tr w14:paraId="648218A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restart"/>
                  <w:tcBorders>
                    <w:tl2br w:val="nil"/>
                    <w:tr2bl w:val="nil"/>
                  </w:tcBorders>
                  <w:noWrap w:val="0"/>
                  <w:vAlign w:val="center"/>
                </w:tcPr>
                <w:p w14:paraId="26F72CB3">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w:t>
                  </w:r>
                </w:p>
              </w:tc>
              <w:tc>
                <w:tcPr>
                  <w:tcW w:w="743" w:type="pct"/>
                  <w:tcBorders>
                    <w:tl2br w:val="nil"/>
                    <w:tr2bl w:val="nil"/>
                  </w:tcBorders>
                  <w:noWrap w:val="0"/>
                  <w:vAlign w:val="center"/>
                </w:tcPr>
                <w:p w14:paraId="6672E486">
                  <w:pPr>
                    <w:pStyle w:val="41"/>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调胶</w:t>
                  </w:r>
                </w:p>
              </w:tc>
              <w:tc>
                <w:tcPr>
                  <w:tcW w:w="1275" w:type="pct"/>
                  <w:tcBorders>
                    <w:tl2br w:val="nil"/>
                    <w:tr2bl w:val="nil"/>
                  </w:tcBorders>
                  <w:noWrap w:val="0"/>
                  <w:vAlign w:val="center"/>
                </w:tcPr>
                <w:p w14:paraId="381A64E1">
                  <w:pPr>
                    <w:pStyle w:val="41"/>
                    <w:bidi w:val="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非甲烷总烃</w:t>
                  </w:r>
                </w:p>
              </w:tc>
              <w:tc>
                <w:tcPr>
                  <w:tcW w:w="2490" w:type="pct"/>
                  <w:vMerge w:val="restart"/>
                  <w:tcBorders>
                    <w:tl2br w:val="nil"/>
                    <w:tr2bl w:val="nil"/>
                  </w:tcBorders>
                  <w:noWrap w:val="0"/>
                  <w:vAlign w:val="center"/>
                </w:tcPr>
                <w:p w14:paraId="6EB4D1F8">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rPr>
                    <w:t>废气经收集汇总后通过</w:t>
                  </w:r>
                  <w:r>
                    <w:rPr>
                      <w:rFonts w:hint="eastAsia" w:cs="Times New Roman"/>
                      <w:color w:val="000000"/>
                      <w:lang w:eastAsia="zh-CN"/>
                    </w:rPr>
                    <w:t>一</w:t>
                  </w:r>
                  <w:r>
                    <w:rPr>
                      <w:rFonts w:hint="default" w:ascii="Times New Roman" w:hAnsi="Times New Roman" w:cs="Times New Roman"/>
                      <w:color w:val="000000"/>
                    </w:rPr>
                    <w:t>套</w:t>
                  </w:r>
                  <w:r>
                    <w:rPr>
                      <w:rFonts w:hint="eastAsia" w:cs="Times New Roman"/>
                      <w:color w:val="000000"/>
                      <w:lang w:eastAsia="zh-CN"/>
                    </w:rPr>
                    <w:t>干式过滤器</w:t>
                  </w:r>
                  <w:r>
                    <w:rPr>
                      <w:rFonts w:hint="eastAsia" w:cs="Times New Roman"/>
                      <w:color w:val="000000"/>
                      <w:lang w:val="en-US" w:eastAsia="zh-CN"/>
                    </w:rPr>
                    <w:t>+</w:t>
                  </w:r>
                  <w:r>
                    <w:rPr>
                      <w:rFonts w:hint="eastAsia" w:cs="Times New Roman"/>
                      <w:color w:val="000000"/>
                      <w:lang w:eastAsia="zh-CN"/>
                    </w:rPr>
                    <w:t>二级活性炭吸附装置</w:t>
                  </w:r>
                  <w:r>
                    <w:rPr>
                      <w:rFonts w:hint="default" w:ascii="Times New Roman" w:hAnsi="Times New Roman" w:cs="Times New Roman"/>
                      <w:color w:val="000000"/>
                    </w:rPr>
                    <w:t>处理达标后</w:t>
                  </w:r>
                  <w:r>
                    <w:rPr>
                      <w:rFonts w:hint="eastAsia" w:cs="Times New Roman"/>
                      <w:color w:val="000000"/>
                      <w:lang w:eastAsia="zh-CN"/>
                    </w:rPr>
                    <w:t>引至排气筒</w:t>
                  </w:r>
                  <w:r>
                    <w:rPr>
                      <w:rFonts w:hint="default" w:ascii="Times New Roman" w:hAnsi="Times New Roman" w:cs="Times New Roman"/>
                      <w:color w:val="000000"/>
                    </w:rPr>
                    <w:t>排放</w:t>
                  </w:r>
                  <w:r>
                    <w:rPr>
                      <w:rFonts w:hint="eastAsia" w:ascii="Times New Roman" w:hAnsi="Times New Roman" w:cs="Times New Roman"/>
                      <w:color w:val="000000"/>
                      <w:lang w:eastAsia="zh-CN"/>
                    </w:rPr>
                    <w:t>(</w:t>
                  </w:r>
                  <w:r>
                    <w:rPr>
                      <w:rFonts w:hint="default" w:ascii="Times New Roman" w:hAnsi="Times New Roman" w:cs="Times New Roman"/>
                      <w:color w:val="000000"/>
                    </w:rPr>
                    <w:t>DA001</w:t>
                  </w:r>
                  <w:r>
                    <w:rPr>
                      <w:rFonts w:hint="eastAsia" w:ascii="Times New Roman" w:hAnsi="Times New Roman" w:cs="Times New Roman"/>
                      <w:color w:val="000000"/>
                      <w:lang w:val="en-US" w:eastAsia="zh-CN"/>
                    </w:rPr>
                    <w:t>，</w:t>
                  </w:r>
                  <w:r>
                    <w:rPr>
                      <w:rFonts w:hint="default" w:ascii="Times New Roman" w:hAnsi="Times New Roman" w:cs="Times New Roman"/>
                      <w:color w:val="000000"/>
                    </w:rPr>
                    <w:t>H=</w:t>
                  </w:r>
                  <w:r>
                    <w:rPr>
                      <w:rFonts w:hint="default" w:ascii="Times New Roman" w:hAnsi="Times New Roman" w:cs="Times New Roman"/>
                      <w:color w:val="000000"/>
                      <w:lang w:val="en-US" w:eastAsia="zh-CN"/>
                    </w:rPr>
                    <w:t>27</w:t>
                  </w:r>
                  <w:r>
                    <w:rPr>
                      <w:rFonts w:hint="default" w:ascii="Times New Roman" w:hAnsi="Times New Roman" w:cs="Times New Roman"/>
                      <w:color w:val="000000"/>
                    </w:rPr>
                    <w:t>m</w:t>
                  </w:r>
                  <w:r>
                    <w:rPr>
                      <w:rFonts w:hint="eastAsia" w:ascii="Times New Roman" w:hAnsi="Times New Roman" w:cs="Times New Roman"/>
                      <w:color w:val="000000"/>
                      <w:lang w:eastAsia="zh-CN"/>
                    </w:rPr>
                    <w:t>)</w:t>
                  </w:r>
                </w:p>
              </w:tc>
            </w:tr>
            <w:tr w14:paraId="57A4F448">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4A0F9E79">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743" w:type="pct"/>
                  <w:tcBorders>
                    <w:tl2br w:val="nil"/>
                    <w:tr2bl w:val="nil"/>
                  </w:tcBorders>
                  <w:noWrap w:val="0"/>
                  <w:vAlign w:val="center"/>
                </w:tcPr>
                <w:p w14:paraId="49337DB5">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喷胶</w:t>
                  </w:r>
                </w:p>
              </w:tc>
              <w:tc>
                <w:tcPr>
                  <w:tcW w:w="1275" w:type="pct"/>
                  <w:tcBorders>
                    <w:tl2br w:val="nil"/>
                    <w:tr2bl w:val="nil"/>
                  </w:tcBorders>
                  <w:noWrap w:val="0"/>
                  <w:vAlign w:val="center"/>
                </w:tcPr>
                <w:p w14:paraId="3DD26710">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颗粒物、</w:t>
                  </w:r>
                  <w:r>
                    <w:rPr>
                      <w:rFonts w:hint="default" w:ascii="Times New Roman" w:hAnsi="Times New Roman" w:cs="Times New Roman"/>
                      <w:color w:val="000000" w:themeColor="text1"/>
                      <w:lang w:eastAsia="zh-CN"/>
                      <w14:textFill>
                        <w14:solidFill>
                          <w14:schemeClr w14:val="tx1"/>
                        </w14:solidFill>
                      </w14:textFill>
                    </w:rPr>
                    <w:t>非甲烷总烃</w:t>
                  </w:r>
                </w:p>
              </w:tc>
              <w:tc>
                <w:tcPr>
                  <w:tcW w:w="2490" w:type="pct"/>
                  <w:vMerge w:val="continue"/>
                  <w:tcBorders>
                    <w:tl2br w:val="nil"/>
                    <w:tr2bl w:val="nil"/>
                  </w:tcBorders>
                  <w:noWrap w:val="0"/>
                  <w:vAlign w:val="center"/>
                </w:tcPr>
                <w:p w14:paraId="49571112">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14:paraId="347B889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00C761C7">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743" w:type="pct"/>
                  <w:tcBorders>
                    <w:tl2br w:val="nil"/>
                    <w:tr2bl w:val="nil"/>
                  </w:tcBorders>
                  <w:noWrap w:val="0"/>
                  <w:vAlign w:val="center"/>
                </w:tcPr>
                <w:p w14:paraId="6700C6C0">
                  <w:pPr>
                    <w:pStyle w:val="41"/>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辊胶</w:t>
                  </w:r>
                </w:p>
              </w:tc>
              <w:tc>
                <w:tcPr>
                  <w:tcW w:w="1275" w:type="pct"/>
                  <w:tcBorders>
                    <w:tl2br w:val="nil"/>
                    <w:tr2bl w:val="nil"/>
                  </w:tcBorders>
                  <w:noWrap w:val="0"/>
                  <w:vAlign w:val="center"/>
                </w:tcPr>
                <w:p w14:paraId="0BC27CF9">
                  <w:pPr>
                    <w:pStyle w:val="41"/>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2490" w:type="pct"/>
                  <w:vMerge w:val="continue"/>
                  <w:tcBorders>
                    <w:tl2br w:val="nil"/>
                    <w:tr2bl w:val="nil"/>
                  </w:tcBorders>
                  <w:noWrap w:val="0"/>
                  <w:vAlign w:val="center"/>
                </w:tcPr>
                <w:p w14:paraId="78DE15A6">
                  <w:pPr>
                    <w:pStyle w:val="41"/>
                    <w:bidi w:val="0"/>
                    <w:rPr>
                      <w:rFonts w:hint="eastAsia" w:cs="Times New Roman"/>
                      <w:color w:val="000000"/>
                      <w:lang w:eastAsia="zh-CN"/>
                    </w:rPr>
                  </w:pPr>
                </w:p>
              </w:tc>
            </w:tr>
            <w:tr w14:paraId="1190FF9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644E16ED">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743" w:type="pct"/>
                  <w:tcBorders>
                    <w:tl2br w:val="nil"/>
                    <w:tr2bl w:val="nil"/>
                  </w:tcBorders>
                  <w:noWrap w:val="0"/>
                  <w:vAlign w:val="center"/>
                </w:tcPr>
                <w:p w14:paraId="7710AF3D">
                  <w:pPr>
                    <w:pStyle w:val="41"/>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烘干</w:t>
                  </w:r>
                </w:p>
              </w:tc>
              <w:tc>
                <w:tcPr>
                  <w:tcW w:w="1275" w:type="pct"/>
                  <w:tcBorders>
                    <w:tl2br w:val="nil"/>
                    <w:tr2bl w:val="nil"/>
                  </w:tcBorders>
                  <w:noWrap w:val="0"/>
                  <w:vAlign w:val="center"/>
                </w:tcPr>
                <w:p w14:paraId="5BC10FE1">
                  <w:pPr>
                    <w:pStyle w:val="41"/>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2490" w:type="pct"/>
                  <w:vMerge w:val="continue"/>
                  <w:tcBorders>
                    <w:tl2br w:val="nil"/>
                    <w:tr2bl w:val="nil"/>
                  </w:tcBorders>
                  <w:noWrap w:val="0"/>
                  <w:vAlign w:val="center"/>
                </w:tcPr>
                <w:p w14:paraId="5A9DABD3">
                  <w:pPr>
                    <w:pStyle w:val="41"/>
                    <w:bidi w:val="0"/>
                    <w:rPr>
                      <w:rFonts w:hint="eastAsia" w:cs="Times New Roman"/>
                      <w:color w:val="000000"/>
                      <w:lang w:eastAsia="zh-CN"/>
                    </w:rPr>
                  </w:pPr>
                </w:p>
              </w:tc>
            </w:tr>
            <w:tr w14:paraId="2296BAF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2827A451">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743" w:type="pct"/>
                  <w:tcBorders>
                    <w:tl2br w:val="nil"/>
                    <w:tr2bl w:val="nil"/>
                  </w:tcBorders>
                  <w:noWrap w:val="0"/>
                  <w:vAlign w:val="center"/>
                </w:tcPr>
                <w:p w14:paraId="12617977">
                  <w:pPr>
                    <w:pStyle w:val="41"/>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热铆焊接</w:t>
                  </w:r>
                </w:p>
              </w:tc>
              <w:tc>
                <w:tcPr>
                  <w:tcW w:w="1275" w:type="pct"/>
                  <w:tcBorders>
                    <w:tl2br w:val="nil"/>
                    <w:tr2bl w:val="nil"/>
                  </w:tcBorders>
                  <w:noWrap w:val="0"/>
                  <w:vAlign w:val="center"/>
                </w:tcPr>
                <w:p w14:paraId="25C658F0">
                  <w:pPr>
                    <w:pStyle w:val="41"/>
                    <w:bidi w:val="0"/>
                    <w:rPr>
                      <w:rFonts w:hint="eastAsia"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非甲烷总烃</w:t>
                  </w:r>
                </w:p>
              </w:tc>
              <w:tc>
                <w:tcPr>
                  <w:tcW w:w="2490" w:type="pct"/>
                  <w:vMerge w:val="continue"/>
                  <w:tcBorders>
                    <w:tl2br w:val="nil"/>
                    <w:tr2bl w:val="nil"/>
                  </w:tcBorders>
                  <w:noWrap w:val="0"/>
                  <w:vAlign w:val="center"/>
                </w:tcPr>
                <w:p w14:paraId="3E4ECC8F">
                  <w:pPr>
                    <w:pStyle w:val="41"/>
                    <w:bidi w:val="0"/>
                    <w:rPr>
                      <w:rFonts w:hint="eastAsia" w:cs="Times New Roman"/>
                      <w:color w:val="000000"/>
                      <w:lang w:eastAsia="zh-CN"/>
                    </w:rPr>
                  </w:pPr>
                </w:p>
              </w:tc>
            </w:tr>
            <w:tr w14:paraId="2438E02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restart"/>
                  <w:tcBorders>
                    <w:tl2br w:val="nil"/>
                    <w:tr2bl w:val="nil"/>
                  </w:tcBorders>
                  <w:noWrap w:val="0"/>
                  <w:vAlign w:val="center"/>
                </w:tcPr>
                <w:p w14:paraId="520B2AE8">
                  <w:pPr>
                    <w:pStyle w:val="41"/>
                    <w:bidi w:val="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一般</w:t>
                  </w:r>
                </w:p>
                <w:p w14:paraId="0CA3FB2F">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743" w:type="pct"/>
                  <w:tcBorders>
                    <w:tl2br w:val="nil"/>
                    <w:tr2bl w:val="nil"/>
                  </w:tcBorders>
                  <w:noWrap w:val="0"/>
                  <w:vAlign w:val="center"/>
                </w:tcPr>
                <w:p w14:paraId="6F57AF35">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装配</w:t>
                  </w:r>
                </w:p>
              </w:tc>
              <w:tc>
                <w:tcPr>
                  <w:tcW w:w="1275" w:type="pct"/>
                  <w:tcBorders>
                    <w:tl2br w:val="nil"/>
                    <w:tr2bl w:val="nil"/>
                  </w:tcBorders>
                  <w:noWrap w:val="0"/>
                  <w:vAlign w:val="center"/>
                </w:tcPr>
                <w:p w14:paraId="0462D45A">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不合格品</w:t>
                  </w:r>
                </w:p>
              </w:tc>
              <w:tc>
                <w:tcPr>
                  <w:tcW w:w="2490" w:type="pct"/>
                  <w:vMerge w:val="restart"/>
                  <w:tcBorders>
                    <w:tl2br w:val="nil"/>
                    <w:tr2bl w:val="nil"/>
                  </w:tcBorders>
                  <w:noWrap w:val="0"/>
                  <w:vAlign w:val="center"/>
                </w:tcPr>
                <w:p w14:paraId="599BF92F">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收集后暂存于一般固废暂存间，外售</w:t>
                  </w:r>
                  <w:r>
                    <w:rPr>
                      <w:rFonts w:hint="default" w:ascii="Times New Roman" w:hAnsi="Times New Roman" w:cs="Times New Roman"/>
                      <w:color w:val="000000" w:themeColor="text1"/>
                      <w:lang w:eastAsia="zh-CN"/>
                      <w14:textFill>
                        <w14:solidFill>
                          <w14:schemeClr w14:val="tx1"/>
                        </w14:solidFill>
                      </w14:textFill>
                    </w:rPr>
                    <w:t>资源回收单位</w:t>
                  </w:r>
                  <w:r>
                    <w:rPr>
                      <w:rFonts w:hint="default" w:ascii="Times New Roman" w:hAnsi="Times New Roman" w:cs="Times New Roman"/>
                      <w:color w:val="000000" w:themeColor="text1"/>
                      <w14:textFill>
                        <w14:solidFill>
                          <w14:schemeClr w14:val="tx1"/>
                        </w14:solidFill>
                      </w14:textFill>
                    </w:rPr>
                    <w:t>综合利用</w:t>
                  </w:r>
                </w:p>
              </w:tc>
            </w:tr>
            <w:tr w14:paraId="304443D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bottom w:val="single" w:color="auto" w:sz="4" w:space="0"/>
                    <w:tl2br w:val="nil"/>
                    <w:tr2bl w:val="nil"/>
                  </w:tcBorders>
                  <w:noWrap w:val="0"/>
                  <w:vAlign w:val="center"/>
                </w:tcPr>
                <w:p w14:paraId="59C5DDF8">
                  <w:pPr>
                    <w:pStyle w:val="41"/>
                    <w:bidi w:val="0"/>
                    <w:rPr>
                      <w:rFonts w:hint="default" w:ascii="Times New Roman" w:hAnsi="Times New Roman" w:cs="Times New Roman"/>
                      <w:color w:val="000000" w:themeColor="text1"/>
                      <w14:textFill>
                        <w14:solidFill>
                          <w14:schemeClr w14:val="tx1"/>
                        </w14:solidFill>
                      </w14:textFill>
                    </w:rPr>
                  </w:pPr>
                </w:p>
              </w:tc>
              <w:tc>
                <w:tcPr>
                  <w:tcW w:w="743" w:type="pct"/>
                  <w:tcBorders>
                    <w:bottom w:val="single" w:color="auto" w:sz="4" w:space="0"/>
                    <w:tl2br w:val="nil"/>
                    <w:tr2bl w:val="nil"/>
                  </w:tcBorders>
                  <w:noWrap w:val="0"/>
                  <w:vAlign w:val="center"/>
                </w:tcPr>
                <w:p w14:paraId="12EC6F1D">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原辅材料</w:t>
                  </w:r>
                </w:p>
              </w:tc>
              <w:tc>
                <w:tcPr>
                  <w:tcW w:w="1275" w:type="pct"/>
                  <w:tcBorders>
                    <w:bottom w:val="single" w:color="auto" w:sz="4" w:space="0"/>
                    <w:tl2br w:val="nil"/>
                    <w:tr2bl w:val="nil"/>
                  </w:tcBorders>
                  <w:noWrap w:val="0"/>
                  <w:vAlign w:val="center"/>
                </w:tcPr>
                <w:p w14:paraId="60586BBF">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废包装材料</w:t>
                  </w:r>
                </w:p>
              </w:tc>
              <w:tc>
                <w:tcPr>
                  <w:tcW w:w="2490" w:type="pct"/>
                  <w:vMerge w:val="continue"/>
                  <w:tcBorders>
                    <w:bottom w:val="single" w:color="auto" w:sz="4" w:space="0"/>
                    <w:tl2br w:val="nil"/>
                    <w:tr2bl w:val="nil"/>
                  </w:tcBorders>
                  <w:noWrap w:val="0"/>
                  <w:vAlign w:val="center"/>
                </w:tcPr>
                <w:p w14:paraId="28B33AFF">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14:paraId="11543F4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restart"/>
                  <w:tcBorders>
                    <w:top w:val="single" w:color="auto" w:sz="4" w:space="0"/>
                    <w:tl2br w:val="nil"/>
                    <w:tr2bl w:val="nil"/>
                  </w:tcBorders>
                  <w:noWrap w:val="0"/>
                  <w:vAlign w:val="center"/>
                </w:tcPr>
                <w:p w14:paraId="246B4C44">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危险废物</w:t>
                  </w:r>
                </w:p>
              </w:tc>
              <w:tc>
                <w:tcPr>
                  <w:tcW w:w="743" w:type="pct"/>
                  <w:vMerge w:val="restart"/>
                  <w:tcBorders>
                    <w:top w:val="single" w:color="auto" w:sz="4" w:space="0"/>
                    <w:tl2br w:val="nil"/>
                    <w:tr2bl w:val="nil"/>
                  </w:tcBorders>
                  <w:noWrap w:val="0"/>
                  <w:vAlign w:val="center"/>
                </w:tcPr>
                <w:p w14:paraId="0845CF6A">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装配、设备维护</w:t>
                  </w:r>
                </w:p>
              </w:tc>
              <w:tc>
                <w:tcPr>
                  <w:tcW w:w="1275" w:type="pct"/>
                  <w:tcBorders>
                    <w:top w:val="single" w:color="auto" w:sz="4" w:space="0"/>
                    <w:tl2br w:val="nil"/>
                    <w:tr2bl w:val="nil"/>
                  </w:tcBorders>
                  <w:noWrap w:val="0"/>
                  <w:vAlign w:val="center"/>
                </w:tcPr>
                <w:p w14:paraId="1A058937">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废润滑</w:t>
                  </w:r>
                  <w:r>
                    <w:rPr>
                      <w:rFonts w:hint="eastAsia" w:cs="Times New Roman"/>
                      <w:color w:val="000000" w:themeColor="text1"/>
                      <w:lang w:val="en-US" w:eastAsia="zh-CN"/>
                      <w14:textFill>
                        <w14:solidFill>
                          <w14:schemeClr w14:val="tx1"/>
                        </w14:solidFill>
                      </w14:textFill>
                    </w:rPr>
                    <w:t>油</w:t>
                  </w:r>
                </w:p>
              </w:tc>
              <w:tc>
                <w:tcPr>
                  <w:tcW w:w="2490" w:type="pct"/>
                  <w:vMerge w:val="restart"/>
                  <w:tcBorders>
                    <w:top w:val="single" w:color="auto" w:sz="4" w:space="0"/>
                    <w:tl2br w:val="nil"/>
                    <w:tr2bl w:val="nil"/>
                  </w:tcBorders>
                  <w:noWrap w:val="0"/>
                  <w:vAlign w:val="center"/>
                </w:tcPr>
                <w:p w14:paraId="24A08E33">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分类收集后暂存于危废暂存间，定期委托有资质单位转运处置</w:t>
                  </w:r>
                </w:p>
              </w:tc>
            </w:tr>
            <w:tr w14:paraId="1BF4780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13BBA71E">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743" w:type="pct"/>
                  <w:vMerge w:val="continue"/>
                  <w:tcBorders>
                    <w:tl2br w:val="nil"/>
                    <w:tr2bl w:val="nil"/>
                  </w:tcBorders>
                  <w:noWrap w:val="0"/>
                  <w:vAlign w:val="center"/>
                </w:tcPr>
                <w:p w14:paraId="5BA66309">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1275" w:type="pct"/>
                  <w:tcBorders>
                    <w:bottom w:val="single" w:color="auto" w:sz="4" w:space="0"/>
                    <w:tl2br w:val="nil"/>
                    <w:tr2bl w:val="nil"/>
                  </w:tcBorders>
                  <w:noWrap w:val="0"/>
                  <w:vAlign w:val="center"/>
                </w:tcPr>
                <w:p w14:paraId="7F26583E">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w:t>
                  </w:r>
                  <w:r>
                    <w:rPr>
                      <w:rFonts w:hint="eastAsia" w:cs="Times New Roman"/>
                      <w:color w:val="000000" w:themeColor="text1"/>
                      <w:lang w:eastAsia="zh-CN"/>
                      <w14:textFill>
                        <w14:solidFill>
                          <w14:schemeClr w14:val="tx1"/>
                        </w14:solidFill>
                      </w14:textFill>
                    </w:rPr>
                    <w:t>润滑油空</w:t>
                  </w:r>
                  <w:r>
                    <w:rPr>
                      <w:rFonts w:hint="default" w:ascii="Times New Roman" w:hAnsi="Times New Roman" w:cs="Times New Roman"/>
                      <w:color w:val="000000" w:themeColor="text1"/>
                      <w:lang w:eastAsia="zh-CN"/>
                      <w14:textFill>
                        <w14:solidFill>
                          <w14:schemeClr w14:val="tx1"/>
                        </w14:solidFill>
                      </w14:textFill>
                    </w:rPr>
                    <w:t>桶</w:t>
                  </w:r>
                </w:p>
              </w:tc>
              <w:tc>
                <w:tcPr>
                  <w:tcW w:w="2490" w:type="pct"/>
                  <w:vMerge w:val="continue"/>
                  <w:tcBorders>
                    <w:tl2br w:val="nil"/>
                    <w:tr2bl w:val="nil"/>
                  </w:tcBorders>
                  <w:noWrap w:val="0"/>
                  <w:vAlign w:val="center"/>
                </w:tcPr>
                <w:p w14:paraId="60FBA28B">
                  <w:pPr>
                    <w:pStyle w:val="41"/>
                    <w:bidi w:val="0"/>
                    <w:rPr>
                      <w:rFonts w:hint="default" w:ascii="Times New Roman" w:hAnsi="Times New Roman" w:cs="Times New Roman"/>
                      <w:color w:val="000000" w:themeColor="text1"/>
                      <w:lang w:eastAsia="zh-CN"/>
                      <w14:textFill>
                        <w14:solidFill>
                          <w14:schemeClr w14:val="tx1"/>
                        </w14:solidFill>
                      </w14:textFill>
                    </w:rPr>
                  </w:pPr>
                </w:p>
              </w:tc>
            </w:tr>
            <w:tr w14:paraId="4AA83C4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41E74233">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743" w:type="pct"/>
                  <w:tcBorders>
                    <w:tl2br w:val="nil"/>
                    <w:tr2bl w:val="nil"/>
                  </w:tcBorders>
                  <w:noWrap w:val="0"/>
                  <w:vAlign w:val="center"/>
                </w:tcPr>
                <w:p w14:paraId="67C02C65">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废气处理</w:t>
                  </w:r>
                </w:p>
              </w:tc>
              <w:tc>
                <w:tcPr>
                  <w:tcW w:w="1275" w:type="pct"/>
                  <w:tcBorders>
                    <w:top w:val="single" w:color="auto" w:sz="4" w:space="0"/>
                    <w:tl2br w:val="nil"/>
                    <w:tr2bl w:val="nil"/>
                  </w:tcBorders>
                  <w:noWrap w:val="0"/>
                  <w:vAlign w:val="center"/>
                </w:tcPr>
                <w:p w14:paraId="505552EC">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废活性炭</w:t>
                  </w:r>
                </w:p>
              </w:tc>
              <w:tc>
                <w:tcPr>
                  <w:tcW w:w="2490" w:type="pct"/>
                  <w:vMerge w:val="continue"/>
                  <w:tcBorders>
                    <w:tl2br w:val="nil"/>
                    <w:tr2bl w:val="nil"/>
                  </w:tcBorders>
                  <w:noWrap w:val="0"/>
                  <w:vAlign w:val="center"/>
                </w:tcPr>
                <w:p w14:paraId="3B7EE152">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p>
              </w:tc>
            </w:tr>
            <w:tr w14:paraId="0902AD8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0629D11A">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743" w:type="pct"/>
                  <w:tcBorders>
                    <w:tl2br w:val="nil"/>
                    <w:tr2bl w:val="nil"/>
                  </w:tcBorders>
                  <w:noWrap w:val="0"/>
                  <w:vAlign w:val="center"/>
                </w:tcPr>
                <w:p w14:paraId="0832CED1">
                  <w:pPr>
                    <w:pStyle w:val="41"/>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调胶</w:t>
                  </w:r>
                </w:p>
              </w:tc>
              <w:tc>
                <w:tcPr>
                  <w:tcW w:w="1275" w:type="pct"/>
                  <w:tcBorders>
                    <w:top w:val="single" w:color="auto" w:sz="4" w:space="0"/>
                    <w:tl2br w:val="nil"/>
                    <w:tr2bl w:val="nil"/>
                  </w:tcBorders>
                  <w:noWrap w:val="0"/>
                  <w:vAlign w:val="center"/>
                </w:tcPr>
                <w:p w14:paraId="4DDF3692">
                  <w:pPr>
                    <w:pStyle w:val="41"/>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废胶水空桶、废固化剂空桶</w:t>
                  </w:r>
                </w:p>
              </w:tc>
              <w:tc>
                <w:tcPr>
                  <w:tcW w:w="2490" w:type="pct"/>
                  <w:vMerge w:val="continue"/>
                  <w:tcBorders>
                    <w:tl2br w:val="nil"/>
                    <w:tr2bl w:val="nil"/>
                  </w:tcBorders>
                  <w:noWrap w:val="0"/>
                  <w:vAlign w:val="center"/>
                </w:tcPr>
                <w:p w14:paraId="12CC83FC">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p>
              </w:tc>
            </w:tr>
            <w:tr w14:paraId="61F469D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vMerge w:val="continue"/>
                  <w:tcBorders>
                    <w:tl2br w:val="nil"/>
                    <w:tr2bl w:val="nil"/>
                  </w:tcBorders>
                  <w:noWrap w:val="0"/>
                  <w:vAlign w:val="center"/>
                </w:tcPr>
                <w:p w14:paraId="3C0BC7A9">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743" w:type="pct"/>
                  <w:tcBorders>
                    <w:tl2br w:val="nil"/>
                    <w:tr2bl w:val="nil"/>
                  </w:tcBorders>
                  <w:noWrap w:val="0"/>
                  <w:vAlign w:val="center"/>
                </w:tcPr>
                <w:p w14:paraId="578C22F2">
                  <w:pPr>
                    <w:pStyle w:val="41"/>
                    <w:bidi w:val="0"/>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喷胶、废气处理</w:t>
                  </w:r>
                </w:p>
              </w:tc>
              <w:tc>
                <w:tcPr>
                  <w:tcW w:w="1275" w:type="pct"/>
                  <w:tcBorders>
                    <w:top w:val="single" w:color="auto" w:sz="4" w:space="0"/>
                    <w:tl2br w:val="nil"/>
                    <w:tr2bl w:val="nil"/>
                  </w:tcBorders>
                  <w:noWrap w:val="0"/>
                  <w:vAlign w:val="center"/>
                </w:tcPr>
                <w:p w14:paraId="502654F7">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胶渣（含废气治理滤材）</w:t>
                  </w:r>
                </w:p>
              </w:tc>
              <w:tc>
                <w:tcPr>
                  <w:tcW w:w="2490" w:type="pct"/>
                  <w:vMerge w:val="continue"/>
                  <w:tcBorders>
                    <w:tl2br w:val="nil"/>
                    <w:tr2bl w:val="nil"/>
                  </w:tcBorders>
                  <w:noWrap w:val="0"/>
                  <w:vAlign w:val="center"/>
                </w:tcPr>
                <w:p w14:paraId="53FA1E2A">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p>
              </w:tc>
            </w:tr>
            <w:tr w14:paraId="457225F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tcBorders>
                    <w:tl2br w:val="nil"/>
                    <w:tr2bl w:val="nil"/>
                  </w:tcBorders>
                  <w:noWrap w:val="0"/>
                  <w:vAlign w:val="center"/>
                </w:tcPr>
                <w:p w14:paraId="5B3F8914">
                  <w:pPr>
                    <w:pStyle w:val="41"/>
                    <w:bidi w:val="0"/>
                    <w:rPr>
                      <w:rFonts w:hint="default" w:ascii="Times New Roman" w:hAnsi="Times New Roman" w:cs="Times New Roman"/>
                      <w:color w:val="000000" w:themeColor="text1"/>
                      <w:lang w:val="en-US" w:eastAsia="zh-CN"/>
                      <w14:textFill>
                        <w14:solidFill>
                          <w14:schemeClr w14:val="tx1"/>
                        </w14:solidFill>
                      </w14:textFill>
                    </w:rPr>
                  </w:pPr>
                </w:p>
              </w:tc>
              <w:tc>
                <w:tcPr>
                  <w:tcW w:w="743" w:type="pct"/>
                  <w:tcBorders>
                    <w:tl2br w:val="nil"/>
                    <w:tr2bl w:val="nil"/>
                  </w:tcBorders>
                  <w:noWrap w:val="0"/>
                  <w:vAlign w:val="center"/>
                </w:tcPr>
                <w:p w14:paraId="370322C1">
                  <w:pPr>
                    <w:pStyle w:val="41"/>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设备清洗</w:t>
                  </w:r>
                </w:p>
              </w:tc>
              <w:tc>
                <w:tcPr>
                  <w:tcW w:w="1275" w:type="pct"/>
                  <w:tcBorders>
                    <w:top w:val="single" w:color="auto" w:sz="4" w:space="0"/>
                    <w:tl2br w:val="nil"/>
                    <w:tr2bl w:val="nil"/>
                  </w:tcBorders>
                  <w:noWrap w:val="0"/>
                  <w:vAlign w:val="center"/>
                </w:tcPr>
                <w:p w14:paraId="676A5D65">
                  <w:pPr>
                    <w:pStyle w:val="41"/>
                    <w:bidi w:val="0"/>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含胶清洗废水</w:t>
                  </w:r>
                </w:p>
              </w:tc>
              <w:tc>
                <w:tcPr>
                  <w:tcW w:w="2490" w:type="pct"/>
                  <w:vMerge w:val="continue"/>
                  <w:tcBorders>
                    <w:tl2br w:val="nil"/>
                    <w:tr2bl w:val="nil"/>
                  </w:tcBorders>
                  <w:noWrap w:val="0"/>
                  <w:vAlign w:val="center"/>
                </w:tcPr>
                <w:p w14:paraId="018A0C74">
                  <w:pPr>
                    <w:pStyle w:val="41"/>
                    <w:bidi w:val="0"/>
                    <w:ind w:firstLine="0" w:firstLineChars="0"/>
                    <w:rPr>
                      <w:rFonts w:hint="default" w:ascii="Times New Roman" w:hAnsi="Times New Roman" w:cs="Times New Roman"/>
                      <w:color w:val="000000" w:themeColor="text1"/>
                      <w:lang w:eastAsia="zh-CN"/>
                      <w14:textFill>
                        <w14:solidFill>
                          <w14:schemeClr w14:val="tx1"/>
                        </w14:solidFill>
                      </w14:textFill>
                    </w:rPr>
                  </w:pPr>
                </w:p>
              </w:tc>
            </w:tr>
            <w:tr w14:paraId="533CD03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641" w:hRule="atLeast"/>
              </w:trPr>
              <w:tc>
                <w:tcPr>
                  <w:tcW w:w="490" w:type="pct"/>
                  <w:tcBorders>
                    <w:tl2br w:val="nil"/>
                    <w:tr2bl w:val="nil"/>
                  </w:tcBorders>
                  <w:noWrap w:val="0"/>
                  <w:vAlign w:val="center"/>
                </w:tcPr>
                <w:p w14:paraId="74EC9902">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743" w:type="pct"/>
                  <w:tcBorders>
                    <w:tl2br w:val="nil"/>
                    <w:tr2bl w:val="nil"/>
                  </w:tcBorders>
                  <w:noWrap w:val="0"/>
                  <w:vAlign w:val="center"/>
                </w:tcPr>
                <w:p w14:paraId="79A5864F">
                  <w:pPr>
                    <w:pStyle w:val="41"/>
                    <w:bidi w:val="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职工生活垃圾</w:t>
                  </w:r>
                </w:p>
              </w:tc>
              <w:tc>
                <w:tcPr>
                  <w:tcW w:w="1275" w:type="pct"/>
                  <w:tcBorders>
                    <w:tl2br w:val="nil"/>
                    <w:tr2bl w:val="nil"/>
                  </w:tcBorders>
                  <w:noWrap w:val="0"/>
                  <w:vAlign w:val="center"/>
                </w:tcPr>
                <w:p w14:paraId="2DDBBE72">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纸屑、塑料等</w:t>
                  </w:r>
                </w:p>
              </w:tc>
              <w:tc>
                <w:tcPr>
                  <w:tcW w:w="2490" w:type="pct"/>
                  <w:tcBorders>
                    <w:tl2br w:val="nil"/>
                    <w:tr2bl w:val="nil"/>
                  </w:tcBorders>
                  <w:noWrap w:val="0"/>
                  <w:vAlign w:val="center"/>
                </w:tcPr>
                <w:p w14:paraId="06CD0AF0">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委托环卫部门统一清运处置</w:t>
                  </w:r>
                </w:p>
              </w:tc>
            </w:tr>
            <w:tr w14:paraId="739AD54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57" w:type="dxa"/>
                  <w:bottom w:w="0" w:type="dxa"/>
                  <w:right w:w="57" w:type="dxa"/>
                </w:tblCellMar>
              </w:tblPrEx>
              <w:trPr>
                <w:trHeight w:val="397" w:hRule="atLeast"/>
              </w:trPr>
              <w:tc>
                <w:tcPr>
                  <w:tcW w:w="490" w:type="pct"/>
                  <w:tcBorders>
                    <w:tl2br w:val="nil"/>
                    <w:tr2bl w:val="nil"/>
                  </w:tcBorders>
                  <w:noWrap w:val="0"/>
                  <w:vAlign w:val="center"/>
                </w:tcPr>
                <w:p w14:paraId="4FBCD0C3">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743" w:type="pct"/>
                  <w:tcBorders>
                    <w:tl2br w:val="nil"/>
                    <w:tr2bl w:val="nil"/>
                  </w:tcBorders>
                  <w:noWrap w:val="0"/>
                  <w:vAlign w:val="center"/>
                </w:tcPr>
                <w:p w14:paraId="47C479C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生产机械设备</w:t>
                  </w:r>
                </w:p>
              </w:tc>
              <w:tc>
                <w:tcPr>
                  <w:tcW w:w="1275" w:type="pct"/>
                  <w:tcBorders>
                    <w:tl2br w:val="nil"/>
                    <w:tr2bl w:val="nil"/>
                  </w:tcBorders>
                  <w:noWrap w:val="0"/>
                  <w:vAlign w:val="center"/>
                </w:tcPr>
                <w:p w14:paraId="64F50AB3">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Leq</w:t>
                  </w:r>
                </w:p>
              </w:tc>
              <w:tc>
                <w:tcPr>
                  <w:tcW w:w="2490" w:type="pct"/>
                  <w:tcBorders>
                    <w:tl2br w:val="nil"/>
                    <w:tr2bl w:val="nil"/>
                  </w:tcBorders>
                  <w:noWrap w:val="0"/>
                  <w:vAlign w:val="center"/>
                </w:tcPr>
                <w:p w14:paraId="2A711B2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厂房隔声、设备基础减振等综合降噪措施</w:t>
                  </w:r>
                </w:p>
              </w:tc>
            </w:tr>
          </w:tbl>
          <w:p w14:paraId="48A1B7AE">
            <w:pPr>
              <w:pStyle w:val="40"/>
              <w:bidi w:val="0"/>
              <w:ind w:left="0" w:leftChars="0" w:firstLine="0" w:firstLineChars="0"/>
              <w:rPr>
                <w:rFonts w:hint="default" w:ascii="Times New Roman" w:hAnsi="Times New Roman" w:cs="Times New Roman"/>
                <w:color w:val="auto"/>
              </w:rPr>
            </w:pPr>
          </w:p>
        </w:tc>
      </w:tr>
      <w:tr w14:paraId="347A17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442" w:type="dxa"/>
            <w:noWrap w:val="0"/>
            <w:vAlign w:val="center"/>
          </w:tcPr>
          <w:p w14:paraId="40E93032">
            <w:pPr>
              <w:pStyle w:val="22"/>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542" w:type="dxa"/>
            <w:noWrap w:val="0"/>
            <w:vAlign w:val="center"/>
          </w:tcPr>
          <w:p w14:paraId="11AF70F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无</w:t>
            </w:r>
          </w:p>
        </w:tc>
      </w:tr>
    </w:tbl>
    <w:p w14:paraId="0E547737">
      <w:pPr>
        <w:pStyle w:val="22"/>
        <w:jc w:val="center"/>
        <w:rPr>
          <w:rFonts w:hint="default" w:ascii="Times New Roman" w:hAnsi="Times New Roman" w:eastAsia="黑体" w:cs="Times New Roman"/>
          <w:snapToGrid w:val="0"/>
          <w:sz w:val="36"/>
          <w:szCs w:val="36"/>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87D23C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default" w:ascii="Times New Roman" w:hAnsi="Times New Roman" w:eastAsia="黑体" w:cs="Times New Roman"/>
          <w:snapToGrid w:val="0"/>
          <w:sz w:val="30"/>
          <w:szCs w:val="30"/>
        </w:rPr>
      </w:pPr>
    </w:p>
    <w:p w14:paraId="63940B22">
      <w:pPr>
        <w:pStyle w:val="22"/>
        <w:jc w:val="center"/>
        <w:outlineLvl w:val="0"/>
        <w:rPr>
          <w:rFonts w:hint="default" w:ascii="Times New Roman" w:hAnsi="Times New Roman" w:eastAsia="黑体" w:cs="Times New Roman"/>
          <w:snapToGrid w:val="0"/>
          <w:sz w:val="30"/>
          <w:szCs w:val="30"/>
        </w:rPr>
      </w:pPr>
      <w:bookmarkStart w:id="20" w:name="_Toc20173"/>
      <w:bookmarkStart w:id="21" w:name="_Toc26709"/>
      <w:bookmarkStart w:id="22" w:name="_Toc3701"/>
      <w:bookmarkStart w:id="23" w:name="_Toc30602"/>
      <w:r>
        <w:rPr>
          <w:rFonts w:hint="default" w:ascii="Times New Roman" w:hAnsi="Times New Roman" w:eastAsia="黑体" w:cs="Times New Roman"/>
          <w:snapToGrid w:val="0"/>
          <w:sz w:val="30"/>
          <w:szCs w:val="30"/>
        </w:rPr>
        <w:t>三、区域环境质量现状、环境保护目标及评价标准</w:t>
      </w:r>
      <w:bookmarkEnd w:id="20"/>
      <w:bookmarkEnd w:id="21"/>
      <w:bookmarkEnd w:id="22"/>
      <w:bookmarkEnd w:id="23"/>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8592"/>
      </w:tblGrid>
      <w:tr w14:paraId="3CB5F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784" w:type="dxa"/>
            <w:noWrap w:val="0"/>
            <w:vAlign w:val="center"/>
          </w:tcPr>
          <w:p w14:paraId="2B0C20F7">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区域</w:t>
            </w:r>
          </w:p>
          <w:p w14:paraId="6DC8206B">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51EFC404">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质量</w:t>
            </w:r>
          </w:p>
          <w:p w14:paraId="5695232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现状</w:t>
            </w:r>
          </w:p>
        </w:tc>
        <w:tc>
          <w:tcPr>
            <w:tcW w:w="8277" w:type="dxa"/>
            <w:noWrap w:val="0"/>
            <w:vAlign w:val="center"/>
          </w:tcPr>
          <w:p w14:paraId="0966D058">
            <w:pPr>
              <w:pStyle w:val="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 大气环境质量现状</w:t>
            </w:r>
          </w:p>
          <w:p w14:paraId="7E099F2D">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3.1.1 环境空气质量功能区划</w:t>
            </w:r>
          </w:p>
          <w:p w14:paraId="4D4983CE">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福州市人民政府榕政综〔2014〕30号文件正式批准实施《福州市环境空气质量功能区划(报批稿)》的规定，项目所在区域环境空气功能规划为二类区，环境空气质量执行《环境空气质量标准》(GB3095-2012)及其修改单中的二级标准，非甲烷总烃参照执行《大气污染物综合排放标准详解》(国家</w:t>
            </w:r>
            <w:r>
              <w:rPr>
                <w:rFonts w:hint="eastAsia" w:cs="Times New Roman"/>
                <w:color w:val="000000" w:themeColor="text1"/>
                <w:lang w:val="en-US" w:eastAsia="zh-CN"/>
                <w14:textFill>
                  <w14:solidFill>
                    <w14:schemeClr w14:val="tx1"/>
                  </w14:solidFill>
                </w14:textFill>
              </w:rPr>
              <w:t>生态环境局</w:t>
            </w:r>
            <w:r>
              <w:rPr>
                <w:rFonts w:hint="default" w:ascii="Times New Roman" w:hAnsi="Times New Roman" w:cs="Times New Roman"/>
                <w:color w:val="000000" w:themeColor="text1"/>
                <w:lang w:val="en-US" w:eastAsia="zh-CN"/>
                <w14:textFill>
                  <w14:solidFill>
                    <w14:schemeClr w14:val="tx1"/>
                  </w14:solidFill>
                </w14:textFill>
              </w:rPr>
              <w:t>科技标准司)中规定的标准限值。具体详见表3.1-1。</w:t>
            </w:r>
          </w:p>
          <w:p w14:paraId="1E128EB5">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表3.1-1 </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本项目环境空气标准一览表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2034"/>
              <w:gridCol w:w="1220"/>
              <w:gridCol w:w="3737"/>
            </w:tblGrid>
            <w:tr w14:paraId="5D3AF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tcBorders>
                    <w:tl2br w:val="nil"/>
                    <w:tr2bl w:val="nil"/>
                  </w:tcBorders>
                  <w:noWrap w:val="0"/>
                  <w:vAlign w:val="center"/>
                </w:tcPr>
                <w:p w14:paraId="3392811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污染物项目</w:t>
                  </w:r>
                </w:p>
              </w:tc>
              <w:tc>
                <w:tcPr>
                  <w:tcW w:w="1214" w:type="pct"/>
                  <w:tcBorders>
                    <w:tl2br w:val="nil"/>
                    <w:tr2bl w:val="nil"/>
                  </w:tcBorders>
                  <w:noWrap w:val="0"/>
                  <w:vAlign w:val="center"/>
                </w:tcPr>
                <w:p w14:paraId="41259EF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平均时间</w:t>
                  </w:r>
                </w:p>
              </w:tc>
              <w:tc>
                <w:tcPr>
                  <w:tcW w:w="728" w:type="pct"/>
                  <w:tcBorders>
                    <w:tl2br w:val="nil"/>
                    <w:tr2bl w:val="nil"/>
                  </w:tcBorders>
                  <w:noWrap w:val="0"/>
                  <w:vAlign w:val="center"/>
                </w:tcPr>
                <w:p w14:paraId="73EE82A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浓度限制</w:t>
                  </w:r>
                </w:p>
              </w:tc>
              <w:tc>
                <w:tcPr>
                  <w:tcW w:w="2231" w:type="pct"/>
                  <w:tcBorders>
                    <w:tl2br w:val="nil"/>
                    <w:tr2bl w:val="nil"/>
                  </w:tcBorders>
                  <w:noWrap w:val="0"/>
                  <w:vAlign w:val="center"/>
                </w:tcPr>
                <w:p w14:paraId="1A84A21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标准来源</w:t>
                  </w:r>
                </w:p>
              </w:tc>
            </w:tr>
            <w:tr w14:paraId="62AE1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2F66AF3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二氧化硫(SO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446AF6E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58D42D77">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restart"/>
                  <w:tcBorders>
                    <w:tl2br w:val="nil"/>
                    <w:tr2bl w:val="nil"/>
                  </w:tcBorders>
                  <w:noWrap w:val="0"/>
                  <w:vAlign w:val="center"/>
                </w:tcPr>
                <w:p w14:paraId="54CF657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《环境空气质量标准》(GB3095-2012)及其修改单中的二级标准</w:t>
                  </w:r>
                </w:p>
              </w:tc>
            </w:tr>
            <w:tr w14:paraId="7C78E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077C75B9">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21F3DD6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0DAA73C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3EA73B38">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360FE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43212D0D">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4F6B2E3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小时平均</w:t>
                  </w:r>
                </w:p>
              </w:tc>
              <w:tc>
                <w:tcPr>
                  <w:tcW w:w="728" w:type="pct"/>
                  <w:tcBorders>
                    <w:tl2br w:val="nil"/>
                    <w:tr2bl w:val="nil"/>
                  </w:tcBorders>
                  <w:noWrap w:val="0"/>
                  <w:vAlign w:val="center"/>
                </w:tcPr>
                <w:p w14:paraId="38F1087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16391956">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560CE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590E945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二氧化氮(NO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0EA639A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1F7EFF4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6ABFB21B">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21E0C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58222546">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0E9B88C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38D816A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0903576B">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2EF3A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152E8CDC">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2E12E51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小时平均</w:t>
                  </w:r>
                </w:p>
              </w:tc>
              <w:tc>
                <w:tcPr>
                  <w:tcW w:w="728" w:type="pct"/>
                  <w:tcBorders>
                    <w:tl2br w:val="nil"/>
                    <w:tr2bl w:val="nil"/>
                  </w:tcBorders>
                  <w:noWrap w:val="0"/>
                  <w:vAlign w:val="center"/>
                </w:tcPr>
                <w:p w14:paraId="5FC5C00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45A031E0">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3166C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1BB2CF6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一氧化碳(CO)</w:t>
                  </w:r>
                </w:p>
              </w:tc>
              <w:tc>
                <w:tcPr>
                  <w:tcW w:w="1214" w:type="pct"/>
                  <w:tcBorders>
                    <w:tl2br w:val="nil"/>
                    <w:tr2bl w:val="nil"/>
                  </w:tcBorders>
                  <w:noWrap w:val="0"/>
                  <w:vAlign w:val="center"/>
                </w:tcPr>
                <w:p w14:paraId="422038C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4367404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1EEFBE74">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2C6B5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1F4D1FE2">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136ACC4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小时平均</w:t>
                  </w:r>
                </w:p>
              </w:tc>
              <w:tc>
                <w:tcPr>
                  <w:tcW w:w="728" w:type="pct"/>
                  <w:tcBorders>
                    <w:tl2br w:val="nil"/>
                    <w:tr2bl w:val="nil"/>
                  </w:tcBorders>
                  <w:noWrap w:val="0"/>
                  <w:vAlign w:val="center"/>
                </w:tcPr>
                <w:p w14:paraId="6BC482D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18E29132">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7DD4B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1CE571C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臭氧(O</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69D1CD6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日最大8小时平均</w:t>
                  </w:r>
                </w:p>
              </w:tc>
              <w:tc>
                <w:tcPr>
                  <w:tcW w:w="728" w:type="pct"/>
                  <w:tcBorders>
                    <w:tl2br w:val="nil"/>
                    <w:tr2bl w:val="nil"/>
                  </w:tcBorders>
                  <w:noWrap w:val="0"/>
                  <w:vAlign w:val="center"/>
                </w:tcPr>
                <w:p w14:paraId="2D00D94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180ABF80">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7D157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19AFF771">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11BE348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小时平均</w:t>
                  </w:r>
                </w:p>
              </w:tc>
              <w:tc>
                <w:tcPr>
                  <w:tcW w:w="728" w:type="pct"/>
                  <w:tcBorders>
                    <w:tl2br w:val="nil"/>
                    <w:tr2bl w:val="nil"/>
                  </w:tcBorders>
                  <w:noWrap w:val="0"/>
                  <w:vAlign w:val="center"/>
                </w:tcPr>
                <w:p w14:paraId="6E6232D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6F224757">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1B62E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0BC9527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颗粒物(PM</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624ADB5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7A2363D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508E1BD9">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6C597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4435B4D6">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3C3DF78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3D198EE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7B6F181B">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35D6C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533CCEC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颗粒物(PM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lang w:val="en-US" w:eastAsia="zh-CN"/>
                      <w14:textFill>
                        <w14:solidFill>
                          <w14:schemeClr w14:val="tx1"/>
                        </w14:solidFill>
                      </w14:textFill>
                    </w:rPr>
                    <w:t>)</w:t>
                  </w:r>
                </w:p>
              </w:tc>
              <w:tc>
                <w:tcPr>
                  <w:tcW w:w="1214" w:type="pct"/>
                  <w:tcBorders>
                    <w:tl2br w:val="nil"/>
                    <w:tr2bl w:val="nil"/>
                  </w:tcBorders>
                  <w:noWrap w:val="0"/>
                  <w:vAlign w:val="center"/>
                </w:tcPr>
                <w:p w14:paraId="4E5EFD7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7CBF640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33580F61">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1D6DA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6D30FE03">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3A08BD0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1DA392B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75</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15FE594B">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6C3A5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restart"/>
                  <w:tcBorders>
                    <w:tl2br w:val="nil"/>
                    <w:tr2bl w:val="nil"/>
                  </w:tcBorders>
                  <w:noWrap w:val="0"/>
                  <w:vAlign w:val="center"/>
                </w:tcPr>
                <w:p w14:paraId="3FEF2BB9">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TSP</w:t>
                  </w:r>
                </w:p>
              </w:tc>
              <w:tc>
                <w:tcPr>
                  <w:tcW w:w="1214" w:type="pct"/>
                  <w:tcBorders>
                    <w:tl2br w:val="nil"/>
                    <w:tr2bl w:val="nil"/>
                  </w:tcBorders>
                  <w:noWrap w:val="0"/>
                  <w:vAlign w:val="center"/>
                </w:tcPr>
                <w:p w14:paraId="121922A0">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年平均</w:t>
                  </w:r>
                </w:p>
              </w:tc>
              <w:tc>
                <w:tcPr>
                  <w:tcW w:w="728" w:type="pct"/>
                  <w:tcBorders>
                    <w:tl2br w:val="nil"/>
                    <w:tr2bl w:val="nil"/>
                  </w:tcBorders>
                  <w:noWrap w:val="0"/>
                  <w:vAlign w:val="center"/>
                </w:tcPr>
                <w:p w14:paraId="7B071075">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6D890C36">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39160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vMerge w:val="continue"/>
                  <w:tcBorders>
                    <w:tl2br w:val="nil"/>
                    <w:tr2bl w:val="nil"/>
                  </w:tcBorders>
                  <w:noWrap w:val="0"/>
                  <w:vAlign w:val="center"/>
                </w:tcPr>
                <w:p w14:paraId="5A5B4A76">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p>
              </w:tc>
              <w:tc>
                <w:tcPr>
                  <w:tcW w:w="1214" w:type="pct"/>
                  <w:tcBorders>
                    <w:tl2br w:val="nil"/>
                    <w:tr2bl w:val="nil"/>
                  </w:tcBorders>
                  <w:noWrap w:val="0"/>
                  <w:vAlign w:val="center"/>
                </w:tcPr>
                <w:p w14:paraId="3C2D0D22">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24小时平均</w:t>
                  </w:r>
                </w:p>
              </w:tc>
              <w:tc>
                <w:tcPr>
                  <w:tcW w:w="728" w:type="pct"/>
                  <w:tcBorders>
                    <w:tl2br w:val="nil"/>
                    <w:tr2bl w:val="nil"/>
                  </w:tcBorders>
                  <w:noWrap w:val="0"/>
                  <w:vAlign w:val="center"/>
                </w:tcPr>
                <w:p w14:paraId="10E79BE7">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val="en-US" w:eastAsia="zh-CN"/>
                      <w14:textFill>
                        <w14:solidFill>
                          <w14:schemeClr w14:val="tx1"/>
                        </w14:solidFill>
                      </w14:textFill>
                    </w:rPr>
                    <w:t>m³</w:t>
                  </w:r>
                </w:p>
              </w:tc>
              <w:tc>
                <w:tcPr>
                  <w:tcW w:w="2231" w:type="pct"/>
                  <w:vMerge w:val="continue"/>
                  <w:tcBorders>
                    <w:tl2br w:val="nil"/>
                    <w:tr2bl w:val="nil"/>
                  </w:tcBorders>
                  <w:noWrap w:val="0"/>
                  <w:vAlign w:val="center"/>
                </w:tcPr>
                <w:p w14:paraId="3C319DA7">
                  <w:pPr>
                    <w:pStyle w:val="47"/>
                    <w:bidi w:val="0"/>
                    <w:rPr>
                      <w:rFonts w:hint="default" w:ascii="Times New Roman" w:hAnsi="Times New Roman" w:cs="Times New Roman"/>
                      <w:color w:val="000000" w:themeColor="text1"/>
                      <w:lang w:val="en-US" w:eastAsia="zh-CN"/>
                      <w14:textFill>
                        <w14:solidFill>
                          <w14:schemeClr w14:val="tx1"/>
                        </w14:solidFill>
                      </w14:textFill>
                    </w:rPr>
                  </w:pPr>
                </w:p>
              </w:tc>
            </w:tr>
            <w:tr w14:paraId="3F9EB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pct"/>
                  <w:tcBorders>
                    <w:tl2br w:val="nil"/>
                    <w:tr2bl w:val="nil"/>
                  </w:tcBorders>
                  <w:noWrap w:val="0"/>
                  <w:vAlign w:val="center"/>
                </w:tcPr>
                <w:p w14:paraId="61C7B6A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NMHC</w:t>
                  </w:r>
                </w:p>
              </w:tc>
              <w:tc>
                <w:tcPr>
                  <w:tcW w:w="1214" w:type="pct"/>
                  <w:tcBorders>
                    <w:tl2br w:val="nil"/>
                    <w:tr2bl w:val="nil"/>
                  </w:tcBorders>
                  <w:noWrap w:val="0"/>
                  <w:vAlign w:val="center"/>
                </w:tcPr>
                <w:p w14:paraId="42F04EA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1小时平均</w:t>
                  </w:r>
                </w:p>
              </w:tc>
              <w:tc>
                <w:tcPr>
                  <w:tcW w:w="728" w:type="pct"/>
                  <w:tcBorders>
                    <w:tl2br w:val="nil"/>
                    <w:tr2bl w:val="nil"/>
                  </w:tcBorders>
                  <w:noWrap w:val="0"/>
                  <w:vAlign w:val="center"/>
                </w:tcPr>
                <w:p w14:paraId="6B55F6D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2.0mg/m³</w:t>
                  </w:r>
                </w:p>
              </w:tc>
              <w:tc>
                <w:tcPr>
                  <w:tcW w:w="2231" w:type="pct"/>
                  <w:tcBorders>
                    <w:tl2br w:val="nil"/>
                    <w:tr2bl w:val="nil"/>
                  </w:tcBorders>
                  <w:noWrap w:val="0"/>
                  <w:vAlign w:val="center"/>
                </w:tcPr>
                <w:p w14:paraId="678ABC4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《大气污染物综合排放标准详解》</w:t>
                  </w:r>
                </w:p>
              </w:tc>
            </w:tr>
          </w:tbl>
          <w:p w14:paraId="5ADB2C91">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p>
          <w:p w14:paraId="212BCEE9">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3.1.2 区域大气环境质量现状</w:t>
            </w:r>
          </w:p>
          <w:p w14:paraId="1B97CB03">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(1)区域环境空气质量现状</w:t>
            </w:r>
          </w:p>
          <w:p w14:paraId="64AB346C">
            <w:pPr>
              <w:pStyle w:val="43"/>
              <w:keepLines w:val="0"/>
              <w:pageBreakBefore w:val="0"/>
              <w:widowControl w:val="0"/>
              <w:kinsoku/>
              <w:wordWrap/>
              <w:topLinePunct w:val="0"/>
              <w:autoSpaceDE/>
              <w:autoSpaceDN/>
              <w:bidi w:val="0"/>
              <w:adjustRightInd w:val="0"/>
              <w:snapToGrid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城市环境空气质量达标情况评价指标为SO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、CO和O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，六项污染物全部达标即为城市环境空气质量达标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根据福清市发布的202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年1月</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12月份福清市环境空气质量月报，202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年连续1年的大气常规因子环境空气质量监测数据</w:t>
            </w:r>
            <w:r>
              <w:rPr>
                <w:rFonts w:hint="default" w:ascii="Times New Roman" w:hAnsi="Times New Roman" w:cs="Times New Roman"/>
                <w:color w:val="000000" w:themeColor="text1"/>
                <w:lang w:val="en-US" w:eastAsia="zh-CN"/>
                <w14:textFill>
                  <w14:solidFill>
                    <w14:schemeClr w14:val="tx1"/>
                  </w14:solidFill>
                </w14:textFill>
              </w:rPr>
              <w:t>详见下表3.1-2。</w:t>
            </w:r>
          </w:p>
          <w:p w14:paraId="2E8E7DC1">
            <w:pPr>
              <w:pStyle w:val="56"/>
              <w:keepLines w:val="0"/>
              <w:pageBreakBefore w:val="0"/>
              <w:widowControl w:val="0"/>
              <w:kinsoku/>
              <w:wordWrap/>
              <w:topLinePunct w:val="0"/>
              <w:autoSpaceDE/>
              <w:autoSpaceDN/>
              <w:bidi w:val="0"/>
              <w:adjustRightInd w:val="0"/>
              <w:snapToGrid w:val="0"/>
              <w:spacing w:before="0" w:beforeLines="0"/>
              <w:textAlignment w:val="auto"/>
              <w:rPr>
                <w:rFonts w:hint="default" w:ascii="Times New Roman" w:hAnsi="Times New Roman" w:eastAsia="黑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表3.1-2  福清市202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年1月份-202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年12月份环境空气质量统计</w:t>
            </w:r>
            <w:r>
              <w:rPr>
                <w:rFonts w:hint="default" w:ascii="Times New Roman" w:hAnsi="Times New Roman" w:cs="Times New Roman"/>
                <w:color w:val="000000" w:themeColor="text1"/>
                <w:lang w:eastAsia="zh-CN"/>
                <w14:textFill>
                  <w14:solidFill>
                    <w14:schemeClr w14:val="tx1"/>
                  </w14:solidFill>
                </w14:textFill>
              </w:rPr>
              <w:t>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00"/>
              <w:gridCol w:w="1037"/>
              <w:gridCol w:w="1111"/>
              <w:gridCol w:w="1111"/>
              <w:gridCol w:w="1123"/>
              <w:gridCol w:w="1232"/>
              <w:gridCol w:w="1162"/>
            </w:tblGrid>
            <w:tr w14:paraId="3D1CB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735DC21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时间</w:t>
                  </w:r>
                </w:p>
              </w:tc>
              <w:tc>
                <w:tcPr>
                  <w:tcW w:w="988" w:type="dxa"/>
                  <w:tcBorders>
                    <w:tl2br w:val="nil"/>
                    <w:tr2bl w:val="nil"/>
                  </w:tcBorders>
                  <w:noWrap w:val="0"/>
                  <w:vAlign w:val="center"/>
                </w:tcPr>
                <w:p w14:paraId="3D5262E4">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1059" w:type="dxa"/>
                  <w:tcBorders>
                    <w:tl2br w:val="nil"/>
                    <w:tr2bl w:val="nil"/>
                  </w:tcBorders>
                  <w:noWrap w:val="0"/>
                  <w:vAlign w:val="center"/>
                </w:tcPr>
                <w:p w14:paraId="0F89FEB5">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2</w:t>
                  </w:r>
                </w:p>
              </w:tc>
              <w:tc>
                <w:tcPr>
                  <w:tcW w:w="1059" w:type="dxa"/>
                  <w:tcBorders>
                    <w:tl2br w:val="nil"/>
                    <w:tr2bl w:val="nil"/>
                  </w:tcBorders>
                  <w:noWrap w:val="0"/>
                  <w:vAlign w:val="center"/>
                </w:tcPr>
                <w:p w14:paraId="71B5AD50">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p>
              </w:tc>
              <w:tc>
                <w:tcPr>
                  <w:tcW w:w="1070" w:type="dxa"/>
                  <w:tcBorders>
                    <w:tl2br w:val="nil"/>
                    <w:tr2bl w:val="nil"/>
                  </w:tcBorders>
                  <w:noWrap w:val="0"/>
                  <w:vAlign w:val="center"/>
                </w:tcPr>
                <w:p w14:paraId="1FBE43D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eastAsia="宋体" w:cs="Times New Roman"/>
                      <w:color w:val="000000" w:themeColor="text1"/>
                      <w:vertAlign w:val="subscript"/>
                      <w14:textFill>
                        <w14:solidFill>
                          <w14:schemeClr w14:val="tx1"/>
                        </w14:solidFill>
                      </w14:textFill>
                    </w:rPr>
                    <w:t>2.5</w:t>
                  </w:r>
                </w:p>
              </w:tc>
              <w:tc>
                <w:tcPr>
                  <w:tcW w:w="1174" w:type="dxa"/>
                  <w:tcBorders>
                    <w:tl2br w:val="nil"/>
                    <w:tr2bl w:val="nil"/>
                  </w:tcBorders>
                  <w:noWrap w:val="0"/>
                  <w:vAlign w:val="center"/>
                </w:tcPr>
                <w:p w14:paraId="02741A2E">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1108" w:type="dxa"/>
                  <w:tcBorders>
                    <w:tl2br w:val="nil"/>
                    <w:tr2bl w:val="nil"/>
                  </w:tcBorders>
                  <w:noWrap w:val="0"/>
                  <w:vAlign w:val="center"/>
                </w:tcPr>
                <w:p w14:paraId="3F1129A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p>
              </w:tc>
            </w:tr>
            <w:tr w14:paraId="76F00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2541CBEC">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年1月</w:t>
                  </w:r>
                </w:p>
              </w:tc>
              <w:tc>
                <w:tcPr>
                  <w:tcW w:w="988" w:type="dxa"/>
                  <w:tcBorders>
                    <w:tl2br w:val="nil"/>
                    <w:tr2bl w:val="nil"/>
                  </w:tcBorders>
                  <w:noWrap w:val="0"/>
                  <w:vAlign w:val="center"/>
                </w:tcPr>
                <w:p w14:paraId="395E4005">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3</w:t>
                  </w:r>
                </w:p>
              </w:tc>
              <w:tc>
                <w:tcPr>
                  <w:tcW w:w="1059" w:type="dxa"/>
                  <w:tcBorders>
                    <w:tl2br w:val="nil"/>
                    <w:tr2bl w:val="nil"/>
                  </w:tcBorders>
                  <w:noWrap w:val="0"/>
                  <w:vAlign w:val="center"/>
                </w:tcPr>
                <w:p w14:paraId="635331EC">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0.022</w:t>
                  </w:r>
                </w:p>
              </w:tc>
              <w:tc>
                <w:tcPr>
                  <w:tcW w:w="1059" w:type="dxa"/>
                  <w:tcBorders>
                    <w:tl2br w:val="nil"/>
                    <w:tr2bl w:val="nil"/>
                  </w:tcBorders>
                  <w:noWrap w:val="0"/>
                  <w:vAlign w:val="center"/>
                </w:tcPr>
                <w:p w14:paraId="3F814A89">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0.048</w:t>
                  </w:r>
                </w:p>
              </w:tc>
              <w:tc>
                <w:tcPr>
                  <w:tcW w:w="1070" w:type="dxa"/>
                  <w:tcBorders>
                    <w:tl2br w:val="nil"/>
                    <w:tr2bl w:val="nil"/>
                  </w:tcBorders>
                  <w:noWrap w:val="0"/>
                  <w:vAlign w:val="center"/>
                </w:tcPr>
                <w:p w14:paraId="5FA1901B">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0.030</w:t>
                  </w:r>
                </w:p>
              </w:tc>
              <w:tc>
                <w:tcPr>
                  <w:tcW w:w="1174" w:type="dxa"/>
                  <w:tcBorders>
                    <w:tl2br w:val="nil"/>
                    <w:tr2bl w:val="nil"/>
                  </w:tcBorders>
                  <w:noWrap w:val="0"/>
                  <w:vAlign w:val="center"/>
                </w:tcPr>
                <w:p w14:paraId="48CA431F">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9</w:t>
                  </w:r>
                </w:p>
              </w:tc>
              <w:tc>
                <w:tcPr>
                  <w:tcW w:w="1108" w:type="dxa"/>
                  <w:tcBorders>
                    <w:tl2br w:val="nil"/>
                    <w:tr2bl w:val="nil"/>
                  </w:tcBorders>
                  <w:noWrap w:val="0"/>
                  <w:vAlign w:val="center"/>
                </w:tcPr>
                <w:p w14:paraId="064ED437">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p>
              </w:tc>
            </w:tr>
            <w:tr w14:paraId="19128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4C0ED112">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年2月</w:t>
                  </w:r>
                </w:p>
              </w:tc>
              <w:tc>
                <w:tcPr>
                  <w:tcW w:w="988" w:type="dxa"/>
                  <w:tcBorders>
                    <w:tl2br w:val="nil"/>
                    <w:tr2bl w:val="nil"/>
                  </w:tcBorders>
                  <w:noWrap w:val="0"/>
                  <w:vAlign w:val="center"/>
                </w:tcPr>
                <w:p w14:paraId="3CF4331E">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0.003</w:t>
                  </w:r>
                </w:p>
              </w:tc>
              <w:tc>
                <w:tcPr>
                  <w:tcW w:w="1059" w:type="dxa"/>
                  <w:tcBorders>
                    <w:tl2br w:val="nil"/>
                    <w:tr2bl w:val="nil"/>
                  </w:tcBorders>
                  <w:noWrap w:val="0"/>
                  <w:vAlign w:val="center"/>
                </w:tcPr>
                <w:p w14:paraId="41608F49">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09</w:t>
                  </w:r>
                </w:p>
              </w:tc>
              <w:tc>
                <w:tcPr>
                  <w:tcW w:w="1059" w:type="dxa"/>
                  <w:tcBorders>
                    <w:tl2br w:val="nil"/>
                    <w:tr2bl w:val="nil"/>
                  </w:tcBorders>
                  <w:noWrap w:val="0"/>
                  <w:vAlign w:val="center"/>
                </w:tcPr>
                <w:p w14:paraId="5757DED7">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38</w:t>
                  </w:r>
                </w:p>
              </w:tc>
              <w:tc>
                <w:tcPr>
                  <w:tcW w:w="1070" w:type="dxa"/>
                  <w:tcBorders>
                    <w:tl2br w:val="nil"/>
                    <w:tr2bl w:val="nil"/>
                  </w:tcBorders>
                  <w:noWrap w:val="0"/>
                  <w:vAlign w:val="center"/>
                </w:tcPr>
                <w:p w14:paraId="0E4125CE">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23</w:t>
                  </w:r>
                </w:p>
              </w:tc>
              <w:tc>
                <w:tcPr>
                  <w:tcW w:w="1174" w:type="dxa"/>
                  <w:tcBorders>
                    <w:tl2br w:val="nil"/>
                    <w:tr2bl w:val="nil"/>
                  </w:tcBorders>
                  <w:noWrap w:val="0"/>
                  <w:vAlign w:val="center"/>
                </w:tcPr>
                <w:p w14:paraId="7BB7DB39">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1.2</w:t>
                  </w:r>
                </w:p>
              </w:tc>
              <w:tc>
                <w:tcPr>
                  <w:tcW w:w="1108" w:type="dxa"/>
                  <w:tcBorders>
                    <w:tl2br w:val="nil"/>
                    <w:tr2bl w:val="nil"/>
                  </w:tcBorders>
                  <w:noWrap w:val="0"/>
                  <w:vAlign w:val="center"/>
                </w:tcPr>
                <w:p w14:paraId="6E06FA52">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12</w:t>
                  </w:r>
                </w:p>
              </w:tc>
            </w:tr>
            <w:tr w14:paraId="1B7F1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2FC9E4F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年3月</w:t>
                  </w:r>
                </w:p>
              </w:tc>
              <w:tc>
                <w:tcPr>
                  <w:tcW w:w="988" w:type="dxa"/>
                  <w:tcBorders>
                    <w:tl2br w:val="nil"/>
                    <w:tr2bl w:val="nil"/>
                  </w:tcBorders>
                  <w:noWrap w:val="0"/>
                  <w:vAlign w:val="center"/>
                </w:tcPr>
                <w:p w14:paraId="1B7351EA">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3A06FBD5">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18</w:t>
                  </w:r>
                </w:p>
              </w:tc>
              <w:tc>
                <w:tcPr>
                  <w:tcW w:w="1059" w:type="dxa"/>
                  <w:tcBorders>
                    <w:tl2br w:val="nil"/>
                    <w:tr2bl w:val="nil"/>
                  </w:tcBorders>
                  <w:noWrap w:val="0"/>
                  <w:vAlign w:val="center"/>
                </w:tcPr>
                <w:p w14:paraId="393D62DE">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50</w:t>
                  </w:r>
                </w:p>
              </w:tc>
              <w:tc>
                <w:tcPr>
                  <w:tcW w:w="1070" w:type="dxa"/>
                  <w:tcBorders>
                    <w:tl2br w:val="nil"/>
                    <w:tr2bl w:val="nil"/>
                  </w:tcBorders>
                  <w:noWrap w:val="0"/>
                  <w:vAlign w:val="center"/>
                </w:tcPr>
                <w:p w14:paraId="54D688FE">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w:t>
                  </w:r>
                  <w:r>
                    <w:rPr>
                      <w:rFonts w:hint="eastAsia" w:cs="Times New Roman"/>
                      <w:color w:val="000000" w:themeColor="text1"/>
                      <w:lang w:val="en-US" w:eastAsia="zh-CN"/>
                      <w14:textFill>
                        <w14:solidFill>
                          <w14:schemeClr w14:val="tx1"/>
                        </w14:solidFill>
                      </w14:textFill>
                    </w:rPr>
                    <w:t>3</w:t>
                  </w:r>
                </w:p>
              </w:tc>
              <w:tc>
                <w:tcPr>
                  <w:tcW w:w="1174" w:type="dxa"/>
                  <w:tcBorders>
                    <w:tl2br w:val="nil"/>
                    <w:tr2bl w:val="nil"/>
                  </w:tcBorders>
                  <w:noWrap w:val="0"/>
                  <w:vAlign w:val="center"/>
                </w:tcPr>
                <w:p w14:paraId="78510C76">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1.0</w:t>
                  </w:r>
                </w:p>
              </w:tc>
              <w:tc>
                <w:tcPr>
                  <w:tcW w:w="1108" w:type="dxa"/>
                  <w:tcBorders>
                    <w:tl2br w:val="nil"/>
                    <w:tr2bl w:val="nil"/>
                  </w:tcBorders>
                  <w:noWrap w:val="0"/>
                  <w:vAlign w:val="center"/>
                </w:tcPr>
                <w:p w14:paraId="0B0F4BDF">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21</w:t>
                  </w:r>
                </w:p>
              </w:tc>
            </w:tr>
            <w:tr w14:paraId="1630F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7C51A4F3">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年4月</w:t>
                  </w:r>
                </w:p>
              </w:tc>
              <w:tc>
                <w:tcPr>
                  <w:tcW w:w="988" w:type="dxa"/>
                  <w:tcBorders>
                    <w:tl2br w:val="nil"/>
                    <w:tr2bl w:val="nil"/>
                  </w:tcBorders>
                  <w:noWrap w:val="0"/>
                  <w:vAlign w:val="center"/>
                </w:tcPr>
                <w:p w14:paraId="498BDF54">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3</w:t>
                  </w:r>
                </w:p>
              </w:tc>
              <w:tc>
                <w:tcPr>
                  <w:tcW w:w="1059" w:type="dxa"/>
                  <w:tcBorders>
                    <w:tl2br w:val="nil"/>
                    <w:tr2bl w:val="nil"/>
                  </w:tcBorders>
                  <w:noWrap w:val="0"/>
                  <w:vAlign w:val="center"/>
                </w:tcPr>
                <w:p w14:paraId="13997059">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6</w:t>
                  </w:r>
                </w:p>
              </w:tc>
              <w:tc>
                <w:tcPr>
                  <w:tcW w:w="1059" w:type="dxa"/>
                  <w:tcBorders>
                    <w:tl2br w:val="nil"/>
                    <w:tr2bl w:val="nil"/>
                  </w:tcBorders>
                  <w:noWrap w:val="0"/>
                  <w:vAlign w:val="center"/>
                </w:tcPr>
                <w:p w14:paraId="039F123F">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1</w:t>
                  </w:r>
                </w:p>
              </w:tc>
              <w:tc>
                <w:tcPr>
                  <w:tcW w:w="1070" w:type="dxa"/>
                  <w:tcBorders>
                    <w:tl2br w:val="nil"/>
                    <w:tr2bl w:val="nil"/>
                  </w:tcBorders>
                  <w:noWrap w:val="0"/>
                  <w:vAlign w:val="center"/>
                </w:tcPr>
                <w:p w14:paraId="397674CD">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20</w:t>
                  </w:r>
                </w:p>
              </w:tc>
              <w:tc>
                <w:tcPr>
                  <w:tcW w:w="1174" w:type="dxa"/>
                  <w:tcBorders>
                    <w:tl2br w:val="nil"/>
                    <w:tr2bl w:val="nil"/>
                  </w:tcBorders>
                  <w:noWrap w:val="0"/>
                  <w:vAlign w:val="center"/>
                </w:tcPr>
                <w:p w14:paraId="4FC4A5F8">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8</w:t>
                  </w:r>
                </w:p>
              </w:tc>
              <w:tc>
                <w:tcPr>
                  <w:tcW w:w="1108" w:type="dxa"/>
                  <w:tcBorders>
                    <w:tl2br w:val="nil"/>
                    <w:tr2bl w:val="nil"/>
                  </w:tcBorders>
                  <w:noWrap w:val="0"/>
                  <w:vAlign w:val="center"/>
                </w:tcPr>
                <w:p w14:paraId="5B809DC2">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22</w:t>
                  </w:r>
                </w:p>
              </w:tc>
            </w:tr>
            <w:tr w14:paraId="1B062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35C5D990">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年5月</w:t>
                  </w:r>
                </w:p>
              </w:tc>
              <w:tc>
                <w:tcPr>
                  <w:tcW w:w="988" w:type="dxa"/>
                  <w:tcBorders>
                    <w:tl2br w:val="nil"/>
                    <w:tr2bl w:val="nil"/>
                  </w:tcBorders>
                  <w:noWrap w:val="0"/>
                  <w:vAlign w:val="center"/>
                </w:tcPr>
                <w:p w14:paraId="32A9C3CD">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5121D7E4">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1</w:t>
                  </w:r>
                </w:p>
              </w:tc>
              <w:tc>
                <w:tcPr>
                  <w:tcW w:w="1059" w:type="dxa"/>
                  <w:tcBorders>
                    <w:tl2br w:val="nil"/>
                    <w:tr2bl w:val="nil"/>
                  </w:tcBorders>
                  <w:noWrap w:val="0"/>
                  <w:vAlign w:val="center"/>
                </w:tcPr>
                <w:p w14:paraId="29A47206">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28</w:t>
                  </w:r>
                </w:p>
              </w:tc>
              <w:tc>
                <w:tcPr>
                  <w:tcW w:w="1070" w:type="dxa"/>
                  <w:tcBorders>
                    <w:tl2br w:val="nil"/>
                    <w:tr2bl w:val="nil"/>
                  </w:tcBorders>
                  <w:noWrap w:val="0"/>
                  <w:vAlign w:val="center"/>
                </w:tcPr>
                <w:p w14:paraId="3AE394BA">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3</w:t>
                  </w:r>
                </w:p>
              </w:tc>
              <w:tc>
                <w:tcPr>
                  <w:tcW w:w="1174" w:type="dxa"/>
                  <w:tcBorders>
                    <w:tl2br w:val="nil"/>
                    <w:tr2bl w:val="nil"/>
                  </w:tcBorders>
                  <w:noWrap w:val="0"/>
                  <w:vAlign w:val="center"/>
                </w:tcPr>
                <w:p w14:paraId="1025597C">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6</w:t>
                  </w:r>
                </w:p>
              </w:tc>
              <w:tc>
                <w:tcPr>
                  <w:tcW w:w="1108" w:type="dxa"/>
                  <w:tcBorders>
                    <w:tl2br w:val="nil"/>
                    <w:tr2bl w:val="nil"/>
                  </w:tcBorders>
                  <w:noWrap w:val="0"/>
                  <w:vAlign w:val="center"/>
                </w:tcPr>
                <w:p w14:paraId="79BE04AD">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default"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0</w:t>
                  </w:r>
                </w:p>
              </w:tc>
            </w:tr>
            <w:tr w14:paraId="69200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33D342F4">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年6月</w:t>
                  </w:r>
                </w:p>
              </w:tc>
              <w:tc>
                <w:tcPr>
                  <w:tcW w:w="988" w:type="dxa"/>
                  <w:tcBorders>
                    <w:tl2br w:val="nil"/>
                    <w:tr2bl w:val="nil"/>
                  </w:tcBorders>
                  <w:noWrap w:val="0"/>
                  <w:vAlign w:val="center"/>
                </w:tcPr>
                <w:p w14:paraId="610B9ED4">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0.002</w:t>
                  </w:r>
                </w:p>
              </w:tc>
              <w:tc>
                <w:tcPr>
                  <w:tcW w:w="1059" w:type="dxa"/>
                  <w:tcBorders>
                    <w:tl2br w:val="nil"/>
                    <w:tr2bl w:val="nil"/>
                  </w:tcBorders>
                  <w:noWrap w:val="0"/>
                  <w:vAlign w:val="center"/>
                </w:tcPr>
                <w:p w14:paraId="4DF23198">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0</w:t>
                  </w:r>
                </w:p>
              </w:tc>
              <w:tc>
                <w:tcPr>
                  <w:tcW w:w="1059" w:type="dxa"/>
                  <w:tcBorders>
                    <w:tl2br w:val="nil"/>
                    <w:tr2bl w:val="nil"/>
                  </w:tcBorders>
                  <w:noWrap w:val="0"/>
                  <w:vAlign w:val="center"/>
                </w:tcPr>
                <w:p w14:paraId="434D9A78">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2</w:t>
                  </w:r>
                </w:p>
              </w:tc>
              <w:tc>
                <w:tcPr>
                  <w:tcW w:w="1070" w:type="dxa"/>
                  <w:tcBorders>
                    <w:tl2br w:val="nil"/>
                    <w:tr2bl w:val="nil"/>
                  </w:tcBorders>
                  <w:noWrap w:val="0"/>
                  <w:vAlign w:val="center"/>
                </w:tcPr>
                <w:p w14:paraId="0F19A4B6">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w:t>
                  </w:r>
                </w:p>
              </w:tc>
              <w:tc>
                <w:tcPr>
                  <w:tcW w:w="1174" w:type="dxa"/>
                  <w:tcBorders>
                    <w:tl2br w:val="nil"/>
                    <w:tr2bl w:val="nil"/>
                  </w:tcBorders>
                  <w:noWrap w:val="0"/>
                  <w:vAlign w:val="center"/>
                </w:tcPr>
                <w:p w14:paraId="4EBE3FA4">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6</w:t>
                  </w:r>
                </w:p>
              </w:tc>
              <w:tc>
                <w:tcPr>
                  <w:tcW w:w="1108" w:type="dxa"/>
                  <w:tcBorders>
                    <w:tl2br w:val="nil"/>
                    <w:tr2bl w:val="nil"/>
                  </w:tcBorders>
                  <w:noWrap w:val="0"/>
                  <w:vAlign w:val="center"/>
                </w:tcPr>
                <w:p w14:paraId="49D7AA21">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12</w:t>
                  </w:r>
                </w:p>
              </w:tc>
            </w:tr>
            <w:tr w14:paraId="32360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4401D66F">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年7月</w:t>
                  </w:r>
                </w:p>
              </w:tc>
              <w:tc>
                <w:tcPr>
                  <w:tcW w:w="988" w:type="dxa"/>
                  <w:tcBorders>
                    <w:tl2br w:val="nil"/>
                    <w:tr2bl w:val="nil"/>
                  </w:tcBorders>
                  <w:noWrap w:val="0"/>
                  <w:vAlign w:val="center"/>
                </w:tcPr>
                <w:p w14:paraId="53C2A181">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1A61767F">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08</w:t>
                  </w:r>
                </w:p>
              </w:tc>
              <w:tc>
                <w:tcPr>
                  <w:tcW w:w="1059" w:type="dxa"/>
                  <w:tcBorders>
                    <w:tl2br w:val="nil"/>
                    <w:tr2bl w:val="nil"/>
                  </w:tcBorders>
                  <w:noWrap w:val="0"/>
                  <w:vAlign w:val="center"/>
                </w:tcPr>
                <w:p w14:paraId="3E164121">
                  <w:pPr>
                    <w:pStyle w:val="41"/>
                    <w:bidi w:val="0"/>
                    <w:ind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w:t>
                  </w:r>
                  <w:r>
                    <w:rPr>
                      <w:rFonts w:hint="eastAsia" w:cs="Times New Roman"/>
                      <w:color w:val="000000" w:themeColor="text1"/>
                      <w:lang w:val="en-US" w:eastAsia="zh-CN"/>
                      <w14:textFill>
                        <w14:solidFill>
                          <w14:schemeClr w14:val="tx1"/>
                        </w14:solidFill>
                      </w14:textFill>
                    </w:rPr>
                    <w:t>0</w:t>
                  </w:r>
                </w:p>
              </w:tc>
              <w:tc>
                <w:tcPr>
                  <w:tcW w:w="1070" w:type="dxa"/>
                  <w:tcBorders>
                    <w:tl2br w:val="nil"/>
                    <w:tr2bl w:val="nil"/>
                  </w:tcBorders>
                  <w:noWrap w:val="0"/>
                  <w:vAlign w:val="center"/>
                </w:tcPr>
                <w:p w14:paraId="2467200A">
                  <w:pPr>
                    <w:pStyle w:val="41"/>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09</w:t>
                  </w:r>
                </w:p>
              </w:tc>
              <w:tc>
                <w:tcPr>
                  <w:tcW w:w="1174" w:type="dxa"/>
                  <w:tcBorders>
                    <w:tl2br w:val="nil"/>
                    <w:tr2bl w:val="nil"/>
                  </w:tcBorders>
                  <w:noWrap w:val="0"/>
                  <w:vAlign w:val="center"/>
                </w:tcPr>
                <w:p w14:paraId="01CA9A83">
                  <w:pPr>
                    <w:pStyle w:val="41"/>
                    <w:bidi w:val="0"/>
                    <w:ind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4</w:t>
                  </w:r>
                </w:p>
              </w:tc>
              <w:tc>
                <w:tcPr>
                  <w:tcW w:w="1108" w:type="dxa"/>
                  <w:tcBorders>
                    <w:tl2br w:val="nil"/>
                    <w:tr2bl w:val="nil"/>
                  </w:tcBorders>
                  <w:noWrap w:val="0"/>
                  <w:vAlign w:val="center"/>
                </w:tcPr>
                <w:p w14:paraId="1FDBE0F7">
                  <w:pPr>
                    <w:pStyle w:val="41"/>
                    <w:bidi w:val="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08</w:t>
                  </w:r>
                </w:p>
              </w:tc>
            </w:tr>
            <w:tr w14:paraId="02457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6F48923B">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年8月</w:t>
                  </w:r>
                </w:p>
              </w:tc>
              <w:tc>
                <w:tcPr>
                  <w:tcW w:w="988" w:type="dxa"/>
                  <w:tcBorders>
                    <w:tl2br w:val="nil"/>
                    <w:tr2bl w:val="nil"/>
                  </w:tcBorders>
                  <w:noWrap w:val="0"/>
                  <w:vAlign w:val="center"/>
                </w:tcPr>
                <w:p w14:paraId="6B91F81A">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4</w:t>
                  </w:r>
                </w:p>
              </w:tc>
              <w:tc>
                <w:tcPr>
                  <w:tcW w:w="1059" w:type="dxa"/>
                  <w:tcBorders>
                    <w:tl2br w:val="nil"/>
                    <w:tr2bl w:val="nil"/>
                  </w:tcBorders>
                  <w:noWrap w:val="0"/>
                  <w:vAlign w:val="center"/>
                </w:tcPr>
                <w:p w14:paraId="33DF5FE4">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09</w:t>
                  </w:r>
                </w:p>
              </w:tc>
              <w:tc>
                <w:tcPr>
                  <w:tcW w:w="1059" w:type="dxa"/>
                  <w:tcBorders>
                    <w:tl2br w:val="nil"/>
                    <w:tr2bl w:val="nil"/>
                  </w:tcBorders>
                  <w:noWrap w:val="0"/>
                  <w:vAlign w:val="center"/>
                </w:tcPr>
                <w:p w14:paraId="00E7F653">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32</w:t>
                  </w:r>
                </w:p>
              </w:tc>
              <w:tc>
                <w:tcPr>
                  <w:tcW w:w="1070" w:type="dxa"/>
                  <w:tcBorders>
                    <w:tl2br w:val="nil"/>
                    <w:tr2bl w:val="nil"/>
                  </w:tcBorders>
                  <w:noWrap w:val="0"/>
                  <w:vAlign w:val="center"/>
                </w:tcPr>
                <w:p w14:paraId="0DB2B2B9">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7</w:t>
                  </w:r>
                </w:p>
              </w:tc>
              <w:tc>
                <w:tcPr>
                  <w:tcW w:w="1174" w:type="dxa"/>
                  <w:tcBorders>
                    <w:tl2br w:val="nil"/>
                    <w:tr2bl w:val="nil"/>
                  </w:tcBorders>
                  <w:noWrap w:val="0"/>
                  <w:vAlign w:val="center"/>
                </w:tcPr>
                <w:p w14:paraId="488CD3EB">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5</w:t>
                  </w:r>
                </w:p>
              </w:tc>
              <w:tc>
                <w:tcPr>
                  <w:tcW w:w="1108" w:type="dxa"/>
                  <w:tcBorders>
                    <w:tl2br w:val="nil"/>
                    <w:tr2bl w:val="nil"/>
                  </w:tcBorders>
                  <w:noWrap w:val="0"/>
                  <w:vAlign w:val="center"/>
                </w:tcPr>
                <w:p w14:paraId="0E8995BE">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w:t>
                  </w:r>
                </w:p>
              </w:tc>
            </w:tr>
            <w:tr w14:paraId="6D55F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4FBAE172">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年9月</w:t>
                  </w:r>
                </w:p>
              </w:tc>
              <w:tc>
                <w:tcPr>
                  <w:tcW w:w="988" w:type="dxa"/>
                  <w:tcBorders>
                    <w:tl2br w:val="nil"/>
                    <w:tr2bl w:val="nil"/>
                  </w:tcBorders>
                  <w:noWrap w:val="0"/>
                  <w:vAlign w:val="center"/>
                </w:tcPr>
                <w:p w14:paraId="5C10D229">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4445273B">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07</w:t>
                  </w:r>
                </w:p>
              </w:tc>
              <w:tc>
                <w:tcPr>
                  <w:tcW w:w="1059" w:type="dxa"/>
                  <w:tcBorders>
                    <w:tl2br w:val="nil"/>
                    <w:tr2bl w:val="nil"/>
                  </w:tcBorders>
                  <w:noWrap w:val="0"/>
                  <w:vAlign w:val="center"/>
                </w:tcPr>
                <w:p w14:paraId="09EC7317">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0</w:t>
                  </w:r>
                </w:p>
              </w:tc>
              <w:tc>
                <w:tcPr>
                  <w:tcW w:w="1070" w:type="dxa"/>
                  <w:tcBorders>
                    <w:tl2br w:val="nil"/>
                    <w:tr2bl w:val="nil"/>
                  </w:tcBorders>
                  <w:noWrap w:val="0"/>
                  <w:vAlign w:val="center"/>
                </w:tcPr>
                <w:p w14:paraId="3CA6AB1C">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0</w:t>
                  </w:r>
                </w:p>
              </w:tc>
              <w:tc>
                <w:tcPr>
                  <w:tcW w:w="1174" w:type="dxa"/>
                  <w:tcBorders>
                    <w:tl2br w:val="nil"/>
                    <w:tr2bl w:val="nil"/>
                  </w:tcBorders>
                  <w:noWrap w:val="0"/>
                  <w:vAlign w:val="center"/>
                </w:tcPr>
                <w:p w14:paraId="0E63119A">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4</w:t>
                  </w:r>
                </w:p>
              </w:tc>
              <w:tc>
                <w:tcPr>
                  <w:tcW w:w="1108" w:type="dxa"/>
                  <w:tcBorders>
                    <w:tl2br w:val="nil"/>
                    <w:tr2bl w:val="nil"/>
                  </w:tcBorders>
                  <w:noWrap w:val="0"/>
                  <w:vAlign w:val="center"/>
                </w:tcPr>
                <w:p w14:paraId="4DEB7FDE">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090</w:t>
                  </w:r>
                </w:p>
              </w:tc>
            </w:tr>
            <w:tr w14:paraId="69EF1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45E8FC47">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年10月</w:t>
                  </w:r>
                </w:p>
              </w:tc>
              <w:tc>
                <w:tcPr>
                  <w:tcW w:w="988" w:type="dxa"/>
                  <w:tcBorders>
                    <w:tl2br w:val="nil"/>
                    <w:tr2bl w:val="nil"/>
                  </w:tcBorders>
                  <w:noWrap w:val="0"/>
                  <w:vAlign w:val="center"/>
                </w:tcPr>
                <w:p w14:paraId="38FD54BB">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303B7218">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5</w:t>
                  </w:r>
                </w:p>
              </w:tc>
              <w:tc>
                <w:tcPr>
                  <w:tcW w:w="1059" w:type="dxa"/>
                  <w:tcBorders>
                    <w:tl2br w:val="nil"/>
                    <w:tr2bl w:val="nil"/>
                  </w:tcBorders>
                  <w:noWrap w:val="0"/>
                  <w:vAlign w:val="center"/>
                </w:tcPr>
                <w:p w14:paraId="3CEBE080">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w:t>
                  </w:r>
                  <w:r>
                    <w:rPr>
                      <w:rFonts w:hint="eastAsia" w:cs="Times New Roman"/>
                      <w:color w:val="000000" w:themeColor="text1"/>
                      <w:lang w:val="en-US" w:eastAsia="zh-CN"/>
                      <w14:textFill>
                        <w14:solidFill>
                          <w14:schemeClr w14:val="tx1"/>
                        </w14:solidFill>
                      </w14:textFill>
                    </w:rPr>
                    <w:t>2</w:t>
                  </w:r>
                </w:p>
              </w:tc>
              <w:tc>
                <w:tcPr>
                  <w:tcW w:w="1070" w:type="dxa"/>
                  <w:tcBorders>
                    <w:tl2br w:val="nil"/>
                    <w:tr2bl w:val="nil"/>
                  </w:tcBorders>
                  <w:noWrap w:val="0"/>
                  <w:vAlign w:val="center"/>
                </w:tcPr>
                <w:p w14:paraId="0E46665B">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3</w:t>
                  </w:r>
                </w:p>
              </w:tc>
              <w:tc>
                <w:tcPr>
                  <w:tcW w:w="1174" w:type="dxa"/>
                  <w:tcBorders>
                    <w:tl2br w:val="nil"/>
                    <w:tr2bl w:val="nil"/>
                  </w:tcBorders>
                  <w:noWrap w:val="0"/>
                  <w:vAlign w:val="center"/>
                </w:tcPr>
                <w:p w14:paraId="5A41B3EE">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4</w:t>
                  </w:r>
                </w:p>
              </w:tc>
              <w:tc>
                <w:tcPr>
                  <w:tcW w:w="1108" w:type="dxa"/>
                  <w:tcBorders>
                    <w:tl2br w:val="nil"/>
                    <w:tr2bl w:val="nil"/>
                  </w:tcBorders>
                  <w:noWrap w:val="0"/>
                  <w:vAlign w:val="center"/>
                </w:tcPr>
                <w:p w14:paraId="06281965">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r>
                    <w:rPr>
                      <w:rFonts w:hint="eastAsia" w:cs="Times New Roman"/>
                      <w:color w:val="000000" w:themeColor="text1"/>
                      <w:lang w:val="en-US" w:eastAsia="zh-CN"/>
                      <w14:textFill>
                        <w14:solidFill>
                          <w14:schemeClr w14:val="tx1"/>
                        </w14:solidFill>
                      </w14:textFill>
                    </w:rPr>
                    <w:t>06</w:t>
                  </w:r>
                </w:p>
              </w:tc>
            </w:tr>
            <w:tr w14:paraId="664CC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30ACB95F">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年11月</w:t>
                  </w:r>
                </w:p>
              </w:tc>
              <w:tc>
                <w:tcPr>
                  <w:tcW w:w="988" w:type="dxa"/>
                  <w:tcBorders>
                    <w:tl2br w:val="nil"/>
                    <w:tr2bl w:val="nil"/>
                  </w:tcBorders>
                  <w:noWrap w:val="0"/>
                  <w:vAlign w:val="center"/>
                </w:tcPr>
                <w:p w14:paraId="1E236029">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2F99D2B5">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8</w:t>
                  </w:r>
                </w:p>
              </w:tc>
              <w:tc>
                <w:tcPr>
                  <w:tcW w:w="1059" w:type="dxa"/>
                  <w:tcBorders>
                    <w:tl2br w:val="nil"/>
                    <w:tr2bl w:val="nil"/>
                  </w:tcBorders>
                  <w:noWrap w:val="0"/>
                  <w:vAlign w:val="center"/>
                </w:tcPr>
                <w:p w14:paraId="37CDDA73">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23</w:t>
                  </w:r>
                </w:p>
              </w:tc>
              <w:tc>
                <w:tcPr>
                  <w:tcW w:w="1070" w:type="dxa"/>
                  <w:tcBorders>
                    <w:tl2br w:val="nil"/>
                    <w:tr2bl w:val="nil"/>
                  </w:tcBorders>
                  <w:noWrap w:val="0"/>
                  <w:vAlign w:val="center"/>
                </w:tcPr>
                <w:p w14:paraId="2308B0EE">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2</w:t>
                  </w:r>
                </w:p>
              </w:tc>
              <w:tc>
                <w:tcPr>
                  <w:tcW w:w="1174" w:type="dxa"/>
                  <w:tcBorders>
                    <w:tl2br w:val="nil"/>
                    <w:tr2bl w:val="nil"/>
                  </w:tcBorders>
                  <w:noWrap w:val="0"/>
                  <w:vAlign w:val="center"/>
                </w:tcPr>
                <w:p w14:paraId="018061E2">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4</w:t>
                  </w:r>
                </w:p>
              </w:tc>
              <w:tc>
                <w:tcPr>
                  <w:tcW w:w="1108" w:type="dxa"/>
                  <w:tcBorders>
                    <w:tl2br w:val="nil"/>
                    <w:tr2bl w:val="nil"/>
                  </w:tcBorders>
                  <w:noWrap w:val="0"/>
                  <w:vAlign w:val="center"/>
                </w:tcPr>
                <w:p w14:paraId="5C171F1A">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0</w:t>
                  </w:r>
                </w:p>
              </w:tc>
            </w:tr>
            <w:tr w14:paraId="5ED07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368DB856">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年12月</w:t>
                  </w:r>
                </w:p>
              </w:tc>
              <w:tc>
                <w:tcPr>
                  <w:tcW w:w="988" w:type="dxa"/>
                  <w:tcBorders>
                    <w:tl2br w:val="nil"/>
                    <w:tr2bl w:val="nil"/>
                  </w:tcBorders>
                  <w:noWrap w:val="0"/>
                  <w:vAlign w:val="center"/>
                </w:tcPr>
                <w:p w14:paraId="55D412CC">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2</w:t>
                  </w:r>
                </w:p>
              </w:tc>
              <w:tc>
                <w:tcPr>
                  <w:tcW w:w="1059" w:type="dxa"/>
                  <w:tcBorders>
                    <w:tl2br w:val="nil"/>
                    <w:tr2bl w:val="nil"/>
                  </w:tcBorders>
                  <w:noWrap w:val="0"/>
                  <w:vAlign w:val="center"/>
                </w:tcPr>
                <w:p w14:paraId="4377E391">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4</w:t>
                  </w:r>
                </w:p>
              </w:tc>
              <w:tc>
                <w:tcPr>
                  <w:tcW w:w="1059" w:type="dxa"/>
                  <w:tcBorders>
                    <w:tl2br w:val="nil"/>
                    <w:tr2bl w:val="nil"/>
                  </w:tcBorders>
                  <w:noWrap w:val="0"/>
                  <w:vAlign w:val="center"/>
                </w:tcPr>
                <w:p w14:paraId="4877AC7F">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6</w:t>
                  </w:r>
                </w:p>
              </w:tc>
              <w:tc>
                <w:tcPr>
                  <w:tcW w:w="1070" w:type="dxa"/>
                  <w:tcBorders>
                    <w:tl2br w:val="nil"/>
                    <w:tr2bl w:val="nil"/>
                  </w:tcBorders>
                  <w:noWrap w:val="0"/>
                  <w:vAlign w:val="center"/>
                </w:tcPr>
                <w:p w14:paraId="09F4C2BA">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r>
                    <w:rPr>
                      <w:rFonts w:hint="eastAsia" w:cs="Times New Roman"/>
                      <w:color w:val="000000" w:themeColor="text1"/>
                      <w:lang w:val="en-US" w:eastAsia="zh-CN"/>
                      <w14:textFill>
                        <w14:solidFill>
                          <w14:schemeClr w14:val="tx1"/>
                        </w14:solidFill>
                      </w14:textFill>
                    </w:rPr>
                    <w:t>9</w:t>
                  </w:r>
                </w:p>
              </w:tc>
              <w:tc>
                <w:tcPr>
                  <w:tcW w:w="1174" w:type="dxa"/>
                  <w:tcBorders>
                    <w:tl2br w:val="nil"/>
                    <w:tr2bl w:val="nil"/>
                  </w:tcBorders>
                  <w:noWrap w:val="0"/>
                  <w:vAlign w:val="center"/>
                </w:tcPr>
                <w:p w14:paraId="1414977B">
                  <w:pPr>
                    <w:pStyle w:val="41"/>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6</w:t>
                  </w:r>
                </w:p>
              </w:tc>
              <w:tc>
                <w:tcPr>
                  <w:tcW w:w="1108" w:type="dxa"/>
                  <w:tcBorders>
                    <w:tl2br w:val="nil"/>
                    <w:tr2bl w:val="nil"/>
                  </w:tcBorders>
                  <w:noWrap w:val="0"/>
                  <w:vAlign w:val="center"/>
                </w:tcPr>
                <w:p w14:paraId="0BB2A74E">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04</w:t>
                  </w:r>
                </w:p>
              </w:tc>
            </w:tr>
            <w:tr w14:paraId="2D833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7A84894F">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国家二级标准</w:t>
                  </w:r>
                </w:p>
              </w:tc>
              <w:tc>
                <w:tcPr>
                  <w:tcW w:w="988" w:type="dxa"/>
                  <w:tcBorders>
                    <w:tl2br w:val="nil"/>
                    <w:tr2bl w:val="nil"/>
                  </w:tcBorders>
                  <w:noWrap w:val="0"/>
                  <w:vAlign w:val="center"/>
                </w:tcPr>
                <w:p w14:paraId="7D20BAE1">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0.06</w:t>
                  </w:r>
                </w:p>
              </w:tc>
              <w:tc>
                <w:tcPr>
                  <w:tcW w:w="1059" w:type="dxa"/>
                  <w:tcBorders>
                    <w:tl2br w:val="nil"/>
                    <w:tr2bl w:val="nil"/>
                  </w:tcBorders>
                  <w:noWrap w:val="0"/>
                  <w:vAlign w:val="center"/>
                </w:tcPr>
                <w:p w14:paraId="34C74B47">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0.04</w:t>
                  </w:r>
                </w:p>
              </w:tc>
              <w:tc>
                <w:tcPr>
                  <w:tcW w:w="1059" w:type="dxa"/>
                  <w:tcBorders>
                    <w:tl2br w:val="nil"/>
                    <w:tr2bl w:val="nil"/>
                  </w:tcBorders>
                  <w:noWrap w:val="0"/>
                  <w:vAlign w:val="center"/>
                </w:tcPr>
                <w:p w14:paraId="00B4576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0.07</w:t>
                  </w:r>
                </w:p>
              </w:tc>
              <w:tc>
                <w:tcPr>
                  <w:tcW w:w="1070" w:type="dxa"/>
                  <w:tcBorders>
                    <w:tl2br w:val="nil"/>
                    <w:tr2bl w:val="nil"/>
                  </w:tcBorders>
                  <w:noWrap w:val="0"/>
                  <w:vAlign w:val="center"/>
                </w:tcPr>
                <w:p w14:paraId="1E31DA63">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0.035</w:t>
                  </w:r>
                </w:p>
              </w:tc>
              <w:tc>
                <w:tcPr>
                  <w:tcW w:w="1174" w:type="dxa"/>
                  <w:tcBorders>
                    <w:tl2br w:val="nil"/>
                    <w:tr2bl w:val="nil"/>
                  </w:tcBorders>
                  <w:noWrap w:val="0"/>
                  <w:vAlign w:val="center"/>
                </w:tcPr>
                <w:p w14:paraId="577CB750">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108" w:type="dxa"/>
                  <w:tcBorders>
                    <w:tl2br w:val="nil"/>
                    <w:tr2bl w:val="nil"/>
                  </w:tcBorders>
                  <w:noWrap w:val="0"/>
                  <w:vAlign w:val="center"/>
                </w:tcPr>
                <w:p w14:paraId="0CD6D375">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0.16</w:t>
                  </w:r>
                </w:p>
              </w:tc>
            </w:tr>
            <w:tr w14:paraId="2FB20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26" w:type="dxa"/>
                  <w:tcBorders>
                    <w:tl2br w:val="nil"/>
                    <w:tr2bl w:val="nil"/>
                  </w:tcBorders>
                  <w:noWrap w:val="0"/>
                  <w:vAlign w:val="center"/>
                </w:tcPr>
                <w:p w14:paraId="0D6501D9">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达标情况</w:t>
                  </w:r>
                </w:p>
              </w:tc>
              <w:tc>
                <w:tcPr>
                  <w:tcW w:w="6458" w:type="dxa"/>
                  <w:gridSpan w:val="6"/>
                  <w:tcBorders>
                    <w:tl2br w:val="nil"/>
                    <w:tr2bl w:val="nil"/>
                  </w:tcBorders>
                  <w:noWrap w:val="0"/>
                  <w:vAlign w:val="center"/>
                </w:tcPr>
                <w:p w14:paraId="12BC37DD">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14:paraId="472F7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84" w:type="dxa"/>
                  <w:gridSpan w:val="7"/>
                  <w:tcBorders>
                    <w:tl2br w:val="nil"/>
                    <w:tr2bl w:val="nil"/>
                  </w:tcBorders>
                  <w:noWrap w:val="0"/>
                  <w:vAlign w:val="center"/>
                </w:tcPr>
                <w:p w14:paraId="3C23E635">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注：CO为日均值第95百分位数，O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为日最大8小时值第90百分位数。</w:t>
                  </w:r>
                </w:p>
              </w:tc>
            </w:tr>
          </w:tbl>
          <w:p w14:paraId="59547789">
            <w:pPr>
              <w:pStyle w:val="43"/>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由上表可知，福清市202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年1月</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12月份，空气环境中SO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和PM</w:t>
            </w:r>
            <w:r>
              <w:rPr>
                <w:rFonts w:hint="default" w:ascii="Times New Roman" w:hAnsi="Times New Roman" w:cs="Times New Roman"/>
                <w:color w:val="000000" w:themeColor="text1"/>
                <w:vertAlign w:val="subscript"/>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均未超过国家二级标准，CO日均值第95百分数和O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最大8小时值第90百分数未超过国家二级标准</w:t>
            </w:r>
            <w:r>
              <w:rPr>
                <w:rFonts w:hint="eastAsia" w:cs="Times New Roman"/>
                <w:color w:val="000000" w:themeColor="text1"/>
                <w:lang w:eastAsia="zh-CN"/>
                <w14:textFill>
                  <w14:solidFill>
                    <w14:schemeClr w14:val="tx1"/>
                  </w14:solidFill>
                </w14:textFill>
              </w:rPr>
              <w:t>。</w:t>
            </w:r>
          </w:p>
          <w:p w14:paraId="0562ED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(2)其他</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污染因子</w:t>
            </w:r>
          </w:p>
          <w:p w14:paraId="649DDBDF">
            <w:pPr>
              <w:pStyle w:val="3"/>
              <w:keepNext/>
              <w:keepLines/>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涉密删除!</w:t>
            </w:r>
          </w:p>
          <w:p w14:paraId="27DFE48C">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 地表水环境质量现状</w:t>
            </w:r>
          </w:p>
          <w:p w14:paraId="507B1F62">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3.2.1 地表水质量功能区划</w:t>
            </w:r>
          </w:p>
          <w:p w14:paraId="02ED67BF">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本项目周边水系为太城溪。根据《福建省关于调整福清市东张水库饮用水源保护区的批复》</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闽政文〔2014〕315号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，太城溪不再属于饮用水源二级保护区，水质仍执行</w:t>
            </w:r>
            <w:r>
              <w:rPr>
                <w:rFonts w:hint="eastAsia" w:cs="Times New Roman"/>
                <w:color w:val="000000" w:themeColor="text1"/>
                <w:lang w:val="en-US" w:eastAsia="zh-CN"/>
                <w14:textFill>
                  <w14:solidFill>
                    <w14:schemeClr w14:val="tx1"/>
                  </w14:solidFill>
                </w14:textFill>
              </w:rPr>
              <w:t>Ⅲ类</w:t>
            </w:r>
            <w:r>
              <w:rPr>
                <w:rFonts w:hint="default" w:ascii="Times New Roman" w:hAnsi="Times New Roman" w:cs="Times New Roman"/>
                <w:color w:val="000000" w:themeColor="text1"/>
                <w:lang w:val="en-US" w:eastAsia="zh-CN"/>
                <w14:textFill>
                  <w14:solidFill>
                    <w14:schemeClr w14:val="tx1"/>
                  </w14:solidFill>
                </w14:textFill>
              </w:rPr>
              <w:t>标准。甘厝口下游的太城溪河段水质标准执行Ⅳ类水质标准。</w:t>
            </w:r>
          </w:p>
          <w:p w14:paraId="2D1D96B6">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无</w:t>
            </w:r>
            <w:r>
              <w:rPr>
                <w:rFonts w:hint="default" w:ascii="Times New Roman" w:hAnsi="Times New Roman" w:cs="Times New Roman"/>
                <w:color w:val="000000" w:themeColor="text1"/>
                <w:lang w:val="en-US" w:eastAsia="zh-CN"/>
                <w14:textFill>
                  <w14:solidFill>
                    <w14:schemeClr w14:val="tx1"/>
                  </w14:solidFill>
                </w14:textFill>
              </w:rPr>
              <w:t>生产废水</w:t>
            </w:r>
            <w:r>
              <w:rPr>
                <w:rFonts w:hint="eastAsia" w:cs="Times New Roman"/>
                <w:color w:val="000000" w:themeColor="text1"/>
                <w:lang w:val="en-US" w:eastAsia="zh-CN"/>
                <w14:textFill>
                  <w14:solidFill>
                    <w14:schemeClr w14:val="tx1"/>
                  </w14:solidFill>
                </w14:textFill>
              </w:rPr>
              <w:t>外排，</w:t>
            </w:r>
            <w:r>
              <w:rPr>
                <w:rFonts w:hint="default" w:ascii="Times New Roman" w:hAnsi="Times New Roman" w:cs="Times New Roman"/>
                <w:color w:val="000000" w:themeColor="text1"/>
                <w:lang w:val="en-US" w:eastAsia="zh-CN"/>
                <w14:textFill>
                  <w14:solidFill>
                    <w14:schemeClr w14:val="tx1"/>
                  </w14:solidFill>
                </w14:textFill>
              </w:rPr>
              <w:t>生活污水经化粪池预处理后排入市政污水管网送往福清市第二污水处理厂集中处理，污水处理厂尾水排入龙江，所处龙江“南门桥水闸至龙江入海口”断面；根据福州市水功能区划批复</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榕政综〔2019〕316号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批准的《福州市水功能区划》，该断面水体主要功能为农业、工业、景观用水，环境功能类别为Ⅴ类，水质执行《地表水环境质量标准》(GB3838-2002)中Ⅴ类水质标准；具体详见表3.2-1。</w:t>
            </w:r>
          </w:p>
          <w:p w14:paraId="1E3263A0">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表3.2-1</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《地表水环境质量标准》(GB3838-2002)表1(摘录)</w:t>
            </w:r>
          </w:p>
          <w:p w14:paraId="683601F8">
            <w:pPr>
              <w:pStyle w:val="56"/>
              <w:bidi w:val="0"/>
              <w:jc w:val="righ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单位：mg/L(pH除外)</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2877"/>
              <w:gridCol w:w="2169"/>
              <w:gridCol w:w="1104"/>
              <w:gridCol w:w="1104"/>
              <w:gridCol w:w="1119"/>
            </w:tblGrid>
            <w:tr w14:paraId="666CAD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3E843F3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295" w:type="pct"/>
                  <w:shd w:val="clear" w:color="auto" w:fill="auto"/>
                  <w:noWrap w:val="0"/>
                  <w:vAlign w:val="center"/>
                </w:tcPr>
                <w:p w14:paraId="08CF389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Ⅱ类</w:t>
                  </w:r>
                </w:p>
              </w:tc>
              <w:tc>
                <w:tcPr>
                  <w:tcW w:w="659" w:type="pct"/>
                  <w:shd w:val="clear" w:color="auto" w:fill="auto"/>
                  <w:noWrap w:val="0"/>
                  <w:vAlign w:val="center"/>
                </w:tcPr>
                <w:p w14:paraId="44D1809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Ⅲ类</w:t>
                  </w:r>
                </w:p>
              </w:tc>
              <w:tc>
                <w:tcPr>
                  <w:tcW w:w="659" w:type="pct"/>
                  <w:shd w:val="clear" w:color="auto" w:fill="D7D7D7"/>
                  <w:noWrap w:val="0"/>
                  <w:vAlign w:val="center"/>
                </w:tcPr>
                <w:p w14:paraId="26F16C20">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Ⅳ类</w:t>
                  </w:r>
                </w:p>
              </w:tc>
              <w:tc>
                <w:tcPr>
                  <w:tcW w:w="667" w:type="pct"/>
                  <w:shd w:val="clear" w:color="auto" w:fill="D7D7D7"/>
                  <w:noWrap w:val="0"/>
                  <w:vAlign w:val="center"/>
                </w:tcPr>
                <w:p w14:paraId="5938796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Ⅴ类</w:t>
                  </w:r>
                </w:p>
              </w:tc>
            </w:tr>
            <w:tr w14:paraId="3440D8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185B0DA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pH(无量纲)</w:t>
                  </w:r>
                </w:p>
              </w:tc>
              <w:tc>
                <w:tcPr>
                  <w:tcW w:w="3281" w:type="pct"/>
                  <w:gridSpan w:val="4"/>
                  <w:shd w:val="clear" w:color="auto" w:fill="D7D7D7"/>
                  <w:noWrap w:val="0"/>
                  <w:vAlign w:val="center"/>
                </w:tcPr>
                <w:p w14:paraId="5856A6EA">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9</w:t>
                  </w:r>
                </w:p>
              </w:tc>
            </w:tr>
            <w:tr w14:paraId="23B864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26436AF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溶解氧(DO)  ≥</w:t>
                  </w:r>
                </w:p>
              </w:tc>
              <w:tc>
                <w:tcPr>
                  <w:tcW w:w="1295" w:type="pct"/>
                  <w:shd w:val="clear" w:color="auto" w:fill="auto"/>
                  <w:noWrap w:val="0"/>
                  <w:vAlign w:val="center"/>
                </w:tcPr>
                <w:p w14:paraId="6951066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659" w:type="pct"/>
                  <w:shd w:val="clear" w:color="auto" w:fill="auto"/>
                  <w:noWrap w:val="0"/>
                  <w:vAlign w:val="center"/>
                </w:tcPr>
                <w:p w14:paraId="546038F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659" w:type="pct"/>
                  <w:shd w:val="clear" w:color="auto" w:fill="D7D7D7"/>
                  <w:noWrap w:val="0"/>
                  <w:vAlign w:val="center"/>
                </w:tcPr>
                <w:p w14:paraId="3AC9F0BF">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cr/>
                  </w:r>
                </w:p>
              </w:tc>
              <w:tc>
                <w:tcPr>
                  <w:tcW w:w="667" w:type="pct"/>
                  <w:shd w:val="clear" w:color="auto" w:fill="D7D7D7"/>
                  <w:noWrap w:val="0"/>
                  <w:vAlign w:val="center"/>
                </w:tcPr>
                <w:p w14:paraId="3CC1931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r>
            <w:tr w14:paraId="0510A3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2EA319A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高锰酸盐指数  ≤</w:t>
                  </w:r>
                </w:p>
              </w:tc>
              <w:tc>
                <w:tcPr>
                  <w:tcW w:w="1295" w:type="pct"/>
                  <w:shd w:val="clear" w:color="auto" w:fill="auto"/>
                  <w:noWrap w:val="0"/>
                  <w:vAlign w:val="center"/>
                </w:tcPr>
                <w:p w14:paraId="771753F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659" w:type="pct"/>
                  <w:shd w:val="clear" w:color="auto" w:fill="auto"/>
                  <w:noWrap w:val="0"/>
                  <w:vAlign w:val="center"/>
                </w:tcPr>
                <w:p w14:paraId="710FC06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659" w:type="pct"/>
                  <w:shd w:val="clear" w:color="auto" w:fill="D7D7D7"/>
                  <w:noWrap w:val="0"/>
                  <w:vAlign w:val="center"/>
                </w:tcPr>
                <w:p w14:paraId="2586810E">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c>
                <w:tcPr>
                  <w:tcW w:w="667" w:type="pct"/>
                  <w:shd w:val="clear" w:color="auto" w:fill="D7D7D7"/>
                  <w:noWrap w:val="0"/>
                  <w:vAlign w:val="center"/>
                </w:tcPr>
                <w:p w14:paraId="7AEB85A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r>
            <w:tr w14:paraId="60B109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1427FF2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五日生化需氧量(BOD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  ≤</w:t>
                  </w:r>
                </w:p>
              </w:tc>
              <w:tc>
                <w:tcPr>
                  <w:tcW w:w="1295" w:type="pct"/>
                  <w:shd w:val="clear" w:color="auto" w:fill="auto"/>
                  <w:noWrap w:val="0"/>
                  <w:vAlign w:val="center"/>
                </w:tcPr>
                <w:p w14:paraId="3AF033C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59" w:type="pct"/>
                  <w:shd w:val="clear" w:color="auto" w:fill="auto"/>
                  <w:noWrap w:val="0"/>
                  <w:vAlign w:val="center"/>
                </w:tcPr>
                <w:p w14:paraId="6EE6DAF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659" w:type="pct"/>
                  <w:shd w:val="clear" w:color="auto" w:fill="D7D7D7"/>
                  <w:noWrap w:val="0"/>
                  <w:vAlign w:val="center"/>
                </w:tcPr>
                <w:p w14:paraId="33541BA7">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p>
              </w:tc>
              <w:tc>
                <w:tcPr>
                  <w:tcW w:w="667" w:type="pct"/>
                  <w:shd w:val="clear" w:color="auto" w:fill="D7D7D7"/>
                  <w:noWrap w:val="0"/>
                  <w:vAlign w:val="center"/>
                </w:tcPr>
                <w:p w14:paraId="3A396FF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r w14:paraId="3AF2C7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2592BDA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化学需氧量(COD)  ≤</w:t>
                  </w:r>
                </w:p>
              </w:tc>
              <w:tc>
                <w:tcPr>
                  <w:tcW w:w="1295" w:type="pct"/>
                  <w:shd w:val="clear" w:color="auto" w:fill="auto"/>
                  <w:noWrap w:val="0"/>
                  <w:vAlign w:val="center"/>
                </w:tcPr>
                <w:p w14:paraId="5BF8F20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59" w:type="pct"/>
                  <w:shd w:val="clear" w:color="auto" w:fill="auto"/>
                  <w:noWrap w:val="0"/>
                  <w:vAlign w:val="center"/>
                </w:tcPr>
                <w:p w14:paraId="346BB8C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659" w:type="pct"/>
                  <w:shd w:val="clear" w:color="auto" w:fill="D7D7D7"/>
                  <w:noWrap w:val="0"/>
                  <w:vAlign w:val="center"/>
                </w:tcPr>
                <w:p w14:paraId="3F96CD5D">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30</w:t>
                  </w:r>
                </w:p>
              </w:tc>
              <w:tc>
                <w:tcPr>
                  <w:tcW w:w="667" w:type="pct"/>
                  <w:shd w:val="clear" w:color="auto" w:fill="D7D7D7"/>
                  <w:noWrap w:val="0"/>
                  <w:vAlign w:val="center"/>
                </w:tcPr>
                <w:p w14:paraId="5B4C1CD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r>
            <w:tr w14:paraId="161510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0C71EB5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  ≤</w:t>
                  </w:r>
                </w:p>
              </w:tc>
              <w:tc>
                <w:tcPr>
                  <w:tcW w:w="1295" w:type="pct"/>
                  <w:shd w:val="clear" w:color="auto" w:fill="auto"/>
                  <w:noWrap w:val="0"/>
                  <w:vAlign w:val="center"/>
                </w:tcPr>
                <w:p w14:paraId="398CFC0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659" w:type="pct"/>
                  <w:shd w:val="clear" w:color="auto" w:fill="auto"/>
                  <w:noWrap w:val="0"/>
                  <w:vAlign w:val="center"/>
                </w:tcPr>
                <w:p w14:paraId="572D264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659" w:type="pct"/>
                  <w:shd w:val="clear" w:color="auto" w:fill="D7D7D7"/>
                  <w:noWrap w:val="0"/>
                  <w:vAlign w:val="center"/>
                </w:tcPr>
                <w:p w14:paraId="66EA0194">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w:t>
                  </w:r>
                </w:p>
              </w:tc>
              <w:tc>
                <w:tcPr>
                  <w:tcW w:w="667" w:type="pct"/>
                  <w:shd w:val="clear" w:color="auto" w:fill="D7D7D7"/>
                  <w:noWrap w:val="0"/>
                  <w:vAlign w:val="center"/>
                </w:tcPr>
                <w:p w14:paraId="149C7C0C">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w:t>
                  </w:r>
                </w:p>
              </w:tc>
            </w:tr>
            <w:tr w14:paraId="4998FC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16CDEEB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总磷(TP)  ≤</w:t>
                  </w:r>
                </w:p>
              </w:tc>
              <w:tc>
                <w:tcPr>
                  <w:tcW w:w="1295" w:type="pct"/>
                  <w:shd w:val="clear" w:color="auto" w:fill="auto"/>
                  <w:noWrap w:val="0"/>
                  <w:vAlign w:val="center"/>
                </w:tcPr>
                <w:p w14:paraId="3E98F5A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659" w:type="pct"/>
                  <w:shd w:val="clear" w:color="auto" w:fill="auto"/>
                  <w:noWrap w:val="0"/>
                  <w:vAlign w:val="center"/>
                </w:tcPr>
                <w:p w14:paraId="487EE94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c>
                <w:tcPr>
                  <w:tcW w:w="659" w:type="pct"/>
                  <w:shd w:val="clear" w:color="auto" w:fill="D7D7D7"/>
                  <w:noWrap w:val="0"/>
                  <w:vAlign w:val="center"/>
                </w:tcPr>
                <w:p w14:paraId="076CB945">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w:t>
                  </w:r>
                </w:p>
              </w:tc>
              <w:tc>
                <w:tcPr>
                  <w:tcW w:w="667" w:type="pct"/>
                  <w:shd w:val="clear" w:color="auto" w:fill="D7D7D7"/>
                  <w:noWrap w:val="0"/>
                  <w:vAlign w:val="center"/>
                </w:tcPr>
                <w:p w14:paraId="3ECE248C">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0.4</w:t>
                  </w:r>
                </w:p>
              </w:tc>
            </w:tr>
            <w:tr w14:paraId="71EA72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718" w:type="pct"/>
                  <w:shd w:val="clear" w:color="auto" w:fill="auto"/>
                  <w:noWrap w:val="0"/>
                  <w:vAlign w:val="center"/>
                </w:tcPr>
                <w:p w14:paraId="4DA194D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石油类  ≤</w:t>
                  </w:r>
                </w:p>
              </w:tc>
              <w:tc>
                <w:tcPr>
                  <w:tcW w:w="1295" w:type="pct"/>
                  <w:shd w:val="clear" w:color="auto" w:fill="auto"/>
                  <w:noWrap w:val="0"/>
                  <w:vAlign w:val="center"/>
                </w:tcPr>
                <w:p w14:paraId="6230544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659" w:type="pct"/>
                  <w:shd w:val="clear" w:color="auto" w:fill="auto"/>
                  <w:noWrap w:val="0"/>
                  <w:vAlign w:val="center"/>
                </w:tcPr>
                <w:p w14:paraId="14DD61A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659" w:type="pct"/>
                  <w:shd w:val="clear" w:color="auto" w:fill="D7D7D7"/>
                  <w:noWrap w:val="0"/>
                  <w:vAlign w:val="center"/>
                </w:tcPr>
                <w:p w14:paraId="46961F0D">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cr/>
                  </w:r>
                  <w:r>
                    <w:rPr>
                      <w:rFonts w:hint="default" w:ascii="Times New Roman" w:hAnsi="Times New Roman" w:eastAsia="宋体" w:cs="Times New Roman"/>
                      <w:color w:val="000000" w:themeColor="text1"/>
                      <w14:textFill>
                        <w14:solidFill>
                          <w14:schemeClr w14:val="tx1"/>
                        </w14:solidFill>
                      </w14:textFill>
                    </w:rPr>
                    <w:t>.5</w:t>
                  </w:r>
                </w:p>
              </w:tc>
              <w:tc>
                <w:tcPr>
                  <w:tcW w:w="667" w:type="pct"/>
                  <w:shd w:val="clear" w:color="auto" w:fill="D7D7D7"/>
                  <w:noWrap w:val="0"/>
                  <w:vAlign w:val="center"/>
                </w:tcPr>
                <w:p w14:paraId="1C372252">
                  <w:pPr>
                    <w:pStyle w:val="47"/>
                    <w:bidi w:val="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cr/>
                  </w:r>
                  <w:r>
                    <w:rPr>
                      <w:rFonts w:hint="default" w:ascii="Times New Roman" w:hAnsi="Times New Roman" w:eastAsia="宋体" w:cs="Times New Roman"/>
                      <w:color w:val="000000" w:themeColor="text1"/>
                      <w14:textFill>
                        <w14:solidFill>
                          <w14:schemeClr w14:val="tx1"/>
                        </w14:solidFill>
                      </w14:textFill>
                    </w:rPr>
                    <w:t>0</w:t>
                  </w:r>
                </w:p>
              </w:tc>
            </w:tr>
          </w:tbl>
          <w:p w14:paraId="3B250DA7">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3.2.2地表水环境质量现状</w:t>
            </w:r>
          </w:p>
          <w:p w14:paraId="2CFBA4AC">
            <w:pPr>
              <w:pStyle w:val="4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(1)地表水水质现状调查</w:t>
            </w:r>
          </w:p>
          <w:p w14:paraId="2E9EEEDB">
            <w:pPr>
              <w:pStyle w:val="43"/>
              <w:bidi w:val="0"/>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为了解项目纳污水域地表水环境质量现状，</w:t>
            </w:r>
            <w:r>
              <w:rPr>
                <w:rFonts w:hint="eastAsia"/>
                <w:color w:val="000000" w:themeColor="text1"/>
                <w:lang w:val="en-US" w:eastAsia="zh-CN"/>
                <w14:textFill>
                  <w14:solidFill>
                    <w14:schemeClr w14:val="tx1"/>
                  </w14:solidFill>
                </w14:textFill>
              </w:rPr>
              <w:t>根据福州市生态环境局发布的2025年1—9月福州市水环境质量状况，2025年1—9月，主要流域9个国控断面Ⅰ-Ⅲ类水质比例为100%，36个省控及以上断面Ⅰ-Ⅲ类水质比例为100%；小流域54个省控断面Ⅰ-Ⅲ类水质比例为100%。县级及以上集中式饮用水源地水质达标率为100%，详见下图。</w:t>
            </w:r>
          </w:p>
          <w:p w14:paraId="34CA2D4B">
            <w:pPr>
              <w:pStyle w:val="43"/>
              <w:bidi w:val="0"/>
              <w:ind w:left="0" w:leftChars="0" w:firstLine="0" w:firstLineChars="0"/>
              <w:rPr>
                <w:rFonts w:hint="eastAsia"/>
                <w:color w:val="000000" w:themeColor="text1"/>
                <w:lang w:val="en-US" w:eastAsia="zh-CN"/>
                <w14:textFill>
                  <w14:solidFill>
                    <w14:schemeClr w14:val="tx1"/>
                  </w14:solidFill>
                </w14:textFill>
              </w:rPr>
            </w:pPr>
            <w:r>
              <w:drawing>
                <wp:inline distT="0" distB="0" distL="114300" distR="114300">
                  <wp:extent cx="5318125" cy="2235835"/>
                  <wp:effectExtent l="0" t="0" r="635" b="4445"/>
                  <wp:docPr id="3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2"/>
                          <pic:cNvPicPr>
                            <a:picLocks noChangeAspect="1"/>
                          </pic:cNvPicPr>
                        </pic:nvPicPr>
                        <pic:blipFill>
                          <a:blip r:embed="rId13"/>
                          <a:stretch>
                            <a:fillRect/>
                          </a:stretch>
                        </pic:blipFill>
                        <pic:spPr>
                          <a:xfrm>
                            <a:off x="0" y="0"/>
                            <a:ext cx="5318125" cy="2235835"/>
                          </a:xfrm>
                          <a:prstGeom prst="rect">
                            <a:avLst/>
                          </a:prstGeom>
                          <a:noFill/>
                          <a:ln>
                            <a:noFill/>
                          </a:ln>
                        </pic:spPr>
                      </pic:pic>
                    </a:graphicData>
                  </a:graphic>
                </wp:inline>
              </w:drawing>
            </w:r>
          </w:p>
          <w:p w14:paraId="2D527B69">
            <w:pPr>
              <w:pStyle w:val="4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根据数据可知，龙江水质现状属于《地表水环境质量标准》（GB3838-2002）Ⅲ类水质，水质状况良好，属于达标区。</w:t>
            </w:r>
          </w:p>
          <w:p w14:paraId="51299B56">
            <w:pPr>
              <w:pStyle w:val="4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(2)引用资料的有效性分析</w:t>
            </w:r>
          </w:p>
          <w:p w14:paraId="5E203DAB">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s="Times New Roman"/>
                <w:color w:val="000000" w:themeColor="text1"/>
                <w:lang w:eastAsia="zh-CN"/>
                <w14:textFill>
                  <w14:solidFill>
                    <w14:schemeClr w14:val="tx1"/>
                  </w14:solidFill>
                </w14:textFill>
              </w:rPr>
              <w:t>本次</w:t>
            </w:r>
            <w:r>
              <w:rPr>
                <w:rFonts w:hint="default" w:ascii="Times New Roman" w:hAnsi="Times New Roman" w:cs="Times New Roman"/>
                <w:color w:val="000000" w:themeColor="text1"/>
                <w14:textFill>
                  <w14:solidFill>
                    <w14:schemeClr w14:val="tx1"/>
                  </w14:solidFill>
                </w14:textFill>
              </w:rPr>
              <w:t>评价选取</w:t>
            </w:r>
            <w:r>
              <w:rPr>
                <w:rFonts w:hint="eastAsia" w:cs="Times New Roman"/>
                <w:color w:val="000000" w:themeColor="text1"/>
                <w:lang w:eastAsia="zh-CN"/>
                <w14:textFill>
                  <w14:solidFill>
                    <w14:schemeClr w14:val="tx1"/>
                  </w14:solidFill>
                </w14:textFill>
              </w:rPr>
              <w:t>福州市生态环境局</w:t>
            </w:r>
            <w:r>
              <w:rPr>
                <w:rFonts w:hint="default" w:ascii="Times New Roman" w:hAnsi="Times New Roman" w:cs="Times New Roman"/>
                <w:color w:val="000000" w:themeColor="text1"/>
                <w14:textFill>
                  <w14:solidFill>
                    <w14:schemeClr w14:val="tx1"/>
                  </w14:solidFill>
                </w14:textFill>
              </w:rPr>
              <w:t>发</w:t>
            </w:r>
            <w:r>
              <w:rPr>
                <w:rFonts w:hint="eastAsia" w:cs="Times New Roman"/>
                <w:color w:val="000000" w:themeColor="text1"/>
                <w:lang w:eastAsia="zh-CN"/>
                <w14:textFill>
                  <w14:solidFill>
                    <w14:schemeClr w14:val="tx1"/>
                  </w14:solidFill>
                </w14:textFill>
              </w:rPr>
              <w:t>布的</w:t>
            </w:r>
            <w:r>
              <w:rPr>
                <w:rFonts w:hint="default" w:ascii="Times New Roman" w:hAnsi="Times New Roman" w:cs="Times New Roman"/>
                <w:color w:val="000000" w:themeColor="text1"/>
                <w14:textFill>
                  <w14:solidFill>
                    <w14:schemeClr w14:val="tx1"/>
                  </w14:solidFill>
                </w14:textFill>
              </w:rPr>
              <w:t>水环境状况信息，符合《建设项目环境影响报告表编制技术指南(污染影响类)(试行)》(环办环评〔2020〕33号)的要求。</w:t>
            </w:r>
          </w:p>
          <w:p w14:paraId="150A4849">
            <w:pPr>
              <w:pStyle w:val="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 声环境质量现状</w:t>
            </w:r>
          </w:p>
          <w:p w14:paraId="19797A8F">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3.3.1 声环境功能区划</w:t>
            </w:r>
          </w:p>
          <w:p w14:paraId="1DC47054">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本项目位于福建省福州市福清市石竹街道融侨开发区（租赁福州聚德电子有限公司1号厂房三层）</w:t>
            </w:r>
            <w:r>
              <w:rPr>
                <w:rFonts w:hint="eastAsia"/>
                <w:color w:val="000000" w:themeColor="text1"/>
                <w:sz w:val="24"/>
                <w:szCs w:val="24"/>
                <w:u w:val="none"/>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由于项目所在区域声环境为居住和工业混杂区，项目北侧存在敏感点太城新厝村，西侧存在敏感点福清龙翔中英文学校。因此本项目</w:t>
            </w:r>
            <w:r>
              <w:rPr>
                <w:rFonts w:hint="eastAsia" w:cs="Times New Roman"/>
                <w:color w:val="000000" w:themeColor="text1"/>
                <w:lang w:val="en-US" w:eastAsia="zh-CN"/>
                <w14:textFill>
                  <w14:solidFill>
                    <w14:schemeClr w14:val="tx1"/>
                  </w14:solidFill>
                </w14:textFill>
              </w:rPr>
              <w:t>厂界四周</w:t>
            </w:r>
            <w:r>
              <w:rPr>
                <w:rFonts w:hint="default" w:ascii="Times New Roman" w:hAnsi="Times New Roman" w:cs="Times New Roman"/>
                <w:color w:val="000000" w:themeColor="text1"/>
                <w:lang w:val="en-US" w:eastAsia="zh-CN"/>
                <w14:textFill>
                  <w14:solidFill>
                    <w14:schemeClr w14:val="tx1"/>
                  </w14:solidFill>
                </w14:textFill>
              </w:rPr>
              <w:t>声环境质量执行《声环境质量标准》(GB3096-2008)2类标准；具体标准值见表3.3-1。</w:t>
            </w:r>
          </w:p>
          <w:p w14:paraId="66401FC7">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14:textFill>
                  <w14:solidFill>
                    <w14:schemeClr w14:val="tx1"/>
                  </w14:solidFill>
                </w14:textFill>
              </w:rPr>
            </w:pPr>
          </w:p>
          <w:p w14:paraId="6F03C2F7">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14:textFill>
                  <w14:solidFill>
                    <w14:schemeClr w14:val="tx1"/>
                  </w14:solidFill>
                </w14:textFill>
              </w:rPr>
            </w:pPr>
          </w:p>
          <w:p w14:paraId="68DEE80B">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3.3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1《声环境质量标准》(GB3096-2008)</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摘录</w:t>
            </w:r>
            <w:r>
              <w:rPr>
                <w:rFonts w:hint="eastAsia" w:ascii="Times New Roman" w:hAnsi="Times New Roman" w:cs="Times New Roman"/>
                <w:color w:val="000000" w:themeColor="text1"/>
                <w:lang w:val="en-US" w:eastAsia="zh-CN"/>
                <w14:textFill>
                  <w14:solidFill>
                    <w14:schemeClr w14:val="tx1"/>
                  </w14:solidFill>
                </w14:textFill>
              </w:rPr>
              <w:t>)</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5040"/>
              <w:gridCol w:w="2104"/>
            </w:tblGrid>
            <w:tr w14:paraId="506D7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4" w:type="pct"/>
                  <w:vMerge w:val="restart"/>
                  <w:tcBorders>
                    <w:tl2br w:val="nil"/>
                    <w:tr2bl w:val="nil"/>
                  </w:tcBorders>
                  <w:noWrap w:val="0"/>
                  <w:vAlign w:val="center"/>
                </w:tcPr>
                <w:p w14:paraId="4813A0C9">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标准</w:t>
                  </w:r>
                </w:p>
                <w:p w14:paraId="53FFF692">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类别</w:t>
                  </w:r>
                </w:p>
              </w:tc>
              <w:tc>
                <w:tcPr>
                  <w:tcW w:w="3009" w:type="pct"/>
                  <w:vMerge w:val="restart"/>
                  <w:tcBorders>
                    <w:tl2br w:val="nil"/>
                    <w:tr2bl w:val="nil"/>
                  </w:tcBorders>
                  <w:noWrap w:val="0"/>
                  <w:vAlign w:val="center"/>
                </w:tcPr>
                <w:p w14:paraId="32E43B36">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适用区域</w:t>
                  </w:r>
                </w:p>
              </w:tc>
              <w:tc>
                <w:tcPr>
                  <w:tcW w:w="1256" w:type="pct"/>
                  <w:tcBorders>
                    <w:tl2br w:val="nil"/>
                    <w:tr2bl w:val="nil"/>
                  </w:tcBorders>
                  <w:noWrap w:val="0"/>
                  <w:vAlign w:val="center"/>
                </w:tcPr>
                <w:p w14:paraId="4B7920E0">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等效声级Leq</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dB</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A</w:t>
                  </w:r>
                  <w:r>
                    <w:rPr>
                      <w:rFonts w:hint="eastAsia" w:ascii="Times New Roman" w:hAnsi="Times New Roman" w:cs="Times New Roman"/>
                      <w:color w:val="000000" w:themeColor="text1"/>
                      <w:lang w:val="en-US" w:eastAsia="zh-CN"/>
                      <w14:textFill>
                        <w14:solidFill>
                          <w14:schemeClr w14:val="tx1"/>
                        </w14:solidFill>
                      </w14:textFill>
                    </w:rPr>
                    <w:t>))</w:t>
                  </w:r>
                </w:p>
              </w:tc>
            </w:tr>
            <w:tr w14:paraId="354E0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pct"/>
                  <w:vMerge w:val="continue"/>
                  <w:tcBorders>
                    <w:tl2br w:val="nil"/>
                    <w:tr2bl w:val="nil"/>
                  </w:tcBorders>
                  <w:noWrap w:val="0"/>
                  <w:vAlign w:val="center"/>
                </w:tcPr>
                <w:p w14:paraId="561DAF30">
                  <w:pPr>
                    <w:pStyle w:val="75"/>
                    <w:bidi w:val="0"/>
                    <w:rPr>
                      <w:rFonts w:hint="default" w:ascii="Times New Roman" w:hAnsi="Times New Roman" w:cs="Times New Roman"/>
                      <w:color w:val="000000" w:themeColor="text1"/>
                      <w:lang w:val="en-US" w:eastAsia="zh-CN"/>
                      <w14:textFill>
                        <w14:solidFill>
                          <w14:schemeClr w14:val="tx1"/>
                        </w14:solidFill>
                      </w14:textFill>
                    </w:rPr>
                  </w:pPr>
                </w:p>
              </w:tc>
              <w:tc>
                <w:tcPr>
                  <w:tcW w:w="3009" w:type="pct"/>
                  <w:vMerge w:val="continue"/>
                  <w:tcBorders>
                    <w:tl2br w:val="nil"/>
                    <w:tr2bl w:val="nil"/>
                  </w:tcBorders>
                  <w:noWrap w:val="0"/>
                  <w:vAlign w:val="center"/>
                </w:tcPr>
                <w:p w14:paraId="58846E7A">
                  <w:pPr>
                    <w:pStyle w:val="75"/>
                    <w:bidi w:val="0"/>
                    <w:rPr>
                      <w:rFonts w:hint="default" w:ascii="Times New Roman" w:hAnsi="Times New Roman" w:cs="Times New Roman"/>
                      <w:color w:val="000000" w:themeColor="text1"/>
                      <w:lang w:val="en-US" w:eastAsia="zh-CN"/>
                      <w14:textFill>
                        <w14:solidFill>
                          <w14:schemeClr w14:val="tx1"/>
                        </w14:solidFill>
                      </w14:textFill>
                    </w:rPr>
                  </w:pPr>
                </w:p>
              </w:tc>
              <w:tc>
                <w:tcPr>
                  <w:tcW w:w="1256" w:type="pct"/>
                  <w:tcBorders>
                    <w:tl2br w:val="nil"/>
                    <w:tr2bl w:val="nil"/>
                  </w:tcBorders>
                  <w:noWrap w:val="0"/>
                  <w:vAlign w:val="center"/>
                </w:tcPr>
                <w:p w14:paraId="3A65142C">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r>
            <w:tr w14:paraId="36064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pct"/>
                  <w:tcBorders>
                    <w:tl2br w:val="nil"/>
                    <w:tr2bl w:val="nil"/>
                  </w:tcBorders>
                  <w:noWrap w:val="0"/>
                  <w:vAlign w:val="center"/>
                </w:tcPr>
                <w:p w14:paraId="2B8EF71F">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2类</w:t>
                  </w:r>
                </w:p>
              </w:tc>
              <w:tc>
                <w:tcPr>
                  <w:tcW w:w="3009" w:type="pct"/>
                  <w:tcBorders>
                    <w:tl2br w:val="nil"/>
                    <w:tr2bl w:val="nil"/>
                  </w:tcBorders>
                  <w:noWrap w:val="0"/>
                  <w:vAlign w:val="center"/>
                </w:tcPr>
                <w:p w14:paraId="7DA276BE">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指以商业金融、集市贸易为主要功能，或者居住、商业、工业混杂，需要维护住宅安静的区域。</w:t>
                  </w:r>
                </w:p>
              </w:tc>
              <w:tc>
                <w:tcPr>
                  <w:tcW w:w="1256" w:type="pct"/>
                  <w:tcBorders>
                    <w:tl2br w:val="nil"/>
                    <w:tr2bl w:val="nil"/>
                  </w:tcBorders>
                  <w:noWrap w:val="0"/>
                  <w:vAlign w:val="center"/>
                </w:tcPr>
                <w:p w14:paraId="6698B380">
                  <w:pPr>
                    <w:pStyle w:val="7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r>
          </w:tbl>
          <w:p w14:paraId="6D38BCEE">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3.3.2 声环境质量现状</w:t>
            </w:r>
          </w:p>
          <w:p w14:paraId="19A731D1">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根据现场调查</w:t>
            </w:r>
            <w:r>
              <w:rPr>
                <w:rFonts w:hint="eastAsia" w:cs="Times New Roman"/>
                <w:color w:val="000000" w:themeColor="text1"/>
                <w:lang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周边太城新厝村、福建龙翔中英文学校离项目厂界较近。</w:t>
            </w:r>
            <w:r>
              <w:rPr>
                <w:rFonts w:hint="default" w:ascii="Times New Roman" w:hAnsi="Times New Roman" w:cs="Times New Roman"/>
                <w:color w:val="000000" w:themeColor="text1"/>
                <w14:textFill>
                  <w14:solidFill>
                    <w14:schemeClr w14:val="tx1"/>
                  </w14:solidFill>
                </w14:textFill>
              </w:rPr>
              <w:t>为了了解评价区的环境噪声现状，</w:t>
            </w:r>
            <w:r>
              <w:rPr>
                <w:rFonts w:hint="default" w:ascii="Times New Roman" w:hAnsi="Times New Roman" w:cs="Times New Roman"/>
                <w:color w:val="000000" w:themeColor="text1"/>
                <w:lang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单位委托</w:t>
            </w:r>
            <w:r>
              <w:rPr>
                <w:rFonts w:hint="eastAsia" w:ascii="Times New Roman" w:hAnsi="Times New Roman" w:cs="Times New Roman"/>
                <w:color w:val="000000" w:themeColor="text1"/>
                <w:lang w:val="en-US" w:eastAsia="zh-CN"/>
                <w14:textFill>
                  <w14:solidFill>
                    <w14:schemeClr w14:val="tx1"/>
                  </w14:solidFill>
                </w14:textFill>
              </w:rPr>
              <w:t>福建守真检测技术有限公司</w:t>
            </w:r>
            <w:r>
              <w:rPr>
                <w:rFonts w:hint="default" w:ascii="Times New Roman" w:hAnsi="Times New Roman" w:cs="Times New Roman"/>
                <w:color w:val="000000" w:themeColor="text1"/>
                <w:lang w:eastAsia="zh-CN"/>
                <w14:textFill>
                  <w14:solidFill>
                    <w14:schemeClr w14:val="tx1"/>
                  </w14:solidFill>
                </w14:textFill>
              </w:rPr>
              <w:t>(CMA</w:t>
            </w:r>
            <w:r>
              <w:rPr>
                <w:rFonts w:hint="eastAsia" w:ascii="Times New Roman" w:hAnsi="Times New Roman" w:cs="Times New Roman"/>
                <w:color w:val="000000" w:themeColor="text1"/>
                <w:lang w:val="en-US" w:eastAsia="zh-CN"/>
                <w14:textFill>
                  <w14:solidFill>
                    <w14:schemeClr w14:val="tx1"/>
                  </w14:solidFill>
                </w14:textFill>
              </w:rPr>
              <w:t>20131205M002</w:t>
            </w:r>
            <w:r>
              <w:rPr>
                <w:rFonts w:hint="default" w:ascii="Times New Roman" w:hAnsi="Times New Roman" w:cs="Times New Roman"/>
                <w:color w:val="000000" w:themeColor="text1"/>
                <w:lang w:eastAsia="zh-CN"/>
                <w14:textFill>
                  <w14:solidFill>
                    <w14:schemeClr w14:val="tx1"/>
                  </w14:solidFill>
                </w14:textFill>
              </w:rPr>
              <w:t>)对</w:t>
            </w:r>
            <w:r>
              <w:rPr>
                <w:rFonts w:hint="eastAsia" w:cs="Times New Roman"/>
                <w:color w:val="000000" w:themeColor="text1"/>
                <w:lang w:eastAsia="zh-CN"/>
                <w14:textFill>
                  <w14:solidFill>
                    <w14:schemeClr w14:val="tx1"/>
                  </w14:solidFill>
                </w14:textFill>
              </w:rPr>
              <w:t>于</w:t>
            </w:r>
            <w:r>
              <w:rPr>
                <w:rFonts w:hint="eastAsia" w:cs="Times New Roman"/>
                <w:color w:val="000000" w:themeColor="text1"/>
                <w:lang w:val="en-US" w:eastAsia="zh-CN"/>
                <w14:textFill>
                  <w14:solidFill>
                    <w14:schemeClr w14:val="tx1"/>
                  </w14:solidFill>
                </w14:textFill>
              </w:rPr>
              <w:t>2025年11月26日对</w:t>
            </w:r>
            <w:r>
              <w:rPr>
                <w:rFonts w:hint="default" w:ascii="Times New Roman" w:hAnsi="Times New Roman" w:cs="Times New Roman"/>
                <w:color w:val="000000" w:themeColor="text1"/>
                <w:lang w:eastAsia="zh-CN"/>
                <w14:textFill>
                  <w14:solidFill>
                    <w14:schemeClr w14:val="tx1"/>
                  </w14:solidFill>
                </w14:textFill>
              </w:rPr>
              <w:t>项目</w:t>
            </w:r>
            <w:r>
              <w:rPr>
                <w:rFonts w:hint="eastAsia" w:cs="Times New Roman"/>
                <w:color w:val="000000" w:themeColor="text1"/>
                <w:lang w:eastAsia="zh-CN"/>
                <w14:textFill>
                  <w14:solidFill>
                    <w14:schemeClr w14:val="tx1"/>
                  </w14:solidFill>
                </w14:textFill>
              </w:rPr>
              <w:t>区域声</w:t>
            </w:r>
            <w:r>
              <w:rPr>
                <w:rFonts w:hint="default" w:ascii="Times New Roman" w:hAnsi="Times New Roman" w:cs="Times New Roman"/>
                <w:color w:val="000000" w:themeColor="text1"/>
                <w:lang w:eastAsia="zh-CN"/>
                <w14:textFill>
                  <w14:solidFill>
                    <w14:schemeClr w14:val="tx1"/>
                  </w14:solidFill>
                </w14:textFill>
              </w:rPr>
              <w:t>环境质量现状</w:t>
            </w:r>
            <w:r>
              <w:rPr>
                <w:rFonts w:hint="eastAsia" w:cs="Times New Roman"/>
                <w:color w:val="000000" w:themeColor="text1"/>
                <w:lang w:eastAsia="zh-CN"/>
                <w14:textFill>
                  <w14:solidFill>
                    <w14:schemeClr w14:val="tx1"/>
                  </w14:solidFill>
                </w14:textFill>
              </w:rPr>
              <w:t>进行</w:t>
            </w:r>
            <w:r>
              <w:rPr>
                <w:rFonts w:hint="default" w:ascii="Times New Roman" w:hAnsi="Times New Roman" w:cs="Times New Roman"/>
                <w:color w:val="000000" w:themeColor="text1"/>
                <w:lang w:eastAsia="zh-CN"/>
                <w14:textFill>
                  <w14:solidFill>
                    <w14:schemeClr w14:val="tx1"/>
                  </w14:solidFill>
                </w14:textFill>
              </w:rPr>
              <w:t>监测，形成《</w:t>
            </w:r>
            <w:r>
              <w:rPr>
                <w:rFonts w:hint="eastAsia" w:ascii="Times New Roman" w:hAnsi="Times New Roman" w:cs="Times New Roman"/>
                <w:color w:val="000000" w:themeColor="text1"/>
                <w:lang w:val="en-US" w:eastAsia="zh-CN"/>
                <w14:textFill>
                  <w14:solidFill>
                    <w14:schemeClr w14:val="tx1"/>
                  </w14:solidFill>
                </w14:textFill>
              </w:rPr>
              <w:t>格拉默车辆内饰（合肥）有限公司福州分公司年加工汽车零部件20万套</w:t>
            </w:r>
            <w:r>
              <w:rPr>
                <w:rFonts w:hint="default" w:ascii="Times New Roman" w:hAnsi="Times New Roman" w:cs="Times New Roman"/>
                <w:color w:val="000000" w:themeColor="text1"/>
                <w:lang w:val="en-US" w:eastAsia="zh-CN"/>
                <w14:textFill>
                  <w14:solidFill>
                    <w14:schemeClr w14:val="tx1"/>
                  </w14:solidFill>
                </w14:textFill>
              </w:rPr>
              <w:t>环境质量现状监测</w:t>
            </w:r>
            <w:r>
              <w:rPr>
                <w:rFonts w:hint="default" w:ascii="Times New Roman" w:hAnsi="Times New Roman" w:cs="Times New Roman"/>
                <w:color w:val="000000" w:themeColor="text1"/>
                <w:lang w:eastAsia="zh-CN"/>
                <w14:textFill>
                  <w14:solidFill>
                    <w14:schemeClr w14:val="tx1"/>
                  </w14:solidFill>
                </w14:textFill>
              </w:rPr>
              <w:t>报告》，报告编号：</w:t>
            </w:r>
            <w:r>
              <w:rPr>
                <w:rFonts w:hint="eastAsia" w:ascii="Times New Roman" w:hAnsi="Times New Roman" w:cs="Times New Roman"/>
                <w:color w:val="000000" w:themeColor="text1"/>
                <w:lang w:val="en-US" w:eastAsia="zh-CN"/>
                <w14:textFill>
                  <w14:solidFill>
                    <w14:schemeClr w14:val="tx1"/>
                  </w14:solidFill>
                </w14:textFill>
              </w:rPr>
              <w:t>SZ(HJ)2511-0546</w:t>
            </w:r>
            <w:r>
              <w:rPr>
                <w:rFonts w:hint="default" w:ascii="Times New Roman" w:hAnsi="Times New Roman" w:cs="Times New Roman"/>
                <w:color w:val="000000" w:themeColor="text1"/>
                <w:lang w:eastAsia="zh-CN"/>
                <w14:textFill>
                  <w14:solidFill>
                    <w14:schemeClr w14:val="tx1"/>
                  </w14:solidFill>
                </w14:textFill>
              </w:rPr>
              <w:t>(详见附件</w:t>
            </w:r>
            <w:r>
              <w:rPr>
                <w:rFonts w:hint="eastAsia" w:ascii="Times New Roman" w:hAnsi="Times New Roman" w:cs="Times New Roman"/>
                <w:color w:val="000000" w:themeColor="text1"/>
                <w:lang w:val="en-US" w:eastAsia="zh-CN"/>
                <w14:textFill>
                  <w14:solidFill>
                    <w14:schemeClr w14:val="tx1"/>
                  </w14:solidFill>
                </w14:textFill>
              </w:rPr>
              <w:t>九</w:t>
            </w:r>
            <w:r>
              <w:rPr>
                <w:rFonts w:hint="default" w:ascii="Times New Roman" w:hAnsi="Times New Roman" w:cs="Times New Roman"/>
                <w:color w:val="000000" w:themeColor="text1"/>
                <w:lang w:eastAsia="zh-CN"/>
                <w14:textFill>
                  <w14:solidFill>
                    <w14:schemeClr w14:val="tx1"/>
                  </w14:solidFill>
                </w14:textFill>
              </w:rPr>
              <w:t>)。项目所</w:t>
            </w:r>
            <w:r>
              <w:rPr>
                <w:rFonts w:hint="default" w:ascii="Times New Roman" w:hAnsi="Times New Roman" w:cs="Times New Roman"/>
                <w:color w:val="000000" w:themeColor="text1"/>
                <w14:textFill>
                  <w14:solidFill>
                    <w14:schemeClr w14:val="tx1"/>
                  </w14:solidFill>
                </w14:textFill>
              </w:rPr>
              <w:t>在区域声环境现状监测评价结果如表3.3-2所示。</w:t>
            </w:r>
          </w:p>
          <w:p w14:paraId="368C25B2">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表3.3-2  声环境质量现状监测及评价结果一览表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43"/>
              <w:gridCol w:w="3943"/>
              <w:gridCol w:w="2487"/>
            </w:tblGrid>
            <w:tr w14:paraId="56607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blHeader/>
                <w:jc w:val="center"/>
              </w:trPr>
              <w:tc>
                <w:tcPr>
                  <w:tcW w:w="1160" w:type="pct"/>
                  <w:vMerge w:val="restart"/>
                  <w:tcBorders>
                    <w:tl2br w:val="nil"/>
                    <w:tr2bl w:val="nil"/>
                  </w:tcBorders>
                  <w:shd w:val="clear" w:color="auto" w:fill="auto"/>
                  <w:noWrap w:val="0"/>
                  <w:vAlign w:val="center"/>
                </w:tcPr>
                <w:p w14:paraId="3403735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检测日期</w:t>
                  </w:r>
                </w:p>
              </w:tc>
              <w:tc>
                <w:tcPr>
                  <w:tcW w:w="2354" w:type="pct"/>
                  <w:vMerge w:val="restart"/>
                  <w:tcBorders>
                    <w:tl2br w:val="nil"/>
                    <w:tr2bl w:val="nil"/>
                  </w:tcBorders>
                  <w:shd w:val="clear" w:color="auto" w:fill="auto"/>
                  <w:noWrap w:val="0"/>
                  <w:vAlign w:val="center"/>
                </w:tcPr>
                <w:p w14:paraId="06DE049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测点位置</w:t>
                  </w:r>
                </w:p>
              </w:tc>
              <w:tc>
                <w:tcPr>
                  <w:tcW w:w="1485" w:type="pct"/>
                  <w:tcBorders>
                    <w:tl2br w:val="nil"/>
                    <w:tr2bl w:val="nil"/>
                  </w:tcBorders>
                  <w:shd w:val="clear" w:color="auto" w:fill="auto"/>
                  <w:noWrap w:val="0"/>
                  <w:vAlign w:val="center"/>
                </w:tcPr>
                <w:p w14:paraId="39BBFCC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检测结果Leq， dB(A)</w:t>
                  </w:r>
                </w:p>
              </w:tc>
            </w:tr>
            <w:tr w14:paraId="53DDC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blHeader/>
                <w:jc w:val="center"/>
              </w:trPr>
              <w:tc>
                <w:tcPr>
                  <w:tcW w:w="1160" w:type="pct"/>
                  <w:vMerge w:val="continue"/>
                  <w:tcBorders>
                    <w:tl2br w:val="nil"/>
                    <w:tr2bl w:val="nil"/>
                  </w:tcBorders>
                  <w:shd w:val="clear" w:color="auto" w:fill="auto"/>
                  <w:noWrap w:val="0"/>
                  <w:vAlign w:val="center"/>
                </w:tcPr>
                <w:p w14:paraId="2B6B7A88">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vMerge w:val="continue"/>
                  <w:tcBorders>
                    <w:tl2br w:val="nil"/>
                    <w:tr2bl w:val="nil"/>
                  </w:tcBorders>
                  <w:shd w:val="clear" w:color="auto" w:fill="auto"/>
                  <w:noWrap w:val="0"/>
                  <w:vAlign w:val="center"/>
                </w:tcPr>
                <w:p w14:paraId="62BF0591">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1485" w:type="pct"/>
                  <w:tcBorders>
                    <w:tl2br w:val="nil"/>
                    <w:tr2bl w:val="nil"/>
                  </w:tcBorders>
                  <w:shd w:val="clear" w:color="auto" w:fill="auto"/>
                  <w:noWrap w:val="0"/>
                  <w:vAlign w:val="center"/>
                </w:tcPr>
                <w:p w14:paraId="40001B2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r>
            <w:tr w14:paraId="34CAE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restart"/>
                  <w:tcBorders>
                    <w:tl2br w:val="nil"/>
                    <w:tr2bl w:val="nil"/>
                  </w:tcBorders>
                  <w:shd w:val="clear" w:color="auto" w:fill="auto"/>
                  <w:noWrap w:val="0"/>
                  <w:vAlign w:val="center"/>
                </w:tcPr>
                <w:p w14:paraId="024B22B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年</w:t>
                  </w:r>
                </w:p>
                <w:p w14:paraId="2DA7D46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日</w:t>
                  </w:r>
                </w:p>
              </w:tc>
              <w:tc>
                <w:tcPr>
                  <w:tcW w:w="2354" w:type="pct"/>
                  <w:tcBorders>
                    <w:tl2br w:val="nil"/>
                    <w:tr2bl w:val="nil"/>
                  </w:tcBorders>
                  <w:shd w:val="clear" w:color="auto" w:fill="auto"/>
                  <w:noWrap w:val="0"/>
                  <w:vAlign w:val="center"/>
                </w:tcPr>
                <w:p w14:paraId="5D60D8B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东侧厂界外1米处N1</w:t>
                  </w:r>
                </w:p>
              </w:tc>
              <w:tc>
                <w:tcPr>
                  <w:tcW w:w="1485" w:type="pct"/>
                  <w:tcBorders>
                    <w:tl2br w:val="nil"/>
                    <w:tr2bl w:val="nil"/>
                  </w:tcBorders>
                  <w:shd w:val="clear" w:color="auto" w:fill="auto"/>
                  <w:noWrap w:val="0"/>
                  <w:vAlign w:val="center"/>
                </w:tcPr>
                <w:p w14:paraId="1477A6D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56.2</w:t>
                  </w:r>
                </w:p>
              </w:tc>
            </w:tr>
            <w:tr w14:paraId="08B55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7C0BEBC0">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54CF1D0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南侧厂界外1米处N2</w:t>
                  </w:r>
                </w:p>
              </w:tc>
              <w:tc>
                <w:tcPr>
                  <w:tcW w:w="1485" w:type="pct"/>
                  <w:tcBorders>
                    <w:tl2br w:val="nil"/>
                    <w:tr2bl w:val="nil"/>
                  </w:tcBorders>
                  <w:shd w:val="clear" w:color="auto" w:fill="auto"/>
                  <w:noWrap w:val="0"/>
                  <w:vAlign w:val="center"/>
                </w:tcPr>
                <w:p w14:paraId="1B4C766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56.0</w:t>
                  </w:r>
                </w:p>
              </w:tc>
            </w:tr>
            <w:tr w14:paraId="3B3ED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00B4CFCE">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1EE3558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西侧厂界外1米处N3</w:t>
                  </w:r>
                </w:p>
              </w:tc>
              <w:tc>
                <w:tcPr>
                  <w:tcW w:w="1485" w:type="pct"/>
                  <w:tcBorders>
                    <w:tl2br w:val="nil"/>
                    <w:tr2bl w:val="nil"/>
                  </w:tcBorders>
                  <w:shd w:val="clear" w:color="auto" w:fill="auto"/>
                  <w:noWrap w:val="0"/>
                  <w:vAlign w:val="center"/>
                </w:tcPr>
                <w:p w14:paraId="5A3CA78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56.9</w:t>
                  </w:r>
                </w:p>
              </w:tc>
            </w:tr>
            <w:tr w14:paraId="4A217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0F262C04">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12E3D6A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北侧厂界外1米处N4</w:t>
                  </w:r>
                </w:p>
              </w:tc>
              <w:tc>
                <w:tcPr>
                  <w:tcW w:w="1485" w:type="pct"/>
                  <w:tcBorders>
                    <w:tl2br w:val="nil"/>
                    <w:tr2bl w:val="nil"/>
                  </w:tcBorders>
                  <w:shd w:val="clear" w:color="auto" w:fill="auto"/>
                  <w:noWrap w:val="0"/>
                  <w:vAlign w:val="center"/>
                </w:tcPr>
                <w:p w14:paraId="78C26A6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56.0</w:t>
                  </w:r>
                </w:p>
              </w:tc>
            </w:tr>
            <w:tr w14:paraId="6802F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66EADF02">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3831881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太城新厝村边界N5</w:t>
                  </w:r>
                </w:p>
              </w:tc>
              <w:tc>
                <w:tcPr>
                  <w:tcW w:w="1485" w:type="pct"/>
                  <w:tcBorders>
                    <w:tl2br w:val="nil"/>
                    <w:tr2bl w:val="nil"/>
                  </w:tcBorders>
                  <w:shd w:val="clear" w:color="auto" w:fill="auto"/>
                  <w:noWrap w:val="0"/>
                  <w:vAlign w:val="center"/>
                </w:tcPr>
                <w:p w14:paraId="711B7FC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53.8</w:t>
                  </w:r>
                </w:p>
              </w:tc>
            </w:tr>
            <w:tr w14:paraId="05B00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1160" w:type="pct"/>
                  <w:vMerge w:val="continue"/>
                  <w:tcBorders>
                    <w:tl2br w:val="nil"/>
                    <w:tr2bl w:val="nil"/>
                  </w:tcBorders>
                  <w:shd w:val="clear" w:color="auto" w:fill="auto"/>
                  <w:noWrap w:val="0"/>
                  <w:vAlign w:val="center"/>
                </w:tcPr>
                <w:p w14:paraId="5EB22E6B">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354" w:type="pct"/>
                  <w:tcBorders>
                    <w:tl2br w:val="nil"/>
                    <w:tr2bl w:val="nil"/>
                  </w:tcBorders>
                  <w:shd w:val="clear" w:color="auto" w:fill="auto"/>
                  <w:noWrap w:val="0"/>
                  <w:vAlign w:val="center"/>
                </w:tcPr>
                <w:p w14:paraId="2977221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福建龙翔中英文学校边界N6</w:t>
                  </w:r>
                </w:p>
              </w:tc>
              <w:tc>
                <w:tcPr>
                  <w:tcW w:w="1485" w:type="pct"/>
                  <w:tcBorders>
                    <w:tl2br w:val="nil"/>
                    <w:tr2bl w:val="nil"/>
                  </w:tcBorders>
                  <w:shd w:val="clear" w:color="auto" w:fill="auto"/>
                  <w:noWrap w:val="0"/>
                  <w:vAlign w:val="center"/>
                </w:tcPr>
                <w:p w14:paraId="1995450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54.4</w:t>
                  </w:r>
                </w:p>
              </w:tc>
            </w:tr>
          </w:tbl>
          <w:p w14:paraId="305B1115">
            <w:pPr>
              <w:pStyle w:val="43"/>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根据上表检测结果可知，项目周边环境太城新厝村、福建龙翔中英文学校敏感点边界</w:t>
            </w:r>
            <w:r>
              <w:rPr>
                <w:rFonts w:hint="eastAsia" w:cs="Times New Roman"/>
                <w:color w:val="000000" w:themeColor="text1"/>
                <w:lang w:val="en-US" w:eastAsia="zh-CN"/>
                <w14:textFill>
                  <w14:solidFill>
                    <w14:schemeClr w14:val="tx1"/>
                  </w14:solidFill>
                </w14:textFill>
              </w:rPr>
              <w:t>以及本项目厂界四周</w:t>
            </w:r>
            <w:r>
              <w:rPr>
                <w:rFonts w:hint="default" w:ascii="Times New Roman" w:hAnsi="Times New Roman" w:cs="Times New Roman"/>
                <w:color w:val="000000" w:themeColor="text1"/>
                <w:lang w:val="en-US" w:eastAsia="zh-CN"/>
                <w14:textFill>
                  <w14:solidFill>
                    <w14:schemeClr w14:val="tx1"/>
                  </w14:solidFill>
                </w14:textFill>
              </w:rPr>
              <w:t>声环境质量可达到《声环境质量标准》(GB3096-2008)表1中2类</w:t>
            </w:r>
            <w:r>
              <w:rPr>
                <w:rFonts w:hint="eastAsia" w:cs="Times New Roman"/>
                <w:color w:val="000000" w:themeColor="text1"/>
                <w:lang w:val="en-US" w:eastAsia="zh-CN"/>
                <w14:textFill>
                  <w14:solidFill>
                    <w14:schemeClr w14:val="tx1"/>
                  </w14:solidFill>
                </w14:textFill>
              </w:rPr>
              <w:t>声环境功能区</w:t>
            </w:r>
            <w:r>
              <w:rPr>
                <w:rFonts w:hint="default" w:ascii="Times New Roman" w:hAnsi="Times New Roman" w:cs="Times New Roman"/>
                <w:color w:val="000000" w:themeColor="text1"/>
                <w:lang w:val="en-US" w:eastAsia="zh-CN"/>
                <w14:textFill>
                  <w14:solidFill>
                    <w14:schemeClr w14:val="tx1"/>
                  </w14:solidFill>
                </w14:textFill>
              </w:rPr>
              <w:t>标准要求</w:t>
            </w:r>
            <w:r>
              <w:rPr>
                <w:rFonts w:hint="eastAsia" w:cs="Times New Roman"/>
                <w:color w:val="000000" w:themeColor="text1"/>
                <w:lang w:val="en-US" w:eastAsia="zh-CN"/>
                <w14:textFill>
                  <w14:solidFill>
                    <w14:schemeClr w14:val="tx1"/>
                  </w14:solidFill>
                </w14:textFill>
              </w:rPr>
              <w:t>。</w:t>
            </w:r>
          </w:p>
          <w:p w14:paraId="0253598D">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 生态环境现状调查</w:t>
            </w:r>
          </w:p>
          <w:p w14:paraId="0DAF83D1">
            <w:pPr>
              <w:pStyle w:val="43"/>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根据现场勘查，</w:t>
            </w:r>
            <w:r>
              <w:rPr>
                <w:rFonts w:hint="eastAsia" w:cs="Times New Roman"/>
                <w:color w:val="000000" w:themeColor="text1"/>
                <w:lang w:eastAsia="zh-CN"/>
                <w14:textFill>
                  <w14:solidFill>
                    <w14:schemeClr w14:val="tx1"/>
                  </w14:solidFill>
                </w14:textFill>
              </w:rPr>
              <w:t>项目租赁已建厂房生产，</w:t>
            </w:r>
            <w:r>
              <w:rPr>
                <w:rFonts w:hint="default" w:ascii="Times New Roman" w:hAnsi="Times New Roman" w:cs="Times New Roman"/>
                <w:color w:val="000000" w:themeColor="text1"/>
                <w:lang w:val="zh-CN"/>
                <w14:textFill>
                  <w14:solidFill>
                    <w14:schemeClr w14:val="tx1"/>
                  </w14:solidFill>
                </w14:textFill>
              </w:rPr>
              <w:t>项目用地周边为城市道路、其他企业及居住用地等，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r>
              <w:rPr>
                <w:rFonts w:hint="default" w:ascii="Times New Roman" w:hAnsi="Times New Roman" w:cs="Times New Roman"/>
                <w:color w:val="000000" w:themeColor="text1"/>
                <w14:textFill>
                  <w14:solidFill>
                    <w14:schemeClr w14:val="tx1"/>
                  </w14:solidFill>
                </w14:textFill>
              </w:rPr>
              <w:t>。</w:t>
            </w:r>
          </w:p>
          <w:p w14:paraId="49DA40F7">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 地下水、土壤环境质量现状</w:t>
            </w:r>
          </w:p>
          <w:p w14:paraId="24398918">
            <w:pPr>
              <w:pStyle w:val="4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14:paraId="3E677620">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项目位于</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福建省福州市福清市石竹街道融侨开发区（租赁福州聚德电子有限公司1号厂房三层）</w:t>
            </w:r>
            <w:r>
              <w:rPr>
                <w:rFonts w:hint="default" w:ascii="Times New Roman" w:hAnsi="Times New Roman" w:cs="Times New Roman"/>
                <w:color w:val="000000" w:themeColor="text1"/>
                <w:lang w:val="en-US" w:eastAsia="zh-CN"/>
                <w14:textFill>
                  <w14:solidFill>
                    <w14:schemeClr w14:val="tx1"/>
                  </w14:solidFill>
                </w14:textFill>
              </w:rPr>
              <w:t>，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14:paraId="6E583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5" w:hRule="atLeast"/>
          <w:jc w:val="center"/>
        </w:trPr>
        <w:tc>
          <w:tcPr>
            <w:tcW w:w="784" w:type="dxa"/>
            <w:noWrap w:val="0"/>
            <w:vAlign w:val="center"/>
          </w:tcPr>
          <w:p w14:paraId="3F167082">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540DFB74">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保护</w:t>
            </w:r>
          </w:p>
          <w:p w14:paraId="51B14B79">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目标</w:t>
            </w:r>
          </w:p>
        </w:tc>
        <w:tc>
          <w:tcPr>
            <w:tcW w:w="8277" w:type="dxa"/>
            <w:noWrap w:val="0"/>
            <w:vAlign w:val="center"/>
          </w:tcPr>
          <w:p w14:paraId="1D5981E3">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 环境保护目标</w:t>
            </w:r>
          </w:p>
          <w:p w14:paraId="348EECBA">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3.6.1 大气环境、地表水环境、声环境</w:t>
            </w:r>
          </w:p>
          <w:p w14:paraId="47A3D8ED">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根据《建设项目环境影响报告表编制技术指南(污染影响类)(试行)》(环办环评〔2020〕33号)要求以及对项目周边环境的调查，本项目大气环境(厂界外500m)、地表水环境、声环境(厂界外50m)保护目标见表3.6-1和附图2。</w:t>
            </w:r>
          </w:p>
          <w:p w14:paraId="4A97F1F9">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表3.6-1  环境保护目标一览表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53"/>
              <w:gridCol w:w="1657"/>
              <w:gridCol w:w="1822"/>
              <w:gridCol w:w="1521"/>
              <w:gridCol w:w="2420"/>
            </w:tblGrid>
            <w:tr w14:paraId="0B984F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noWrap w:val="0"/>
                  <w:vAlign w:val="center"/>
                </w:tcPr>
                <w:p w14:paraId="134CF01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14:paraId="0A540BB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要素</w:t>
                  </w:r>
                </w:p>
              </w:tc>
              <w:tc>
                <w:tcPr>
                  <w:tcW w:w="989" w:type="pct"/>
                  <w:noWrap w:val="0"/>
                  <w:vAlign w:val="center"/>
                </w:tcPr>
                <w:p w14:paraId="562AA0F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环境保护</w:t>
                  </w:r>
                </w:p>
                <w:p w14:paraId="3B03E73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对象名称</w:t>
                  </w:r>
                </w:p>
              </w:tc>
              <w:tc>
                <w:tcPr>
                  <w:tcW w:w="1088" w:type="pct"/>
                  <w:noWrap w:val="0"/>
                  <w:vAlign w:val="center"/>
                </w:tcPr>
                <w:p w14:paraId="6F3632C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与项目厂界的方位和最近距离</w:t>
                  </w:r>
                </w:p>
              </w:tc>
              <w:tc>
                <w:tcPr>
                  <w:tcW w:w="908" w:type="pct"/>
                  <w:noWrap w:val="0"/>
                  <w:vAlign w:val="center"/>
                </w:tcPr>
                <w:p w14:paraId="156A59A5">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GB" w:eastAsia="zh-CN"/>
                      <w14:textFill>
                        <w14:solidFill>
                          <w14:schemeClr w14:val="tx1"/>
                        </w14:solidFill>
                      </w14:textFill>
                    </w:rPr>
                    <w:t>类型</w:t>
                  </w:r>
                </w:p>
              </w:tc>
              <w:tc>
                <w:tcPr>
                  <w:tcW w:w="1444" w:type="pct"/>
                  <w:noWrap w:val="0"/>
                  <w:vAlign w:val="center"/>
                </w:tcPr>
                <w:p w14:paraId="5CDF28A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环境功能</w:t>
                  </w:r>
                </w:p>
              </w:tc>
            </w:tr>
            <w:tr w14:paraId="70B340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restart"/>
                  <w:noWrap w:val="0"/>
                  <w:vAlign w:val="center"/>
                </w:tcPr>
                <w:p w14:paraId="2932669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14:paraId="74CC224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空气</w:t>
                  </w:r>
                </w:p>
              </w:tc>
              <w:tc>
                <w:tcPr>
                  <w:tcW w:w="989" w:type="pct"/>
                  <w:tcBorders>
                    <w:bottom w:val="single" w:color="auto" w:sz="4" w:space="0"/>
                  </w:tcBorders>
                  <w:noWrap w:val="0"/>
                  <w:vAlign w:val="center"/>
                </w:tcPr>
                <w:p w14:paraId="1D167A33">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太城新厝村</w:t>
                  </w:r>
                </w:p>
              </w:tc>
              <w:tc>
                <w:tcPr>
                  <w:tcW w:w="1088" w:type="pct"/>
                  <w:tcBorders>
                    <w:bottom w:val="single" w:color="auto" w:sz="4" w:space="0"/>
                  </w:tcBorders>
                  <w:noWrap w:val="0"/>
                  <w:vAlign w:val="center"/>
                </w:tcPr>
                <w:p w14:paraId="1DDCAD3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北侧56m</w:t>
                  </w:r>
                </w:p>
              </w:tc>
              <w:tc>
                <w:tcPr>
                  <w:tcW w:w="908" w:type="pct"/>
                  <w:tcBorders>
                    <w:bottom w:val="single" w:color="auto" w:sz="4" w:space="0"/>
                  </w:tcBorders>
                  <w:noWrap w:val="0"/>
                  <w:vAlign w:val="center"/>
                </w:tcPr>
                <w:p w14:paraId="1825FB63">
                  <w:pPr>
                    <w:pStyle w:val="60"/>
                    <w:ind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村庄</w:t>
                  </w:r>
                </w:p>
              </w:tc>
              <w:tc>
                <w:tcPr>
                  <w:tcW w:w="1444" w:type="pct"/>
                  <w:vMerge w:val="restart"/>
                  <w:noWrap w:val="0"/>
                  <w:vAlign w:val="center"/>
                </w:tcPr>
                <w:p w14:paraId="4B23CD64">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《环境空气质量标准》(GB3095-2012)及其修改单二级标准</w:t>
                  </w:r>
                </w:p>
              </w:tc>
            </w:tr>
            <w:tr w14:paraId="2819E2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14:paraId="07BEDE57">
                  <w:pPr>
                    <w:pStyle w:val="47"/>
                    <w:bidi w:val="0"/>
                    <w:rPr>
                      <w:rFonts w:hint="default" w:ascii="Times New Roman" w:hAnsi="Times New Roman" w:cs="Times New Roman"/>
                      <w:color w:val="000000" w:themeColor="text1"/>
                      <w14:textFill>
                        <w14:solidFill>
                          <w14:schemeClr w14:val="tx1"/>
                        </w14:solidFill>
                      </w14:textFill>
                    </w:rPr>
                  </w:pPr>
                </w:p>
              </w:tc>
              <w:tc>
                <w:tcPr>
                  <w:tcW w:w="989" w:type="pct"/>
                  <w:tcBorders>
                    <w:bottom w:val="single" w:color="auto" w:sz="4" w:space="0"/>
                  </w:tcBorders>
                  <w:noWrap w:val="0"/>
                  <w:vAlign w:val="center"/>
                </w:tcPr>
                <w:p w14:paraId="67B6804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甘厝村</w:t>
                  </w:r>
                </w:p>
              </w:tc>
              <w:tc>
                <w:tcPr>
                  <w:tcW w:w="1088" w:type="pct"/>
                  <w:tcBorders>
                    <w:bottom w:val="single" w:color="auto" w:sz="4" w:space="0"/>
                  </w:tcBorders>
                  <w:noWrap w:val="0"/>
                  <w:vAlign w:val="center"/>
                </w:tcPr>
                <w:p w14:paraId="79D56F7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西北侧</w:t>
                  </w:r>
                  <w:r>
                    <w:rPr>
                      <w:rFonts w:hint="eastAsia" w:cs="Times New Roman"/>
                      <w:color w:val="000000" w:themeColor="text1"/>
                      <w:lang w:val="en-US" w:eastAsia="zh-CN"/>
                      <w14:textFill>
                        <w14:solidFill>
                          <w14:schemeClr w14:val="tx1"/>
                        </w14:solidFill>
                      </w14:textFill>
                    </w:rPr>
                    <w:t>207</w:t>
                  </w:r>
                  <w:r>
                    <w:rPr>
                      <w:rFonts w:hint="default" w:ascii="Times New Roman" w:hAnsi="Times New Roman" w:cs="Times New Roman"/>
                      <w:color w:val="000000" w:themeColor="text1"/>
                      <w:lang w:val="en-US" w:eastAsia="zh-CN"/>
                      <w14:textFill>
                        <w14:solidFill>
                          <w14:schemeClr w14:val="tx1"/>
                        </w14:solidFill>
                      </w14:textFill>
                    </w:rPr>
                    <w:t>m</w:t>
                  </w:r>
                </w:p>
              </w:tc>
              <w:tc>
                <w:tcPr>
                  <w:tcW w:w="908" w:type="pct"/>
                  <w:tcBorders>
                    <w:bottom w:val="single" w:color="auto" w:sz="4" w:space="0"/>
                  </w:tcBorders>
                  <w:noWrap w:val="0"/>
                  <w:vAlign w:val="center"/>
                </w:tcPr>
                <w:p w14:paraId="5EBFE719">
                  <w:pPr>
                    <w:pStyle w:val="60"/>
                    <w:ind w:firstLine="0" w:firstLineChars="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村庄</w:t>
                  </w:r>
                </w:p>
              </w:tc>
              <w:tc>
                <w:tcPr>
                  <w:tcW w:w="1444" w:type="pct"/>
                  <w:vMerge w:val="continue"/>
                  <w:noWrap w:val="0"/>
                  <w:vAlign w:val="center"/>
                </w:tcPr>
                <w:p w14:paraId="080606B8">
                  <w:pPr>
                    <w:pStyle w:val="47"/>
                    <w:bidi w:val="0"/>
                    <w:rPr>
                      <w:rFonts w:hint="default" w:ascii="Times New Roman" w:hAnsi="Times New Roman" w:cs="Times New Roman"/>
                      <w:color w:val="000000" w:themeColor="text1"/>
                      <w14:textFill>
                        <w14:solidFill>
                          <w14:schemeClr w14:val="tx1"/>
                        </w14:solidFill>
                      </w14:textFill>
                    </w:rPr>
                  </w:pPr>
                </w:p>
              </w:tc>
            </w:tr>
            <w:tr w14:paraId="6D234B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718" w:hRule="atLeast"/>
                <w:jc w:val="center"/>
              </w:trPr>
              <w:tc>
                <w:tcPr>
                  <w:tcW w:w="569" w:type="pct"/>
                  <w:vMerge w:val="continue"/>
                  <w:noWrap w:val="0"/>
                  <w:vAlign w:val="center"/>
                </w:tcPr>
                <w:p w14:paraId="69B8E665">
                  <w:pPr>
                    <w:pStyle w:val="47"/>
                    <w:bidi w:val="0"/>
                    <w:rPr>
                      <w:rFonts w:hint="default" w:ascii="Times New Roman" w:hAnsi="Times New Roman" w:cs="Times New Roman"/>
                      <w:color w:val="000000" w:themeColor="text1"/>
                      <w14:textFill>
                        <w14:solidFill>
                          <w14:schemeClr w14:val="tx1"/>
                        </w14:solidFill>
                      </w14:textFill>
                    </w:rPr>
                  </w:pPr>
                </w:p>
              </w:tc>
              <w:tc>
                <w:tcPr>
                  <w:tcW w:w="989" w:type="pct"/>
                  <w:tcBorders>
                    <w:bottom w:val="single" w:color="auto" w:sz="4" w:space="0"/>
                  </w:tcBorders>
                  <w:noWrap w:val="0"/>
                  <w:vAlign w:val="center"/>
                </w:tcPr>
                <w:p w14:paraId="1BC9F563">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可溪乾</w:t>
                  </w:r>
                </w:p>
              </w:tc>
              <w:tc>
                <w:tcPr>
                  <w:tcW w:w="1088" w:type="pct"/>
                  <w:tcBorders>
                    <w:top w:val="single" w:color="auto" w:sz="4" w:space="0"/>
                    <w:bottom w:val="single" w:color="auto" w:sz="4" w:space="0"/>
                  </w:tcBorders>
                  <w:noWrap w:val="0"/>
                  <w:vAlign w:val="center"/>
                </w:tcPr>
                <w:p w14:paraId="19B7F02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w:t>
                  </w:r>
                  <w:r>
                    <w:rPr>
                      <w:rFonts w:hint="eastAsia" w:cs="Times New Roman"/>
                      <w:color w:val="000000" w:themeColor="text1"/>
                      <w:lang w:val="en-US" w:eastAsia="zh-CN"/>
                      <w14:textFill>
                        <w14:solidFill>
                          <w14:schemeClr w14:val="tx1"/>
                        </w14:solidFill>
                      </w14:textFill>
                    </w:rPr>
                    <w:t>294</w:t>
                  </w:r>
                  <w:r>
                    <w:rPr>
                      <w:rFonts w:hint="default" w:ascii="Times New Roman" w:hAnsi="Times New Roman" w:cs="Times New Roman"/>
                      <w:color w:val="000000" w:themeColor="text1"/>
                      <w:lang w:val="en-US" w:eastAsia="zh-CN"/>
                      <w14:textFill>
                        <w14:solidFill>
                          <w14:schemeClr w14:val="tx1"/>
                        </w14:solidFill>
                      </w14:textFill>
                    </w:rPr>
                    <w:t>m</w:t>
                  </w:r>
                </w:p>
              </w:tc>
              <w:tc>
                <w:tcPr>
                  <w:tcW w:w="908" w:type="pct"/>
                  <w:tcBorders>
                    <w:bottom w:val="single" w:color="auto" w:sz="4" w:space="0"/>
                  </w:tcBorders>
                  <w:noWrap w:val="0"/>
                  <w:vAlign w:val="center"/>
                </w:tcPr>
                <w:p w14:paraId="35A71B18">
                  <w:pPr>
                    <w:pStyle w:val="6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村庄</w:t>
                  </w:r>
                </w:p>
              </w:tc>
              <w:tc>
                <w:tcPr>
                  <w:tcW w:w="1444" w:type="pct"/>
                  <w:vMerge w:val="continue"/>
                  <w:noWrap w:val="0"/>
                  <w:vAlign w:val="center"/>
                </w:tcPr>
                <w:p w14:paraId="1F1B3502">
                  <w:pPr>
                    <w:pStyle w:val="47"/>
                    <w:bidi w:val="0"/>
                    <w:rPr>
                      <w:rFonts w:hint="default" w:ascii="Times New Roman" w:hAnsi="Times New Roman" w:cs="Times New Roman"/>
                      <w:color w:val="000000" w:themeColor="text1"/>
                      <w14:textFill>
                        <w14:solidFill>
                          <w14:schemeClr w14:val="tx1"/>
                        </w14:solidFill>
                      </w14:textFill>
                    </w:rPr>
                  </w:pPr>
                </w:p>
              </w:tc>
            </w:tr>
            <w:tr w14:paraId="773D04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14:paraId="583272CE">
                  <w:pPr>
                    <w:pStyle w:val="47"/>
                    <w:bidi w:val="0"/>
                    <w:rPr>
                      <w:rFonts w:hint="default" w:ascii="Times New Roman" w:hAnsi="Times New Roman" w:cs="Times New Roman"/>
                      <w:color w:val="000000" w:themeColor="text1"/>
                      <w14:textFill>
                        <w14:solidFill>
                          <w14:schemeClr w14:val="tx1"/>
                        </w14:solidFill>
                      </w14:textFill>
                    </w:rPr>
                  </w:pPr>
                </w:p>
              </w:tc>
              <w:tc>
                <w:tcPr>
                  <w:tcW w:w="989" w:type="pct"/>
                  <w:tcBorders>
                    <w:bottom w:val="single" w:color="auto" w:sz="4" w:space="0"/>
                  </w:tcBorders>
                  <w:noWrap w:val="0"/>
                  <w:vAlign w:val="center"/>
                </w:tcPr>
                <w:p w14:paraId="1A21FCEE">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福建龙翔中英文学校</w:t>
                  </w:r>
                </w:p>
              </w:tc>
              <w:tc>
                <w:tcPr>
                  <w:tcW w:w="1088" w:type="pct"/>
                  <w:tcBorders>
                    <w:top w:val="single" w:color="auto" w:sz="4" w:space="0"/>
                    <w:bottom w:val="single" w:color="auto" w:sz="4" w:space="0"/>
                  </w:tcBorders>
                  <w:noWrap w:val="0"/>
                  <w:vAlign w:val="center"/>
                </w:tcPr>
                <w:p w14:paraId="3F514FC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西侧2</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m</w:t>
                  </w:r>
                </w:p>
              </w:tc>
              <w:tc>
                <w:tcPr>
                  <w:tcW w:w="908" w:type="pct"/>
                  <w:tcBorders>
                    <w:bottom w:val="single" w:color="auto" w:sz="4" w:space="0"/>
                  </w:tcBorders>
                  <w:noWrap w:val="0"/>
                  <w:vAlign w:val="center"/>
                </w:tcPr>
                <w:p w14:paraId="60620C6E">
                  <w:pPr>
                    <w:pStyle w:val="6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学校</w:t>
                  </w:r>
                </w:p>
              </w:tc>
              <w:tc>
                <w:tcPr>
                  <w:tcW w:w="1444" w:type="pct"/>
                  <w:vMerge w:val="continue"/>
                  <w:noWrap w:val="0"/>
                  <w:vAlign w:val="center"/>
                </w:tcPr>
                <w:p w14:paraId="4A4E0E6C">
                  <w:pPr>
                    <w:pStyle w:val="47"/>
                    <w:bidi w:val="0"/>
                    <w:rPr>
                      <w:rFonts w:hint="default" w:ascii="Times New Roman" w:hAnsi="Times New Roman" w:cs="Times New Roman"/>
                      <w:color w:val="000000" w:themeColor="text1"/>
                      <w14:textFill>
                        <w14:solidFill>
                          <w14:schemeClr w14:val="tx1"/>
                        </w14:solidFill>
                      </w14:textFill>
                    </w:rPr>
                  </w:pPr>
                </w:p>
              </w:tc>
            </w:tr>
            <w:tr w14:paraId="475A5A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restart"/>
                  <w:noWrap w:val="0"/>
                  <w:vAlign w:val="center"/>
                </w:tcPr>
                <w:p w14:paraId="5753E295">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地表水</w:t>
                  </w:r>
                </w:p>
              </w:tc>
              <w:tc>
                <w:tcPr>
                  <w:tcW w:w="989" w:type="pct"/>
                  <w:tcBorders>
                    <w:bottom w:val="single" w:color="auto" w:sz="4" w:space="0"/>
                  </w:tcBorders>
                  <w:noWrap w:val="0"/>
                  <w:vAlign w:val="center"/>
                </w:tcPr>
                <w:p w14:paraId="69C25C73">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太城溪</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源头</w:t>
                  </w:r>
                  <w:r>
                    <w:rPr>
                      <w:rFonts w:hint="default" w:ascii="Times New Roman" w:hAnsi="Times New Roman" w:eastAsia="宋体" w:cs="Times New Roman"/>
                      <w:color w:val="000000" w:themeColor="text1"/>
                      <w:szCs w:val="21"/>
                      <w14:textFill>
                        <w14:solidFill>
                          <w14:schemeClr w14:val="tx1"/>
                        </w14:solidFill>
                      </w14:textFill>
                    </w:rPr>
                    <w:t>至</w:t>
                  </w:r>
                  <w:r>
                    <w:rPr>
                      <w:rFonts w:hint="default" w:ascii="Times New Roman" w:hAnsi="Times New Roman" w:eastAsia="宋体" w:cs="Times New Roman"/>
                      <w:color w:val="000000" w:themeColor="text1"/>
                      <w:szCs w:val="21"/>
                      <w:lang w:eastAsia="zh-CN"/>
                      <w14:textFill>
                        <w14:solidFill>
                          <w14:schemeClr w14:val="tx1"/>
                        </w14:solidFill>
                      </w14:textFill>
                    </w:rPr>
                    <w:t>太城溪</w:t>
                  </w:r>
                  <w:r>
                    <w:rPr>
                      <w:rFonts w:hint="default" w:ascii="Times New Roman" w:hAnsi="Times New Roman" w:eastAsia="宋体" w:cs="Times New Roman"/>
                      <w:color w:val="000000" w:themeColor="text1"/>
                      <w:szCs w:val="21"/>
                      <w14:textFill>
                        <w14:solidFill>
                          <w14:schemeClr w14:val="tx1"/>
                        </w14:solidFill>
                      </w14:textFill>
                    </w:rPr>
                    <w:t>口</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断面</w:t>
                  </w:r>
                </w:p>
              </w:tc>
              <w:tc>
                <w:tcPr>
                  <w:tcW w:w="1088" w:type="pct"/>
                  <w:tcBorders>
                    <w:bottom w:val="single" w:color="auto" w:sz="4" w:space="0"/>
                    <w:right w:val="single" w:color="auto" w:sz="4" w:space="0"/>
                  </w:tcBorders>
                  <w:noWrap w:val="0"/>
                  <w:vAlign w:val="center"/>
                </w:tcPr>
                <w:p w14:paraId="172DDE1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w:t>
                  </w:r>
                  <w:r>
                    <w:rPr>
                      <w:rFonts w:hint="default" w:ascii="Times New Roman" w:hAnsi="Times New Roman" w:cs="Times New Roman"/>
                      <w:color w:val="000000" w:themeColor="text1"/>
                      <w:lang w:eastAsia="zh-CN"/>
                      <w14:textFill>
                        <w14:solidFill>
                          <w14:schemeClr w14:val="tx1"/>
                        </w14:solidFill>
                      </w14:textFill>
                    </w:rPr>
                    <w:t>侧</w:t>
                  </w:r>
                  <w:r>
                    <w:rPr>
                      <w:rFonts w:hint="default" w:ascii="Times New Roman" w:hAnsi="Times New Roman" w:cs="Times New Roman"/>
                      <w:color w:val="000000" w:themeColor="text1"/>
                      <w:lang w:val="en-US" w:eastAsia="zh-CN"/>
                      <w14:textFill>
                        <w14:solidFill>
                          <w14:schemeClr w14:val="tx1"/>
                        </w14:solidFill>
                      </w14:textFill>
                    </w:rPr>
                    <w:t>310m</w:t>
                  </w:r>
                </w:p>
              </w:tc>
              <w:tc>
                <w:tcPr>
                  <w:tcW w:w="908" w:type="pct"/>
                  <w:tcBorders>
                    <w:left w:val="single" w:color="auto" w:sz="4" w:space="0"/>
                    <w:bottom w:val="single" w:color="auto" w:sz="4" w:space="0"/>
                    <w:right w:val="single" w:color="auto" w:sz="4" w:space="0"/>
                  </w:tcBorders>
                  <w:noWrap w:val="0"/>
                  <w:vAlign w:val="center"/>
                </w:tcPr>
                <w:p w14:paraId="0308FF0C">
                  <w:pPr>
                    <w:spacing w:line="340" w:lineRule="exact"/>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w:t>
                  </w:r>
                  <w:r>
                    <w:rPr>
                      <w:rFonts w:hint="default" w:ascii="Times New Roman" w:hAnsi="Times New Roman" w:cs="Times New Roman"/>
                      <w:color w:val="000000" w:themeColor="text1"/>
                      <w:lang w:eastAsia="zh-CN"/>
                      <w14:textFill>
                        <w14:solidFill>
                          <w14:schemeClr w14:val="tx1"/>
                        </w14:solidFill>
                      </w14:textFill>
                    </w:rPr>
                    <w:t>、农业</w:t>
                  </w:r>
                  <w:r>
                    <w:rPr>
                      <w:rFonts w:hint="default" w:ascii="Times New Roman" w:hAnsi="Times New Roman" w:cs="Times New Roman"/>
                      <w:color w:val="000000" w:themeColor="text1"/>
                      <w14:textFill>
                        <w14:solidFill>
                          <w14:schemeClr w14:val="tx1"/>
                        </w14:solidFill>
                      </w14:textFill>
                    </w:rPr>
                    <w:t>用水</w:t>
                  </w:r>
                </w:p>
              </w:tc>
              <w:tc>
                <w:tcPr>
                  <w:tcW w:w="1444" w:type="pct"/>
                  <w:tcBorders>
                    <w:left w:val="single" w:color="auto" w:sz="4" w:space="0"/>
                    <w:bottom w:val="single" w:color="auto" w:sz="4" w:space="0"/>
                  </w:tcBorders>
                  <w:noWrap w:val="0"/>
                  <w:vAlign w:val="center"/>
                </w:tcPr>
                <w:p w14:paraId="692BC94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《地表水环境质量标准》(GB3838-2002)</w:t>
                  </w:r>
                  <w:r>
                    <w:rPr>
                      <w:rFonts w:hint="default" w:ascii="Times New Roman" w:hAnsi="Times New Roman" w:cs="Times New Roman"/>
                      <w:color w:val="000000" w:themeColor="text1"/>
                      <w14:textFill>
                        <w14:solidFill>
                          <w14:schemeClr w14:val="tx1"/>
                        </w14:solidFill>
                      </w14:textFill>
                    </w:rPr>
                    <w:t>Ⅳ</w:t>
                  </w:r>
                  <w:r>
                    <w:rPr>
                      <w:rFonts w:hint="default" w:ascii="Times New Roman" w:hAnsi="Times New Roman" w:cs="Times New Roman"/>
                      <w:color w:val="000000" w:themeColor="text1"/>
                      <w:lang w:eastAsia="zh-CN"/>
                      <w14:textFill>
                        <w14:solidFill>
                          <w14:schemeClr w14:val="tx1"/>
                        </w14:solidFill>
                      </w14:textFill>
                    </w:rPr>
                    <w:t>类标准</w:t>
                  </w:r>
                </w:p>
              </w:tc>
            </w:tr>
            <w:tr w14:paraId="4E3D0D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14:paraId="051FFF13">
                  <w:pPr>
                    <w:pStyle w:val="47"/>
                    <w:bidi w:val="0"/>
                    <w:rPr>
                      <w:rFonts w:hint="default" w:ascii="Times New Roman" w:hAnsi="Times New Roman" w:cs="Times New Roman"/>
                      <w:color w:val="000000" w:themeColor="text1"/>
                      <w:lang w:eastAsia="zh-CN"/>
                      <w14:textFill>
                        <w14:solidFill>
                          <w14:schemeClr w14:val="tx1"/>
                        </w14:solidFill>
                      </w14:textFill>
                    </w:rPr>
                  </w:pPr>
                </w:p>
              </w:tc>
              <w:tc>
                <w:tcPr>
                  <w:tcW w:w="989" w:type="pct"/>
                  <w:tcBorders>
                    <w:bottom w:val="single" w:color="auto" w:sz="4" w:space="0"/>
                  </w:tcBorders>
                  <w:noWrap w:val="0"/>
                  <w:vAlign w:val="center"/>
                </w:tcPr>
                <w:p w14:paraId="737DE4C1">
                  <w:pPr>
                    <w:pStyle w:val="47"/>
                    <w:bidi w:val="0"/>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龙江</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南门桥水闸至龙江入海口</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断面</w:t>
                  </w:r>
                </w:p>
              </w:tc>
              <w:tc>
                <w:tcPr>
                  <w:tcW w:w="1088" w:type="pct"/>
                  <w:tcBorders>
                    <w:bottom w:val="single" w:color="auto" w:sz="4" w:space="0"/>
                    <w:right w:val="single" w:color="auto" w:sz="4" w:space="0"/>
                  </w:tcBorders>
                  <w:noWrap w:val="0"/>
                  <w:vAlign w:val="center"/>
                </w:tcPr>
                <w:p w14:paraId="40B5D5F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南侧6000m</w:t>
                  </w:r>
                </w:p>
              </w:tc>
              <w:tc>
                <w:tcPr>
                  <w:tcW w:w="908" w:type="pct"/>
                  <w:tcBorders>
                    <w:left w:val="single" w:color="auto" w:sz="4" w:space="0"/>
                    <w:bottom w:val="single" w:color="auto" w:sz="4" w:space="0"/>
                    <w:right w:val="single" w:color="auto" w:sz="4" w:space="0"/>
                  </w:tcBorders>
                  <w:noWrap w:val="0"/>
                  <w:vAlign w:val="center"/>
                </w:tcPr>
                <w:p w14:paraId="31F2B00D">
                  <w:pPr>
                    <w:spacing w:line="34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一般景观用水</w:t>
                  </w:r>
                </w:p>
              </w:tc>
              <w:tc>
                <w:tcPr>
                  <w:tcW w:w="1444" w:type="pct"/>
                  <w:tcBorders>
                    <w:left w:val="single" w:color="auto" w:sz="4" w:space="0"/>
                    <w:bottom w:val="single" w:color="auto" w:sz="4" w:space="0"/>
                  </w:tcBorders>
                  <w:noWrap w:val="0"/>
                  <w:vAlign w:val="center"/>
                </w:tcPr>
                <w:p w14:paraId="0AFE46BD">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《地表水环境质量标准》(GB3838-2002)</w:t>
                  </w:r>
                  <w:r>
                    <w:rPr>
                      <w:rFonts w:hint="default" w:ascii="Times New Roman" w:hAnsi="Times New Roman" w:cs="Times New Roman"/>
                      <w:color w:val="000000" w:themeColor="text1"/>
                      <w:lang w:val="en-US" w:eastAsia="zh-CN"/>
                      <w14:textFill>
                        <w14:solidFill>
                          <w14:schemeClr w14:val="tx1"/>
                        </w14:solidFill>
                      </w14:textFill>
                    </w:rPr>
                    <w:t>V</w:t>
                  </w:r>
                  <w:r>
                    <w:rPr>
                      <w:rFonts w:hint="default" w:ascii="Times New Roman" w:hAnsi="Times New Roman" w:cs="Times New Roman"/>
                      <w:color w:val="000000" w:themeColor="text1"/>
                      <w:lang w:eastAsia="zh-CN"/>
                      <w14:textFill>
                        <w14:solidFill>
                          <w14:schemeClr w14:val="tx1"/>
                        </w14:solidFill>
                      </w14:textFill>
                    </w:rPr>
                    <w:t>类标准</w:t>
                  </w:r>
                </w:p>
              </w:tc>
            </w:tr>
            <w:tr w14:paraId="28D9C5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restart"/>
                  <w:noWrap w:val="0"/>
                  <w:vAlign w:val="center"/>
                </w:tcPr>
                <w:p w14:paraId="339F4D5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989" w:type="pct"/>
                  <w:noWrap w:val="0"/>
                  <w:vAlign w:val="center"/>
                </w:tcPr>
                <w:p w14:paraId="3B5371D4">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太城新厝村</w:t>
                  </w:r>
                </w:p>
              </w:tc>
              <w:tc>
                <w:tcPr>
                  <w:tcW w:w="1088" w:type="pct"/>
                  <w:noWrap w:val="0"/>
                  <w:vAlign w:val="center"/>
                </w:tcPr>
                <w:p w14:paraId="4EA31CBE">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北侧56m</w:t>
                  </w:r>
                </w:p>
              </w:tc>
              <w:tc>
                <w:tcPr>
                  <w:tcW w:w="908" w:type="pct"/>
                  <w:noWrap w:val="0"/>
                  <w:vAlign w:val="center"/>
                </w:tcPr>
                <w:p w14:paraId="76D4FD01">
                  <w:pPr>
                    <w:pStyle w:val="60"/>
                    <w:ind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村庄</w:t>
                  </w:r>
                </w:p>
              </w:tc>
              <w:tc>
                <w:tcPr>
                  <w:tcW w:w="1444" w:type="pct"/>
                  <w:vMerge w:val="restart"/>
                  <w:noWrap w:val="0"/>
                  <w:vAlign w:val="center"/>
                </w:tcPr>
                <w:p w14:paraId="7300BC27">
                  <w:pPr>
                    <w:pStyle w:val="47"/>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《声环境质量标准》(GB3096-3838)</w:t>
                  </w:r>
                  <w:r>
                    <w:rPr>
                      <w:rFonts w:hint="eastAsia" w:cs="Times New Roman"/>
                      <w:color w:val="000000" w:themeColor="text1"/>
                      <w:highlight w:val="none"/>
                      <w:lang w:val="en-US" w:eastAsia="zh-CN"/>
                      <w14:textFill>
                        <w14:solidFill>
                          <w14:schemeClr w14:val="tx1"/>
                        </w14:solidFill>
                      </w14:textFill>
                    </w:rPr>
                    <w:t>2类</w:t>
                  </w:r>
                  <w:r>
                    <w:rPr>
                      <w:rFonts w:hint="default" w:ascii="Times New Roman" w:hAnsi="Times New Roman" w:cs="Times New Roman"/>
                      <w:color w:val="000000" w:themeColor="text1"/>
                      <w:highlight w:val="none"/>
                      <w:lang w:eastAsia="zh-CN"/>
                      <w14:textFill>
                        <w14:solidFill>
                          <w14:schemeClr w14:val="tx1"/>
                        </w14:solidFill>
                      </w14:textFill>
                    </w:rPr>
                    <w:t>标准</w:t>
                  </w:r>
                </w:p>
              </w:tc>
            </w:tr>
            <w:tr w14:paraId="471C96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14:paraId="731A2AD2">
                  <w:pPr>
                    <w:pStyle w:val="47"/>
                    <w:bidi w:val="0"/>
                    <w:rPr>
                      <w:rFonts w:hint="default" w:ascii="Times New Roman" w:hAnsi="Times New Roman" w:cs="Times New Roman"/>
                      <w:color w:val="000000" w:themeColor="text1"/>
                      <w14:textFill>
                        <w14:solidFill>
                          <w14:schemeClr w14:val="tx1"/>
                        </w14:solidFill>
                      </w14:textFill>
                    </w:rPr>
                  </w:pPr>
                </w:p>
              </w:tc>
              <w:tc>
                <w:tcPr>
                  <w:tcW w:w="989" w:type="pct"/>
                  <w:noWrap w:val="0"/>
                  <w:vAlign w:val="center"/>
                </w:tcPr>
                <w:p w14:paraId="07584FDD">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福建龙翔中英文学校</w:t>
                  </w:r>
                </w:p>
              </w:tc>
              <w:tc>
                <w:tcPr>
                  <w:tcW w:w="1088" w:type="pct"/>
                  <w:noWrap w:val="0"/>
                  <w:vAlign w:val="center"/>
                </w:tcPr>
                <w:p w14:paraId="1DC2279F">
                  <w:pPr>
                    <w:pStyle w:val="47"/>
                    <w:bidi w:val="0"/>
                    <w:ind w:left="0" w:leftChars="0" w:firstLine="0" w:firstLineChars="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w:t>
                  </w:r>
                  <w:r>
                    <w:rPr>
                      <w:rFonts w:hint="eastAsia" w:cs="Times New Roman"/>
                      <w:color w:val="000000" w:themeColor="text1"/>
                      <w:lang w:val="en-US" w:eastAsia="zh-CN"/>
                      <w14:textFill>
                        <w14:solidFill>
                          <w14:schemeClr w14:val="tx1"/>
                        </w14:solidFill>
                      </w14:textFill>
                    </w:rPr>
                    <w:t>27</w:t>
                  </w:r>
                  <w:r>
                    <w:rPr>
                      <w:rFonts w:hint="default" w:ascii="Times New Roman" w:hAnsi="Times New Roman" w:cs="Times New Roman"/>
                      <w:color w:val="000000" w:themeColor="text1"/>
                      <w:lang w:val="en-US" w:eastAsia="zh-CN"/>
                      <w14:textFill>
                        <w14:solidFill>
                          <w14:schemeClr w14:val="tx1"/>
                        </w14:solidFill>
                      </w14:textFill>
                    </w:rPr>
                    <w:t>m</w:t>
                  </w:r>
                </w:p>
              </w:tc>
              <w:tc>
                <w:tcPr>
                  <w:tcW w:w="908" w:type="pct"/>
                  <w:noWrap w:val="0"/>
                  <w:vAlign w:val="center"/>
                </w:tcPr>
                <w:p w14:paraId="1139FCD8">
                  <w:pPr>
                    <w:pStyle w:val="60"/>
                    <w:ind w:firstLine="0" w:firstLineChars="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学校</w:t>
                  </w:r>
                </w:p>
              </w:tc>
              <w:tc>
                <w:tcPr>
                  <w:tcW w:w="1444" w:type="pct"/>
                  <w:vMerge w:val="continue"/>
                  <w:noWrap w:val="0"/>
                  <w:vAlign w:val="center"/>
                </w:tcPr>
                <w:p w14:paraId="2A8C7AA1">
                  <w:pPr>
                    <w:pStyle w:val="47"/>
                    <w:bidi w:val="0"/>
                    <w:rPr>
                      <w:rFonts w:hint="default" w:ascii="Times New Roman" w:hAnsi="Times New Roman" w:cs="Times New Roman"/>
                      <w:color w:val="000000" w:themeColor="text1"/>
                      <w14:textFill>
                        <w14:solidFill>
                          <w14:schemeClr w14:val="tx1"/>
                        </w14:solidFill>
                      </w14:textFill>
                    </w:rPr>
                  </w:pPr>
                </w:p>
              </w:tc>
            </w:tr>
            <w:tr w14:paraId="57865B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9" w:type="pct"/>
                  <w:noWrap w:val="0"/>
                  <w:vAlign w:val="center"/>
                </w:tcPr>
                <w:p w14:paraId="6EEB2BED">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地下水</w:t>
                  </w:r>
                </w:p>
              </w:tc>
              <w:tc>
                <w:tcPr>
                  <w:tcW w:w="4430" w:type="pct"/>
                  <w:gridSpan w:val="4"/>
                  <w:noWrap w:val="0"/>
                  <w:vAlign w:val="center"/>
                </w:tcPr>
                <w:p w14:paraId="221E8E83">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项目厂界外500米范围内无地下水集中式饮用水水源和热水、矿泉水、温泉等特殊地下水资源</w:t>
                  </w:r>
                </w:p>
              </w:tc>
            </w:tr>
          </w:tbl>
          <w:p w14:paraId="1C1A362F">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3.6.2 生态环境保护目标</w:t>
            </w:r>
          </w:p>
          <w:p w14:paraId="6F99780C">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根据《建设项目环境影响报告表编制技术指南(污染影响类)(试行)》(环办环评〔2020〕33号)“产业园区外建设项目新增用地的，应明确新增用地范围内生态环境保护目标”。本项目位于</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福建省福州市福清市石竹街道融侨开发区（租赁福州聚德电子有限公司1号厂房三层）</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租赁已建厂房</w:t>
            </w:r>
            <w:r>
              <w:rPr>
                <w:rFonts w:hint="default" w:ascii="Times New Roman" w:hAnsi="Times New Roman" w:cs="Times New Roman"/>
                <w:color w:val="000000" w:themeColor="text1"/>
                <w:lang w:val="en-US" w:eastAsia="zh-CN"/>
                <w14:textFill>
                  <w14:solidFill>
                    <w14:schemeClr w14:val="tx1"/>
                  </w14:solidFill>
                </w14:textFill>
              </w:rPr>
              <w:t>，无需进行新增用地范围内生态环境保护目标调查。</w:t>
            </w:r>
          </w:p>
        </w:tc>
      </w:tr>
      <w:tr w14:paraId="04F4C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84" w:type="dxa"/>
            <w:noWrap w:val="0"/>
            <w:tcMar>
              <w:left w:w="28" w:type="dxa"/>
              <w:right w:w="28" w:type="dxa"/>
            </w:tcMar>
            <w:vAlign w:val="center"/>
          </w:tcPr>
          <w:p w14:paraId="67016D42">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污染</w:t>
            </w:r>
          </w:p>
          <w:p w14:paraId="7495248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物排</w:t>
            </w:r>
          </w:p>
          <w:p w14:paraId="24FBA3D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放控</w:t>
            </w:r>
          </w:p>
          <w:p w14:paraId="4035333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制标</w:t>
            </w:r>
          </w:p>
          <w:p w14:paraId="3CEF85D9">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准</w:t>
            </w:r>
          </w:p>
        </w:tc>
        <w:tc>
          <w:tcPr>
            <w:tcW w:w="8277" w:type="dxa"/>
            <w:noWrap w:val="0"/>
            <w:vAlign w:val="center"/>
          </w:tcPr>
          <w:p w14:paraId="5DD9A9E3">
            <w:pPr>
              <w:pStyle w:val="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 污染物排放标准</w:t>
            </w:r>
          </w:p>
          <w:p w14:paraId="5C70A16C">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3.7.1 水污染物排放标准</w:t>
            </w:r>
          </w:p>
          <w:p w14:paraId="5A5E2A2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1）生活污水排放标准</w:t>
            </w:r>
          </w:p>
          <w:p w14:paraId="5922FAB6">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本项目生活污水</w:t>
            </w:r>
            <w:r>
              <w:rPr>
                <w:rFonts w:hint="eastAsia" w:cs="Times New Roman"/>
                <w:color w:val="000000" w:themeColor="text1"/>
                <w:lang w:eastAsia="zh-CN"/>
                <w14:textFill>
                  <w14:solidFill>
                    <w14:schemeClr w14:val="tx1"/>
                  </w14:solidFill>
                </w14:textFill>
              </w:rPr>
              <w:t>经</w:t>
            </w:r>
            <w:r>
              <w:rPr>
                <w:rFonts w:hint="default" w:ascii="Times New Roman" w:hAnsi="Times New Roman" w:cs="Times New Roman"/>
                <w:color w:val="000000" w:themeColor="text1"/>
                <w:lang w:eastAsia="zh-CN"/>
                <w14:textFill>
                  <w14:solidFill>
                    <w14:schemeClr w14:val="tx1"/>
                  </w14:solidFill>
                </w14:textFill>
              </w:rPr>
              <w:t>化粪池预处理后排入市政污水管网送往福清市第二污水处理厂集中处理，</w:t>
            </w:r>
            <w:r>
              <w:rPr>
                <w:rFonts w:hint="default" w:ascii="Times New Roman" w:hAnsi="Times New Roman" w:cs="Times New Roman"/>
                <w:color w:val="000000" w:themeColor="text1"/>
                <w14:textFill>
                  <w14:solidFill>
                    <w14:schemeClr w14:val="tx1"/>
                  </w14:solidFill>
                </w14:textFill>
              </w:rPr>
              <w:t>项目生活污水排放执行《污水综合排放标准》(GB8978-1996)表4三级标准(其中氨氮参照执行《污水排入城镇下水道水质标准》(GB/T 31962-2015)表1中B级标准限值)，具体详见表3.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p>
          <w:p w14:paraId="638AF645">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7-1</w:t>
            </w:r>
            <w:r>
              <w:rPr>
                <w:rFonts w:hint="default" w:ascii="Times New Roman" w:hAnsi="Times New Roman" w:cs="Times New Roman"/>
                <w:color w:val="000000" w:themeColor="text1"/>
                <w14:textFill>
                  <w14:solidFill>
                    <w14:schemeClr w14:val="tx1"/>
                  </w14:solidFill>
                </w14:textFill>
              </w:rPr>
              <w:t xml:space="preserve">  项目废水污染物排放标准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2"/>
              <w:gridCol w:w="2033"/>
              <w:gridCol w:w="4551"/>
            </w:tblGrid>
            <w:tr w14:paraId="5E19B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665B125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1213" w:type="pct"/>
                  <w:noWrap w:val="0"/>
                  <w:vAlign w:val="center"/>
                </w:tcPr>
                <w:p w14:paraId="235799D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2716" w:type="pct"/>
                  <w:noWrap w:val="0"/>
                  <w:vAlign w:val="center"/>
                </w:tcPr>
                <w:p w14:paraId="50D3665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标准来源</w:t>
                  </w:r>
                </w:p>
              </w:tc>
            </w:tr>
            <w:tr w14:paraId="41851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05637D9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1213" w:type="pct"/>
                  <w:noWrap w:val="0"/>
                  <w:vAlign w:val="center"/>
                </w:tcPr>
                <w:p w14:paraId="3B9E1D6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6～9(无量纲) </w:t>
                  </w:r>
                </w:p>
              </w:tc>
              <w:tc>
                <w:tcPr>
                  <w:tcW w:w="2716" w:type="pct"/>
                  <w:vMerge w:val="restart"/>
                  <w:noWrap w:val="0"/>
                  <w:vAlign w:val="center"/>
                </w:tcPr>
                <w:p w14:paraId="59E2D49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《污水综合排放标准》(GB8978-1996)</w:t>
                  </w:r>
                </w:p>
                <w:p w14:paraId="048FF19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中表4三级标准</w:t>
                  </w:r>
                </w:p>
              </w:tc>
            </w:tr>
            <w:tr w14:paraId="33D94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6C8F30C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1213" w:type="pct"/>
                  <w:noWrap w:val="0"/>
                  <w:vAlign w:val="center"/>
                </w:tcPr>
                <w:p w14:paraId="314FFF3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500mg/L</w:t>
                  </w:r>
                </w:p>
              </w:tc>
              <w:tc>
                <w:tcPr>
                  <w:tcW w:w="2716" w:type="pct"/>
                  <w:vMerge w:val="continue"/>
                  <w:noWrap w:val="0"/>
                  <w:vAlign w:val="center"/>
                </w:tcPr>
                <w:p w14:paraId="1B14E8F4">
                  <w:pPr>
                    <w:pStyle w:val="47"/>
                    <w:bidi w:val="0"/>
                    <w:rPr>
                      <w:rFonts w:hint="default" w:ascii="Times New Roman" w:hAnsi="Times New Roman" w:cs="Times New Roman"/>
                      <w:color w:val="000000" w:themeColor="text1"/>
                      <w14:textFill>
                        <w14:solidFill>
                          <w14:schemeClr w14:val="tx1"/>
                        </w14:solidFill>
                      </w14:textFill>
                    </w:rPr>
                  </w:pPr>
                </w:p>
              </w:tc>
            </w:tr>
            <w:tr w14:paraId="258B7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12EE26C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w:t>
                  </w:r>
                  <w:r>
                    <w:rPr>
                      <w:rFonts w:hint="default" w:ascii="Times New Roman" w:hAnsi="Times New Roman" w:cs="Times New Roman"/>
                      <w:color w:val="000000" w:themeColor="text1"/>
                      <w:vertAlign w:val="subscript"/>
                      <w14:textFill>
                        <w14:solidFill>
                          <w14:schemeClr w14:val="tx1"/>
                        </w14:solidFill>
                      </w14:textFill>
                    </w:rPr>
                    <w:t>5</w:t>
                  </w:r>
                </w:p>
              </w:tc>
              <w:tc>
                <w:tcPr>
                  <w:tcW w:w="1213" w:type="pct"/>
                  <w:noWrap w:val="0"/>
                  <w:vAlign w:val="center"/>
                </w:tcPr>
                <w:p w14:paraId="0D13E9E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300mg/L</w:t>
                  </w:r>
                </w:p>
              </w:tc>
              <w:tc>
                <w:tcPr>
                  <w:tcW w:w="2716" w:type="pct"/>
                  <w:vMerge w:val="continue"/>
                  <w:noWrap w:val="0"/>
                  <w:vAlign w:val="center"/>
                </w:tcPr>
                <w:p w14:paraId="4B9A127A">
                  <w:pPr>
                    <w:pStyle w:val="47"/>
                    <w:bidi w:val="0"/>
                    <w:rPr>
                      <w:rFonts w:hint="default" w:ascii="Times New Roman" w:hAnsi="Times New Roman" w:cs="Times New Roman"/>
                      <w:color w:val="000000" w:themeColor="text1"/>
                      <w14:textFill>
                        <w14:solidFill>
                          <w14:schemeClr w14:val="tx1"/>
                        </w14:solidFill>
                      </w14:textFill>
                    </w:rPr>
                  </w:pPr>
                </w:p>
              </w:tc>
            </w:tr>
            <w:tr w14:paraId="19F51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4D9C93D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1213" w:type="pct"/>
                  <w:noWrap w:val="0"/>
                  <w:vAlign w:val="center"/>
                </w:tcPr>
                <w:p w14:paraId="13134A8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400mg/L</w:t>
                  </w:r>
                </w:p>
              </w:tc>
              <w:tc>
                <w:tcPr>
                  <w:tcW w:w="2716" w:type="pct"/>
                  <w:vMerge w:val="continue"/>
                  <w:noWrap w:val="0"/>
                  <w:vAlign w:val="center"/>
                </w:tcPr>
                <w:p w14:paraId="398434FF">
                  <w:pPr>
                    <w:pStyle w:val="47"/>
                    <w:bidi w:val="0"/>
                    <w:rPr>
                      <w:rFonts w:hint="default" w:ascii="Times New Roman" w:hAnsi="Times New Roman" w:cs="Times New Roman"/>
                      <w:color w:val="000000" w:themeColor="text1"/>
                      <w14:textFill>
                        <w14:solidFill>
                          <w14:schemeClr w14:val="tx1"/>
                        </w14:solidFill>
                      </w14:textFill>
                    </w:rPr>
                  </w:pPr>
                </w:p>
              </w:tc>
            </w:tr>
            <w:tr w14:paraId="48DFD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1EA0ACF3">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动植物油</w:t>
                  </w:r>
                </w:p>
              </w:tc>
              <w:tc>
                <w:tcPr>
                  <w:tcW w:w="1213" w:type="pct"/>
                  <w:noWrap w:val="0"/>
                  <w:vAlign w:val="center"/>
                </w:tcPr>
                <w:p w14:paraId="178F23F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00mg/L</w:t>
                  </w:r>
                </w:p>
              </w:tc>
              <w:tc>
                <w:tcPr>
                  <w:tcW w:w="2716" w:type="pct"/>
                  <w:vMerge w:val="continue"/>
                  <w:noWrap w:val="0"/>
                  <w:vAlign w:val="center"/>
                </w:tcPr>
                <w:p w14:paraId="62D4194C">
                  <w:pPr>
                    <w:pStyle w:val="47"/>
                    <w:bidi w:val="0"/>
                    <w:rPr>
                      <w:rFonts w:hint="default" w:ascii="Times New Roman" w:hAnsi="Times New Roman" w:cs="Times New Roman"/>
                      <w:color w:val="000000" w:themeColor="text1"/>
                      <w14:textFill>
                        <w14:solidFill>
                          <w14:schemeClr w14:val="tx1"/>
                        </w14:solidFill>
                      </w14:textFill>
                    </w:rPr>
                  </w:pPr>
                </w:p>
              </w:tc>
            </w:tr>
            <w:tr w14:paraId="26F1C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noWrap w:val="0"/>
                  <w:vAlign w:val="center"/>
                </w:tcPr>
                <w:p w14:paraId="145779E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1213" w:type="pct"/>
                  <w:noWrap w:val="0"/>
                  <w:vAlign w:val="center"/>
                </w:tcPr>
                <w:p w14:paraId="1D81DE8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45mg/L</w:t>
                  </w:r>
                </w:p>
              </w:tc>
              <w:tc>
                <w:tcPr>
                  <w:tcW w:w="2716" w:type="pct"/>
                  <w:noWrap w:val="0"/>
                  <w:vAlign w:val="center"/>
                </w:tcPr>
                <w:p w14:paraId="699D5F2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《污水排入城镇下水道水质标准》(GB/T 31962-2015)表1中B级标准</w:t>
                  </w:r>
                </w:p>
              </w:tc>
            </w:tr>
          </w:tbl>
          <w:p w14:paraId="30C98F98">
            <w:pPr>
              <w:pStyle w:val="43"/>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污水处理厂</w:t>
            </w:r>
            <w:r>
              <w:rPr>
                <w:rFonts w:hint="default" w:ascii="Times New Roman" w:hAnsi="Times New Roman" w:cs="Times New Roman"/>
                <w:color w:val="000000" w:themeColor="text1"/>
                <w14:textFill>
                  <w14:solidFill>
                    <w14:schemeClr w14:val="tx1"/>
                  </w14:solidFill>
                </w14:textFill>
              </w:rPr>
              <w:t>排放标准</w:t>
            </w:r>
          </w:p>
          <w:p w14:paraId="6B426EB3">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根据调查，</w:t>
            </w:r>
            <w:r>
              <w:rPr>
                <w:rFonts w:hint="default" w:ascii="Times New Roman" w:hAnsi="Times New Roman" w:cs="Times New Roman"/>
                <w:color w:val="000000" w:themeColor="text1"/>
                <w:lang w:eastAsia="zh-CN"/>
                <w14:textFill>
                  <w14:solidFill>
                    <w14:schemeClr w14:val="tx1"/>
                  </w14:solidFill>
                </w14:textFill>
              </w:rPr>
              <w:t>福清市第二污水处理厂</w:t>
            </w:r>
            <w:r>
              <w:rPr>
                <w:rFonts w:hint="default" w:ascii="Times New Roman" w:hAnsi="Times New Roman" w:cs="Times New Roman"/>
                <w:color w:val="000000" w:themeColor="text1"/>
                <w14:textFill>
                  <w14:solidFill>
                    <w14:schemeClr w14:val="tx1"/>
                  </w14:solidFill>
                </w14:textFill>
              </w:rPr>
              <w:t>尾水排放执行《城镇污水处理厂污染物排放标准》(GB18918-2002)</w:t>
            </w:r>
            <w:r>
              <w:rPr>
                <w:rFonts w:hint="default" w:ascii="Times New Roman" w:hAnsi="Times New Roman" w:cs="Times New Roman"/>
                <w:color w:val="000000" w:themeColor="text1"/>
                <w:lang w:eastAsia="zh-CN"/>
                <w14:textFill>
                  <w14:solidFill>
                    <w14:schemeClr w14:val="tx1"/>
                  </w14:solidFill>
                </w14:textFill>
              </w:rPr>
              <w:t>及其修改单表1的一级标准</w:t>
            </w:r>
            <w:r>
              <w:rPr>
                <w:rFonts w:hint="default"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排放标准</w:t>
            </w:r>
            <w:r>
              <w:rPr>
                <w:rFonts w:hint="default" w:ascii="Times New Roman" w:hAnsi="Times New Roman" w:cs="Times New Roman"/>
                <w:color w:val="000000" w:themeColor="text1"/>
                <w14:textFill>
                  <w14:solidFill>
                    <w14:schemeClr w14:val="tx1"/>
                  </w14:solidFill>
                </w14:textFill>
              </w:rPr>
              <w:t>，见表3.</w:t>
            </w:r>
            <w:r>
              <w:rPr>
                <w:rFonts w:hint="default" w:ascii="Times New Roman" w:hAnsi="Times New Roman" w:cs="Times New Roman"/>
                <w:color w:val="000000" w:themeColor="text1"/>
                <w:lang w:val="en-US" w:eastAsia="zh-CN"/>
                <w14:textFill>
                  <w14:solidFill>
                    <w14:schemeClr w14:val="tx1"/>
                  </w14:solidFill>
                </w14:textFill>
              </w:rPr>
              <w:t>7-2</w:t>
            </w:r>
            <w:r>
              <w:rPr>
                <w:rFonts w:hint="default" w:ascii="Times New Roman" w:hAnsi="Times New Roman" w:cs="Times New Roman"/>
                <w:color w:val="000000" w:themeColor="text1"/>
                <w14:textFill>
                  <w14:solidFill>
                    <w14:schemeClr w14:val="tx1"/>
                  </w14:solidFill>
                </w14:textFill>
              </w:rPr>
              <w:t>。</w:t>
            </w:r>
          </w:p>
          <w:p w14:paraId="09E0D9A4">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3.7-2</w:t>
            </w:r>
            <w:r>
              <w:rPr>
                <w:rFonts w:hint="default" w:ascii="Times New Roman" w:hAnsi="Times New Roman" w:cs="Times New Roman"/>
                <w:color w:val="000000" w:themeColor="text1"/>
                <w14:textFill>
                  <w14:solidFill>
                    <w14:schemeClr w14:val="tx1"/>
                  </w14:solidFill>
                </w14:textFill>
              </w:rPr>
              <w:t xml:space="preserve">  污水处理厂污水排放标准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600"/>
              <w:gridCol w:w="2659"/>
              <w:gridCol w:w="3031"/>
            </w:tblGrid>
            <w:tr w14:paraId="2433A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64C7940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955" w:type="pct"/>
                  <w:noWrap w:val="0"/>
                  <w:vAlign w:val="center"/>
                </w:tcPr>
                <w:p w14:paraId="5273419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1587" w:type="pct"/>
                  <w:noWrap w:val="0"/>
                  <w:vAlign w:val="center"/>
                </w:tcPr>
                <w:p w14:paraId="3B9831D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一级标准</w:t>
                  </w:r>
                  <w:r>
                    <w:rPr>
                      <w:rFonts w:hint="default"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排放标准</w:t>
                  </w:r>
                  <w:r>
                    <w:rPr>
                      <w:rFonts w:hint="default" w:ascii="Times New Roman" w:hAnsi="Times New Roman" w:cs="Times New Roman"/>
                      <w:color w:val="000000" w:themeColor="text1"/>
                      <w14:textFill>
                        <w14:solidFill>
                          <w14:schemeClr w14:val="tx1"/>
                        </w14:solidFill>
                      </w14:textFill>
                    </w:rPr>
                    <w:t>限值</w:t>
                  </w:r>
                </w:p>
              </w:tc>
              <w:tc>
                <w:tcPr>
                  <w:tcW w:w="1808" w:type="pct"/>
                  <w:noWrap w:val="0"/>
                  <w:vAlign w:val="center"/>
                </w:tcPr>
                <w:p w14:paraId="74D00B5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标准来源</w:t>
                  </w:r>
                </w:p>
              </w:tc>
            </w:tr>
            <w:tr w14:paraId="4B32E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0C4C553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955" w:type="pct"/>
                  <w:noWrap w:val="0"/>
                  <w:vAlign w:val="center"/>
                </w:tcPr>
                <w:p w14:paraId="39436F2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pH(无量纲) </w:t>
                  </w:r>
                </w:p>
              </w:tc>
              <w:tc>
                <w:tcPr>
                  <w:tcW w:w="1587" w:type="pct"/>
                  <w:noWrap w:val="0"/>
                  <w:vAlign w:val="center"/>
                </w:tcPr>
                <w:p w14:paraId="6B191DA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9</w:t>
                  </w:r>
                </w:p>
              </w:tc>
              <w:tc>
                <w:tcPr>
                  <w:tcW w:w="1808" w:type="pct"/>
                  <w:vMerge w:val="restart"/>
                  <w:noWrap w:val="0"/>
                  <w:vAlign w:val="center"/>
                </w:tcPr>
                <w:p w14:paraId="02006AD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《城镇污水处理厂污染物排放标准》(GB18918-2002)</w:t>
                  </w:r>
                  <w:r>
                    <w:rPr>
                      <w:rFonts w:hint="default" w:ascii="Times New Roman" w:hAnsi="Times New Roman" w:cs="Times New Roman"/>
                      <w:color w:val="000000" w:themeColor="text1"/>
                      <w:lang w:eastAsia="zh-CN"/>
                      <w14:textFill>
                        <w14:solidFill>
                          <w14:schemeClr w14:val="tx1"/>
                        </w14:solidFill>
                      </w14:textFill>
                    </w:rPr>
                    <w:t>及其修改单</w:t>
                  </w:r>
                  <w:r>
                    <w:rPr>
                      <w:rFonts w:hint="default" w:ascii="Times New Roman" w:hAnsi="Times New Roman" w:cs="Times New Roman"/>
                      <w:color w:val="000000" w:themeColor="text1"/>
                      <w14:textFill>
                        <w14:solidFill>
                          <w14:schemeClr w14:val="tx1"/>
                        </w14:solidFill>
                      </w14:textFill>
                    </w:rPr>
                    <w:t>表1</w:t>
                  </w:r>
                </w:p>
              </w:tc>
            </w:tr>
            <w:tr w14:paraId="26D2A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61682FD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955" w:type="pct"/>
                  <w:noWrap w:val="0"/>
                  <w:vAlign w:val="center"/>
                </w:tcPr>
                <w:p w14:paraId="5DAB9CE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1587" w:type="pct"/>
                  <w:noWrap w:val="0"/>
                  <w:vAlign w:val="center"/>
                </w:tcPr>
                <w:p w14:paraId="62E9B4F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mg/L</w:t>
                  </w:r>
                </w:p>
              </w:tc>
              <w:tc>
                <w:tcPr>
                  <w:tcW w:w="1808" w:type="pct"/>
                  <w:vMerge w:val="continue"/>
                  <w:noWrap w:val="0"/>
                  <w:vAlign w:val="center"/>
                </w:tcPr>
                <w:p w14:paraId="2C80CAEC">
                  <w:pPr>
                    <w:pStyle w:val="47"/>
                    <w:bidi w:val="0"/>
                    <w:rPr>
                      <w:rFonts w:hint="default" w:ascii="Times New Roman" w:hAnsi="Times New Roman" w:cs="Times New Roman"/>
                      <w:color w:val="000000" w:themeColor="text1"/>
                      <w14:textFill>
                        <w14:solidFill>
                          <w14:schemeClr w14:val="tx1"/>
                        </w14:solidFill>
                      </w14:textFill>
                    </w:rPr>
                  </w:pPr>
                </w:p>
              </w:tc>
            </w:tr>
            <w:tr w14:paraId="315A5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28EEC48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955" w:type="pct"/>
                  <w:noWrap w:val="0"/>
                  <w:vAlign w:val="center"/>
                </w:tcPr>
                <w:p w14:paraId="5EBEA56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w:t>
                  </w:r>
                  <w:r>
                    <w:rPr>
                      <w:rFonts w:hint="default" w:ascii="Times New Roman" w:hAnsi="Times New Roman" w:cs="Times New Roman"/>
                      <w:color w:val="000000" w:themeColor="text1"/>
                      <w:vertAlign w:val="subscript"/>
                      <w14:textFill>
                        <w14:solidFill>
                          <w14:schemeClr w14:val="tx1"/>
                        </w14:solidFill>
                      </w14:textFill>
                    </w:rPr>
                    <w:t>5</w:t>
                  </w:r>
                </w:p>
              </w:tc>
              <w:tc>
                <w:tcPr>
                  <w:tcW w:w="1587" w:type="pct"/>
                  <w:noWrap w:val="0"/>
                  <w:vAlign w:val="center"/>
                </w:tcPr>
                <w:p w14:paraId="6132D18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0mg/L</w:t>
                  </w:r>
                </w:p>
              </w:tc>
              <w:tc>
                <w:tcPr>
                  <w:tcW w:w="1808" w:type="pct"/>
                  <w:vMerge w:val="continue"/>
                  <w:noWrap w:val="0"/>
                  <w:vAlign w:val="center"/>
                </w:tcPr>
                <w:p w14:paraId="52DDB66A">
                  <w:pPr>
                    <w:pStyle w:val="47"/>
                    <w:bidi w:val="0"/>
                    <w:rPr>
                      <w:rFonts w:hint="default" w:ascii="Times New Roman" w:hAnsi="Times New Roman" w:cs="Times New Roman"/>
                      <w:color w:val="000000" w:themeColor="text1"/>
                      <w14:textFill>
                        <w14:solidFill>
                          <w14:schemeClr w14:val="tx1"/>
                        </w14:solidFill>
                      </w14:textFill>
                    </w:rPr>
                  </w:pPr>
                </w:p>
              </w:tc>
            </w:tr>
            <w:tr w14:paraId="5DCBB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1A90423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955" w:type="pct"/>
                  <w:noWrap w:val="0"/>
                  <w:vAlign w:val="center"/>
                </w:tcPr>
                <w:p w14:paraId="7B09F82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1587" w:type="pct"/>
                  <w:noWrap w:val="0"/>
                  <w:vAlign w:val="center"/>
                </w:tcPr>
                <w:p w14:paraId="187C811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mg/L</w:t>
                  </w:r>
                </w:p>
              </w:tc>
              <w:tc>
                <w:tcPr>
                  <w:tcW w:w="1808" w:type="pct"/>
                  <w:vMerge w:val="continue"/>
                  <w:noWrap w:val="0"/>
                  <w:vAlign w:val="center"/>
                </w:tcPr>
                <w:p w14:paraId="47D71AF4">
                  <w:pPr>
                    <w:pStyle w:val="47"/>
                    <w:bidi w:val="0"/>
                    <w:rPr>
                      <w:rFonts w:hint="default" w:ascii="Times New Roman" w:hAnsi="Times New Roman" w:cs="Times New Roman"/>
                      <w:color w:val="000000" w:themeColor="text1"/>
                      <w14:textFill>
                        <w14:solidFill>
                          <w14:schemeClr w14:val="tx1"/>
                        </w14:solidFill>
                      </w14:textFill>
                    </w:rPr>
                  </w:pPr>
                </w:p>
              </w:tc>
            </w:tr>
            <w:tr w14:paraId="73067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pct"/>
                  <w:noWrap w:val="0"/>
                  <w:vAlign w:val="center"/>
                </w:tcPr>
                <w:p w14:paraId="6339819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955" w:type="pct"/>
                  <w:noWrap w:val="0"/>
                  <w:vAlign w:val="center"/>
                </w:tcPr>
                <w:p w14:paraId="0EDAF2B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1587" w:type="pct"/>
                  <w:noWrap w:val="0"/>
                  <w:vAlign w:val="center"/>
                </w:tcPr>
                <w:p w14:paraId="281FCE0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mg/L</w:t>
                  </w:r>
                </w:p>
              </w:tc>
              <w:tc>
                <w:tcPr>
                  <w:tcW w:w="1808" w:type="pct"/>
                  <w:vMerge w:val="continue"/>
                  <w:noWrap w:val="0"/>
                  <w:vAlign w:val="center"/>
                </w:tcPr>
                <w:p w14:paraId="631D5815">
                  <w:pPr>
                    <w:pStyle w:val="47"/>
                    <w:bidi w:val="0"/>
                    <w:rPr>
                      <w:rFonts w:hint="default" w:ascii="Times New Roman" w:hAnsi="Times New Roman" w:cs="Times New Roman"/>
                      <w:color w:val="000000" w:themeColor="text1"/>
                      <w14:textFill>
                        <w14:solidFill>
                          <w14:schemeClr w14:val="tx1"/>
                        </w14:solidFill>
                      </w14:textFill>
                    </w:rPr>
                  </w:pPr>
                </w:p>
              </w:tc>
            </w:tr>
          </w:tbl>
          <w:p w14:paraId="5F8BF20B">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3.7.2 大气污染物排放标准</w:t>
            </w:r>
          </w:p>
          <w:p w14:paraId="0085C3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（1）</w:t>
            </w:r>
            <w:r>
              <w:rPr>
                <w:rFonts w:hint="default" w:ascii="Times New Roman" w:hAnsi="Times New Roman" w:cs="Times New Roman"/>
                <w:color w:val="000000" w:themeColor="text1"/>
                <w:sz w:val="24"/>
                <w:highlight w:val="none"/>
                <w:lang w:eastAsia="zh-CN" w:bidi="ar"/>
                <w14:textFill>
                  <w14:solidFill>
                    <w14:schemeClr w14:val="tx1"/>
                  </w14:solidFill>
                </w14:textFill>
              </w:rPr>
              <w:t>有</w:t>
            </w:r>
            <w:r>
              <w:rPr>
                <w:rFonts w:hint="default" w:ascii="Times New Roman" w:hAnsi="Times New Roman" w:cs="Times New Roman"/>
                <w:color w:val="000000" w:themeColor="text1"/>
                <w:sz w:val="24"/>
                <w:highlight w:val="none"/>
                <w:lang w:bidi="ar"/>
                <w14:textFill>
                  <w14:solidFill>
                    <w14:schemeClr w14:val="tx1"/>
                  </w14:solidFill>
                </w14:textFill>
              </w:rPr>
              <w:t>组织废气</w:t>
            </w:r>
          </w:p>
          <w:p w14:paraId="58AE2E09">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有组织排放的</w:t>
            </w:r>
            <w:r>
              <w:rPr>
                <w:rFonts w:hint="default" w:ascii="Times New Roman" w:hAnsi="Times New Roman" w:eastAsia="宋体" w:cs="Times New Roman"/>
                <w:color w:val="000000" w:themeColor="text1"/>
                <w14:textFill>
                  <w14:solidFill>
                    <w14:schemeClr w14:val="tx1"/>
                  </w14:solidFill>
                </w14:textFill>
              </w:rPr>
              <w:t>颗粒物执行《大气污染物综合排放标准》(GB16297-1996)中表2二级标准</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有组织排放的</w:t>
            </w:r>
            <w:r>
              <w:rPr>
                <w:rFonts w:hint="eastAsia" w:cs="Times New Roman"/>
                <w:color w:val="000000" w:themeColor="text1"/>
                <w:lang w:val="en-US" w:eastAsia="zh-CN"/>
                <w14:textFill>
                  <w14:solidFill>
                    <w14:schemeClr w14:val="tx1"/>
                  </w14:solidFill>
                </w14:textFill>
              </w:rPr>
              <w:t>非甲烷总烃执行《工业企业挥发性有机物排放标准》（DB35/1782-2018)表1其他行业标准</w:t>
            </w:r>
            <w:r>
              <w:rPr>
                <w:rFonts w:hint="default" w:ascii="Times New Roman" w:hAnsi="Times New Roman" w:cs="Times New Roman"/>
                <w:color w:val="000000" w:themeColor="text1"/>
                <w:lang w:val="en-US" w:eastAsia="zh-CN"/>
                <w14:textFill>
                  <w14:solidFill>
                    <w14:schemeClr w14:val="tx1"/>
                  </w14:solidFill>
                </w14:textFill>
              </w:rPr>
              <w:t>，具体详见表3.7-</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14:paraId="159CCD62">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表3.7-</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 xml:space="preserve">  项目有组织废气排放限值一览表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71"/>
              <w:gridCol w:w="1792"/>
              <w:gridCol w:w="2308"/>
              <w:gridCol w:w="2902"/>
            </w:tblGrid>
            <w:tr w14:paraId="7F979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6" w:hRule="atLeast"/>
                <w:jc w:val="center"/>
              </w:trPr>
              <w:tc>
                <w:tcPr>
                  <w:tcW w:w="819" w:type="pct"/>
                  <w:vMerge w:val="restart"/>
                  <w:noWrap w:val="0"/>
                  <w:vAlign w:val="center"/>
                </w:tcPr>
                <w:p w14:paraId="2329CB2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1070" w:type="pct"/>
                  <w:vMerge w:val="restart"/>
                  <w:noWrap w:val="0"/>
                  <w:vAlign w:val="center"/>
                </w:tcPr>
                <w:p w14:paraId="784F8D1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最高允许排</w:t>
                  </w:r>
                </w:p>
                <w:p w14:paraId="5F2F182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放浓度mg/m</w:t>
                  </w:r>
                  <w:r>
                    <w:rPr>
                      <w:rFonts w:hint="default" w:ascii="Times New Roman" w:hAnsi="Times New Roman" w:cs="Times New Roman"/>
                      <w:color w:val="000000" w:themeColor="text1"/>
                      <w:vertAlign w:val="superscript"/>
                      <w14:textFill>
                        <w14:solidFill>
                          <w14:schemeClr w14:val="tx1"/>
                        </w14:solidFill>
                      </w14:textFill>
                    </w:rPr>
                    <w:t>3</w:t>
                  </w:r>
                </w:p>
              </w:tc>
              <w:tc>
                <w:tcPr>
                  <w:tcW w:w="1378" w:type="pct"/>
                  <w:noWrap w:val="0"/>
                  <w:vAlign w:val="center"/>
                </w:tcPr>
                <w:p w14:paraId="7C58860D">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最高允许排放速率</w:t>
                  </w:r>
                  <w:r>
                    <w:rPr>
                      <w:rFonts w:hint="eastAsia" w:ascii="Times New Roman" w:hAnsi="Times New Roman" w:cs="Times New Roman"/>
                      <w:color w:val="000000" w:themeColor="text1"/>
                      <w:lang w:val="en-US" w:eastAsia="zh-CN"/>
                      <w14:textFill>
                        <w14:solidFill>
                          <w14:schemeClr w14:val="tx1"/>
                        </w14:solidFill>
                      </w14:textFill>
                    </w:rPr>
                    <w:t>kg/h</w:t>
                  </w:r>
                </w:p>
              </w:tc>
              <w:tc>
                <w:tcPr>
                  <w:tcW w:w="1731" w:type="pct"/>
                  <w:vMerge w:val="restart"/>
                  <w:noWrap w:val="0"/>
                  <w:vAlign w:val="center"/>
                </w:tcPr>
                <w:p w14:paraId="59C27E85">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标准来源</w:t>
                  </w:r>
                </w:p>
              </w:tc>
            </w:tr>
            <w:tr w14:paraId="6262A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19" w:type="pct"/>
                  <w:vMerge w:val="continue"/>
                  <w:noWrap w:val="0"/>
                  <w:vAlign w:val="center"/>
                </w:tcPr>
                <w:p w14:paraId="2ECA857D">
                  <w:pPr>
                    <w:pStyle w:val="47"/>
                    <w:bidi w:val="0"/>
                    <w:rPr>
                      <w:rFonts w:hint="default" w:ascii="Times New Roman" w:hAnsi="Times New Roman" w:cs="Times New Roman"/>
                      <w:color w:val="000000" w:themeColor="text1"/>
                      <w14:textFill>
                        <w14:solidFill>
                          <w14:schemeClr w14:val="tx1"/>
                        </w14:solidFill>
                      </w14:textFill>
                    </w:rPr>
                  </w:pPr>
                </w:p>
              </w:tc>
              <w:tc>
                <w:tcPr>
                  <w:tcW w:w="1070" w:type="pct"/>
                  <w:vMerge w:val="continue"/>
                  <w:noWrap w:val="0"/>
                  <w:vAlign w:val="center"/>
                </w:tcPr>
                <w:p w14:paraId="7D0D755C">
                  <w:pPr>
                    <w:pStyle w:val="47"/>
                    <w:bidi w:val="0"/>
                    <w:rPr>
                      <w:rFonts w:hint="default" w:ascii="Times New Roman" w:hAnsi="Times New Roman" w:cs="Times New Roman"/>
                      <w:color w:val="000000" w:themeColor="text1"/>
                      <w14:textFill>
                        <w14:solidFill>
                          <w14:schemeClr w14:val="tx1"/>
                        </w14:solidFill>
                      </w14:textFill>
                    </w:rPr>
                  </w:pPr>
                </w:p>
              </w:tc>
              <w:tc>
                <w:tcPr>
                  <w:tcW w:w="1378" w:type="pct"/>
                  <w:noWrap w:val="0"/>
                  <w:vAlign w:val="center"/>
                </w:tcPr>
                <w:p w14:paraId="58250AD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27m</w:t>
                  </w:r>
                </w:p>
              </w:tc>
              <w:tc>
                <w:tcPr>
                  <w:tcW w:w="1731" w:type="pct"/>
                  <w:vMerge w:val="continue"/>
                  <w:noWrap w:val="0"/>
                  <w:vAlign w:val="center"/>
                </w:tcPr>
                <w:p w14:paraId="5F8F52C7">
                  <w:pPr>
                    <w:pStyle w:val="47"/>
                    <w:bidi w:val="0"/>
                    <w:rPr>
                      <w:rFonts w:hint="default" w:ascii="Times New Roman" w:hAnsi="Times New Roman" w:cs="Times New Roman"/>
                      <w:color w:val="000000" w:themeColor="text1"/>
                      <w14:textFill>
                        <w14:solidFill>
                          <w14:schemeClr w14:val="tx1"/>
                        </w14:solidFill>
                      </w14:textFill>
                    </w:rPr>
                  </w:pPr>
                </w:p>
              </w:tc>
            </w:tr>
            <w:tr w14:paraId="53062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19" w:type="pct"/>
                  <w:noWrap w:val="0"/>
                  <w:vAlign w:val="center"/>
                </w:tcPr>
                <w:p w14:paraId="677740EF">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颗粒物</w:t>
                  </w:r>
                </w:p>
              </w:tc>
              <w:tc>
                <w:tcPr>
                  <w:tcW w:w="1070" w:type="pct"/>
                  <w:noWrap w:val="0"/>
                  <w:vAlign w:val="center"/>
                </w:tcPr>
                <w:p w14:paraId="66BFCA6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120</w:t>
                  </w:r>
                </w:p>
              </w:tc>
              <w:tc>
                <w:tcPr>
                  <w:tcW w:w="1378" w:type="pct"/>
                  <w:noWrap w:val="0"/>
                  <w:vAlign w:val="center"/>
                </w:tcPr>
                <w:p w14:paraId="645189EE">
                  <w:pPr>
                    <w:pStyle w:val="47"/>
                    <w:bidi w:val="0"/>
                    <w:rPr>
                      <w:rFonts w:hint="eastAsia"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17.84</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r>
                    <w:rPr>
                      <w:rFonts w:ascii="Times New Roman"/>
                      <w:color w:val="000000" w:themeColor="text1"/>
                      <w:szCs w:val="21"/>
                      <w:highlight w:val="none"/>
                      <w:lang w:val="en-US" w:eastAsia="zh-CN"/>
                      <w14:textFill>
                        <w14:solidFill>
                          <w14:schemeClr w14:val="tx1"/>
                        </w14:solidFill>
                      </w14:textFill>
                    </w:rPr>
                    <w:t>从严50%为</w:t>
                  </w:r>
                  <w:r>
                    <w:rPr>
                      <w:rFonts w:hint="eastAsia" w:ascii="Times New Roman"/>
                      <w:color w:val="000000" w:themeColor="text1"/>
                      <w:szCs w:val="21"/>
                      <w:highlight w:val="none"/>
                      <w:lang w:val="en-US" w:eastAsia="zh-CN"/>
                      <w14:textFill>
                        <w14:solidFill>
                          <w14:schemeClr w14:val="tx1"/>
                        </w14:solidFill>
                      </w14:textFill>
                    </w:rPr>
                    <w:t>8.92</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1731" w:type="pct"/>
                  <w:noWrap w:val="0"/>
                  <w:vAlign w:val="center"/>
                </w:tcPr>
                <w:p w14:paraId="155538E0">
                  <w:pPr>
                    <w:pStyle w:val="47"/>
                    <w:bidi w:val="0"/>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《大气污染物综合排放标准》(GB16297-1996)中表2二级标准</w:t>
                  </w:r>
                </w:p>
              </w:tc>
            </w:tr>
            <w:tr w14:paraId="1D9EE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19" w:type="pct"/>
                  <w:noWrap w:val="0"/>
                  <w:vAlign w:val="center"/>
                </w:tcPr>
                <w:p w14:paraId="22F1657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1070" w:type="pct"/>
                  <w:noWrap w:val="0"/>
                  <w:vAlign w:val="center"/>
                </w:tcPr>
                <w:p w14:paraId="44F86B6F">
                  <w:pPr>
                    <w:pStyle w:val="47"/>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100</w:t>
                  </w:r>
                </w:p>
              </w:tc>
              <w:tc>
                <w:tcPr>
                  <w:tcW w:w="1378" w:type="pct"/>
                  <w:noWrap w:val="0"/>
                  <w:vAlign w:val="center"/>
                </w:tcPr>
                <w:p w14:paraId="70E3046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7.8</w:t>
                  </w:r>
                </w:p>
              </w:tc>
              <w:tc>
                <w:tcPr>
                  <w:tcW w:w="1731" w:type="pct"/>
                  <w:noWrap w:val="0"/>
                  <w:vAlign w:val="center"/>
                </w:tcPr>
                <w:p w14:paraId="0221D342">
                  <w:pPr>
                    <w:pStyle w:val="47"/>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《工业企业挥发性有机物排放标准》（DB35/1782-2018)表1其他行业标准</w:t>
                  </w:r>
                </w:p>
              </w:tc>
            </w:tr>
            <w:tr w14:paraId="4B936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0" w:type="pct"/>
                  <w:gridSpan w:val="4"/>
                  <w:noWrap w:val="0"/>
                  <w:vAlign w:val="center"/>
                </w:tcPr>
                <w:p w14:paraId="2989EF9B">
                  <w:pPr>
                    <w:pStyle w:val="47"/>
                    <w:bidi w:val="0"/>
                    <w:jc w:val="both"/>
                    <w:rPr>
                      <w:rFonts w:hint="eastAsia" w:cs="Times New Roman"/>
                      <w:color w:val="000000" w:themeColor="text1"/>
                      <w:lang w:val="en-US" w:eastAsia="zh-CN"/>
                      <w14:textFill>
                        <w14:solidFill>
                          <w14:schemeClr w14:val="tx1"/>
                        </w14:solidFill>
                      </w14:textFill>
                    </w:rPr>
                  </w:pPr>
                  <w:r>
                    <w:rPr>
                      <w:rFonts w:ascii="Times New Roman"/>
                      <w:color w:val="000000" w:themeColor="text1"/>
                      <w:szCs w:val="21"/>
                      <w:lang w:val="en-US" w:eastAsia="zh-CN"/>
                      <w14:textFill>
                        <w14:solidFill>
                          <w14:schemeClr w14:val="tx1"/>
                        </w14:solidFill>
                      </w14:textFill>
                    </w:rPr>
                    <w:t>备注：根据项目周边建筑物高度情况，项目拟设置排气筒高度无法高出周围200米半径范围的建筑5米以上，本项目排气筒高度</w:t>
                  </w:r>
                  <w:r>
                    <w:rPr>
                      <w:rFonts w:hint="eastAsia" w:ascii="Times New Roman"/>
                      <w:color w:val="000000" w:themeColor="text1"/>
                      <w:szCs w:val="21"/>
                      <w:lang w:val="en-US" w:eastAsia="zh-CN"/>
                      <w14:textFill>
                        <w14:solidFill>
                          <w14:schemeClr w14:val="tx1"/>
                        </w14:solidFill>
                      </w14:textFill>
                    </w:rPr>
                    <w:t>27</w:t>
                  </w:r>
                  <w:r>
                    <w:rPr>
                      <w:rFonts w:ascii="Times New Roman"/>
                      <w:color w:val="000000" w:themeColor="text1"/>
                      <w:szCs w:val="21"/>
                      <w:lang w:val="en-US" w:eastAsia="zh-CN"/>
                      <w14:textFill>
                        <w14:solidFill>
                          <w14:schemeClr w14:val="tx1"/>
                        </w14:solidFill>
                      </w14:textFill>
                    </w:rPr>
                    <w:t>m，</w:t>
                  </w:r>
                  <w:r>
                    <w:rPr>
                      <w:rFonts w:hint="eastAsia"/>
                      <w:color w:val="000000" w:themeColor="text1"/>
                      <w:szCs w:val="21"/>
                      <w:lang w:val="en-US" w:eastAsia="zh-CN"/>
                      <w14:textFill>
                        <w14:solidFill>
                          <w14:schemeClr w14:val="tx1"/>
                        </w14:solidFill>
                      </w14:textFill>
                    </w:rPr>
                    <w:t>颗粒物</w:t>
                  </w:r>
                  <w:r>
                    <w:rPr>
                      <w:rFonts w:ascii="Times New Roman"/>
                      <w:color w:val="000000" w:themeColor="text1"/>
                      <w:szCs w:val="21"/>
                      <w:lang w:val="en-US" w:eastAsia="zh-CN"/>
                      <w14:textFill>
                        <w14:solidFill>
                          <w14:schemeClr w14:val="tx1"/>
                        </w14:solidFill>
                      </w14:textFill>
                    </w:rPr>
                    <w:t>排放速率按上述</w:t>
                  </w:r>
                  <w:r>
                    <w:rPr>
                      <w:rFonts w:hint="eastAsia"/>
                      <w:color w:val="000000" w:themeColor="text1"/>
                      <w:szCs w:val="21"/>
                      <w:lang w:val="en-US" w:eastAsia="zh-CN"/>
                      <w14:textFill>
                        <w14:solidFill>
                          <w14:schemeClr w14:val="tx1"/>
                        </w14:solidFill>
                      </w14:textFill>
                    </w:rPr>
                    <w:t>限值</w:t>
                  </w:r>
                  <w:r>
                    <w:rPr>
                      <w:rFonts w:ascii="Times New Roman"/>
                      <w:color w:val="000000" w:themeColor="text1"/>
                      <w:szCs w:val="21"/>
                      <w:lang w:val="en-US" w:eastAsia="zh-CN"/>
                      <w14:textFill>
                        <w14:solidFill>
                          <w14:schemeClr w14:val="tx1"/>
                        </w14:solidFill>
                      </w14:textFill>
                    </w:rPr>
                    <w:t>的50%执行。</w:t>
                  </w:r>
                </w:p>
              </w:tc>
            </w:tr>
          </w:tbl>
          <w:p w14:paraId="49A3B544">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sz w:val="24"/>
                <w:highlight w:val="none"/>
                <w:lang w:bidi="ar"/>
                <w14:textFill>
                  <w14:solidFill>
                    <w14:schemeClr w14:val="tx1"/>
                  </w14:solidFill>
                </w14:textFill>
              </w:rPr>
            </w:pPr>
            <w:r>
              <w:rPr>
                <w:rFonts w:hint="eastAsia" w:cs="Times New Roman"/>
                <w:color w:val="000000" w:themeColor="text1"/>
                <w:sz w:val="24"/>
                <w:highlight w:val="none"/>
                <w:lang w:eastAsia="zh-CN" w:bidi="ar"/>
                <w14:textFill>
                  <w14:solidFill>
                    <w14:schemeClr w14:val="tx1"/>
                  </w14:solidFill>
                </w14:textFill>
              </w:rPr>
              <w:t>（</w:t>
            </w:r>
            <w:r>
              <w:rPr>
                <w:rFonts w:hint="eastAsia" w:cs="Times New Roman"/>
                <w:color w:val="000000" w:themeColor="text1"/>
                <w:sz w:val="24"/>
                <w:highlight w:val="none"/>
                <w:lang w:val="en-US" w:eastAsia="zh-CN" w:bidi="ar"/>
                <w14:textFill>
                  <w14:solidFill>
                    <w14:schemeClr w14:val="tx1"/>
                  </w14:solidFill>
                </w14:textFill>
              </w:rPr>
              <w:t>2）</w:t>
            </w:r>
            <w:r>
              <w:rPr>
                <w:rFonts w:hint="default" w:ascii="Times New Roman" w:hAnsi="Times New Roman" w:cs="Times New Roman"/>
                <w:color w:val="000000" w:themeColor="text1"/>
                <w:sz w:val="24"/>
                <w:highlight w:val="none"/>
                <w:lang w:bidi="ar"/>
                <w14:textFill>
                  <w14:solidFill>
                    <w14:schemeClr w14:val="tx1"/>
                  </w14:solidFill>
                </w14:textFill>
              </w:rPr>
              <w:t>无组织废气</w:t>
            </w:r>
          </w:p>
          <w:p w14:paraId="09FA2DE4">
            <w:pPr>
              <w:pStyle w:val="43"/>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4"/>
                <w:lang w:bidi="ar"/>
                <w14:textFill>
                  <w14:solidFill>
                    <w14:schemeClr w14:val="tx1"/>
                  </w14:solidFill>
                </w14:textFill>
              </w:rPr>
              <w:t>厂界无组织排放的</w:t>
            </w:r>
            <w:r>
              <w:rPr>
                <w:rFonts w:hint="default" w:ascii="Times New Roman" w:hAnsi="Times New Roman" w:eastAsia="宋体" w:cs="Times New Roman"/>
                <w:color w:val="000000" w:themeColor="text1"/>
                <w14:textFill>
                  <w14:solidFill>
                    <w14:schemeClr w14:val="tx1"/>
                  </w14:solidFill>
                </w14:textFill>
              </w:rPr>
              <w:t>颗粒物执行《大气污染物综合排放标准》(GB16297-1996)中表2无组织排放监控浓度限值</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厂界无组织排放的</w:t>
            </w:r>
            <w:r>
              <w:rPr>
                <w:rFonts w:hint="eastAsia" w:cs="Times New Roman"/>
                <w:color w:val="000000" w:themeColor="text1"/>
                <w:lang w:eastAsia="zh-CN"/>
                <w14:textFill>
                  <w14:solidFill>
                    <w14:schemeClr w14:val="tx1"/>
                  </w14:solidFill>
                </w14:textFill>
              </w:rPr>
              <w:t>有机废气</w:t>
            </w:r>
            <w:r>
              <w:rPr>
                <w:rFonts w:hint="eastAsia" w:ascii="Times New Roman" w:hAnsi="Times New Roman" w:cs="Times New Roman"/>
                <w:color w:val="000000" w:themeColor="text1"/>
                <w:lang w:val="en-US" w:eastAsia="zh-CN"/>
                <w14:textFill>
                  <w14:solidFill>
                    <w14:schemeClr w14:val="tx1"/>
                  </w14:solidFill>
                </w14:textFill>
              </w:rPr>
              <w:t>执行</w:t>
            </w:r>
            <w:r>
              <w:rPr>
                <w:rFonts w:hint="eastAsia" w:cs="Times New Roman"/>
                <w:color w:val="000000" w:themeColor="text1"/>
                <w:lang w:val="en-US" w:eastAsia="zh-CN"/>
                <w14:textFill>
                  <w14:solidFill>
                    <w14:schemeClr w14:val="tx1"/>
                  </w14:solidFill>
                </w14:textFill>
              </w:rPr>
              <w:t>《工业企业挥发性有机物排放标准》（DB35/1782-2018)表3</w:t>
            </w:r>
            <w:r>
              <w:rPr>
                <w:rFonts w:hint="default" w:ascii="Times New Roman" w:hAnsi="Times New Roman" w:cs="Times New Roman"/>
                <w:color w:val="000000" w:themeColor="text1"/>
                <w:lang w:val="en-US" w:eastAsia="zh-CN"/>
                <w14:textFill>
                  <w14:solidFill>
                    <w14:schemeClr w14:val="tx1"/>
                  </w14:solidFill>
                </w14:textFill>
              </w:rPr>
              <w:t>标准</w:t>
            </w:r>
            <w:r>
              <w:rPr>
                <w:rFonts w:hint="eastAsia" w:ascii="Times New Roman" w:hAnsi="Times New Roman" w:cs="Times New Roman"/>
                <w:color w:val="000000" w:themeColor="text1"/>
                <w:lang w:val="en-US" w:eastAsia="zh-CN"/>
                <w14:textFill>
                  <w14:solidFill>
                    <w14:schemeClr w14:val="tx1"/>
                  </w14:solidFill>
                </w14:textFill>
              </w:rPr>
              <w:t>限值</w:t>
            </w:r>
            <w:r>
              <w:rPr>
                <w:rFonts w:hint="eastAsia" w:cs="Times New Roman"/>
                <w:color w:val="000000" w:themeColor="text1"/>
                <w:lang w:eastAsia="zh-CN" w:bidi="he-IL"/>
                <w14:textFill>
                  <w14:solidFill>
                    <w14:schemeClr w14:val="tx1"/>
                  </w14:solidFill>
                </w14:textFill>
              </w:rPr>
              <w:t>；</w:t>
            </w:r>
            <w:r>
              <w:rPr>
                <w:rFonts w:hint="default" w:ascii="Times New Roman" w:hAnsi="Times New Roman" w:cs="Times New Roman"/>
                <w:color w:val="000000" w:themeColor="text1"/>
                <w:sz w:val="24"/>
                <w:shd w:val="clear" w:color="auto" w:fill="FFFFFF"/>
                <w:lang w:eastAsia="zh-CN"/>
                <w14:textFill>
                  <w14:solidFill>
                    <w14:schemeClr w14:val="tx1"/>
                  </w14:solidFill>
                </w14:textFill>
              </w:rPr>
              <w:t>厂区内</w:t>
            </w:r>
            <w:r>
              <w:rPr>
                <w:rFonts w:hint="eastAsia" w:ascii="Times New Roman" w:hAnsi="Times New Roman" w:cs="Times New Roman"/>
                <w:color w:val="000000" w:themeColor="text1"/>
                <w:sz w:val="24"/>
                <w:shd w:val="clear" w:color="auto" w:fill="FFFFFF"/>
                <w:lang w:eastAsia="zh-CN"/>
                <w14:textFill>
                  <w14:solidFill>
                    <w14:schemeClr w14:val="tx1"/>
                  </w14:solidFill>
                </w14:textFill>
              </w:rPr>
              <w:t>的</w:t>
            </w:r>
            <w:r>
              <w:rPr>
                <w:rFonts w:hint="default" w:ascii="Times New Roman" w:hAnsi="Times New Roman" w:cs="Times New Roman"/>
                <w:color w:val="000000" w:themeColor="text1"/>
                <w:sz w:val="24"/>
                <w:shd w:val="clear" w:color="auto" w:fill="FFFFFF"/>
                <w:lang w:eastAsia="zh-CN"/>
                <w14:textFill>
                  <w14:solidFill>
                    <w14:schemeClr w14:val="tx1"/>
                  </w14:solidFill>
                </w14:textFill>
              </w:rPr>
              <w:t>非甲烷总烃执行</w:t>
            </w:r>
            <w:r>
              <w:rPr>
                <w:rFonts w:hint="default" w:ascii="Times New Roman" w:hAnsi="Times New Roman" w:cs="Times New Roman"/>
                <w:color w:val="000000" w:themeColor="text1"/>
                <w:lang w:val="en-US" w:eastAsia="zh-CN"/>
                <w14:textFill>
                  <w14:solidFill>
                    <w14:schemeClr w14:val="tx1"/>
                  </w14:solidFill>
                </w14:textFill>
              </w:rPr>
              <w:t>《挥发性有机物无组织排放控制标准》(GB 37822-2019)中附录A表A.1</w:t>
            </w:r>
            <w:r>
              <w:rPr>
                <w:rFonts w:hint="default" w:ascii="Times New Roman" w:hAnsi="Times New Roman" w:cs="Times New Roman"/>
                <w:color w:val="000000" w:themeColor="text1"/>
                <w:sz w:val="24"/>
                <w:shd w:val="clear" w:color="auto" w:fill="FFFFFF"/>
                <w:lang w:eastAsia="zh-CN"/>
                <w14:textFill>
                  <w14:solidFill>
                    <w14:schemeClr w14:val="tx1"/>
                  </w14:solidFill>
                </w14:textFill>
              </w:rPr>
              <w:t>特别排放</w:t>
            </w:r>
            <w:r>
              <w:rPr>
                <w:rFonts w:hint="default" w:ascii="Times New Roman" w:hAnsi="Times New Roman" w:cs="Times New Roman"/>
                <w:color w:val="000000" w:themeColor="text1"/>
                <w:lang w:val="en-US" w:eastAsia="zh-CN"/>
                <w14:textFill>
                  <w14:solidFill>
                    <w14:schemeClr w14:val="tx1"/>
                  </w14:solidFill>
                </w14:textFill>
              </w:rPr>
              <w:t>限值，</w:t>
            </w:r>
            <w:r>
              <w:rPr>
                <w:rFonts w:hint="default" w:ascii="Times New Roman" w:hAnsi="Times New Roman" w:cs="Times New Roman"/>
                <w:color w:val="000000" w:themeColor="text1"/>
                <w:szCs w:val="24"/>
                <w:lang w:eastAsia="zh-CN"/>
                <w14:textFill>
                  <w14:solidFill>
                    <w14:schemeClr w14:val="tx1"/>
                  </w14:solidFill>
                </w14:textFill>
              </w:rPr>
              <w:t>上述标准</w:t>
            </w:r>
            <w:r>
              <w:rPr>
                <w:rFonts w:hint="default" w:ascii="Times New Roman" w:hAnsi="Times New Roman" w:cs="Times New Roman"/>
                <w:color w:val="000000" w:themeColor="text1"/>
                <w:szCs w:val="24"/>
                <w14:textFill>
                  <w14:solidFill>
                    <w14:schemeClr w14:val="tx1"/>
                  </w14:solidFill>
                </w14:textFill>
              </w:rPr>
              <w:t>具体详见表3.7-</w:t>
            </w:r>
            <w:r>
              <w:rPr>
                <w:rFonts w:hint="eastAsia" w:cs="Times New Roman"/>
                <w:color w:val="000000" w:themeColor="text1"/>
                <w:szCs w:val="24"/>
                <w:lang w:val="en-US" w:eastAsia="zh-CN"/>
                <w14:textFill>
                  <w14:solidFill>
                    <w14:schemeClr w14:val="tx1"/>
                  </w14:solidFill>
                </w14:textFill>
              </w:rPr>
              <w:t>4</w:t>
            </w:r>
            <w:r>
              <w:rPr>
                <w:rFonts w:hint="default" w:ascii="Times New Roman" w:hAnsi="Times New Roman" w:cs="Times New Roman"/>
                <w:color w:val="000000" w:themeColor="text1"/>
                <w:szCs w:val="24"/>
                <w14:textFill>
                  <w14:solidFill>
                    <w14:schemeClr w14:val="tx1"/>
                  </w14:solidFill>
                </w14:textFill>
              </w:rPr>
              <w:t>。</w:t>
            </w:r>
          </w:p>
          <w:p w14:paraId="4FAA599E">
            <w:pPr>
              <w:pStyle w:val="5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表3.7-</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无组织</w:t>
            </w:r>
            <w:r>
              <w:rPr>
                <w:rFonts w:hint="default" w:ascii="Times New Roman" w:hAnsi="Times New Roman" w:cs="Times New Roman"/>
                <w:color w:val="000000" w:themeColor="text1"/>
                <w:lang w:eastAsia="zh-CN"/>
                <w14:textFill>
                  <w14:solidFill>
                    <w14:schemeClr w14:val="tx1"/>
                  </w14:solidFill>
                </w14:textFill>
              </w:rPr>
              <w:t>排放标准</w:t>
            </w:r>
            <w:r>
              <w:rPr>
                <w:rFonts w:hint="default" w:ascii="Times New Roman" w:hAnsi="Times New Roman" w:cs="Times New Roman"/>
                <w:color w:val="000000" w:themeColor="text1"/>
                <w:lang w:val="en-US" w:eastAsia="zh-CN"/>
                <w14:textFill>
                  <w14:solidFill>
                    <w14:schemeClr w14:val="tx1"/>
                  </w14:solidFill>
                </w14:textFill>
              </w:rPr>
              <w:t>限值一览表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978"/>
              <w:gridCol w:w="1106"/>
              <w:gridCol w:w="1967"/>
              <w:gridCol w:w="4322"/>
            </w:tblGrid>
            <w:tr w14:paraId="207611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restart"/>
                  <w:noWrap w:val="0"/>
                  <w:vAlign w:val="center"/>
                </w:tcPr>
                <w:p w14:paraId="7FA5178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1834" w:type="pct"/>
                  <w:gridSpan w:val="2"/>
                  <w:noWrap w:val="0"/>
                  <w:vAlign w:val="center"/>
                </w:tcPr>
                <w:p w14:paraId="1209222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无组织排放监控浓度限值</w:t>
                  </w:r>
                </w:p>
              </w:tc>
              <w:tc>
                <w:tcPr>
                  <w:tcW w:w="2580" w:type="pct"/>
                  <w:vMerge w:val="restart"/>
                  <w:noWrap w:val="0"/>
                  <w:vAlign w:val="center"/>
                </w:tcPr>
                <w:p w14:paraId="59E4F57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标准依据</w:t>
                  </w:r>
                </w:p>
              </w:tc>
            </w:tr>
            <w:tr w14:paraId="70971F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continue"/>
                  <w:noWrap w:val="0"/>
                  <w:vAlign w:val="center"/>
                </w:tcPr>
                <w:p w14:paraId="48FF6546">
                  <w:pPr>
                    <w:pStyle w:val="47"/>
                    <w:bidi w:val="0"/>
                    <w:rPr>
                      <w:rFonts w:hint="default" w:ascii="Times New Roman" w:hAnsi="Times New Roman" w:cs="Times New Roman"/>
                      <w:color w:val="000000" w:themeColor="text1"/>
                      <w14:textFill>
                        <w14:solidFill>
                          <w14:schemeClr w14:val="tx1"/>
                        </w14:solidFill>
                      </w14:textFill>
                    </w:rPr>
                  </w:pPr>
                </w:p>
              </w:tc>
              <w:tc>
                <w:tcPr>
                  <w:tcW w:w="660" w:type="pct"/>
                  <w:noWrap w:val="0"/>
                  <w:vAlign w:val="center"/>
                </w:tcPr>
                <w:p w14:paraId="43175E4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监控点</w:t>
                  </w:r>
                </w:p>
              </w:tc>
              <w:tc>
                <w:tcPr>
                  <w:tcW w:w="1174" w:type="pct"/>
                  <w:noWrap w:val="0"/>
                  <w:vAlign w:val="center"/>
                </w:tcPr>
                <w:p w14:paraId="76F6BCDF">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浓度</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p>
              </w:tc>
              <w:tc>
                <w:tcPr>
                  <w:tcW w:w="2580" w:type="pct"/>
                  <w:vMerge w:val="continue"/>
                  <w:noWrap w:val="0"/>
                  <w:vAlign w:val="center"/>
                </w:tcPr>
                <w:p w14:paraId="2BB60EBA">
                  <w:pPr>
                    <w:pStyle w:val="47"/>
                    <w:bidi w:val="0"/>
                    <w:rPr>
                      <w:rFonts w:hint="default" w:ascii="Times New Roman" w:hAnsi="Times New Roman" w:cs="Times New Roman"/>
                      <w:color w:val="000000" w:themeColor="text1"/>
                      <w14:textFill>
                        <w14:solidFill>
                          <w14:schemeClr w14:val="tx1"/>
                        </w14:solidFill>
                      </w14:textFill>
                    </w:rPr>
                  </w:pPr>
                </w:p>
              </w:tc>
            </w:tr>
            <w:tr w14:paraId="6AD6E3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noWrap w:val="0"/>
                  <w:vAlign w:val="center"/>
                </w:tcPr>
                <w:p w14:paraId="4195E113">
                  <w:pPr>
                    <w:pStyle w:val="47"/>
                    <w:bidi w:val="0"/>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颗粒物</w:t>
                  </w:r>
                </w:p>
              </w:tc>
              <w:tc>
                <w:tcPr>
                  <w:tcW w:w="660" w:type="pct"/>
                  <w:noWrap w:val="0"/>
                  <w:vAlign w:val="center"/>
                </w:tcPr>
                <w:p w14:paraId="74EB4D24">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企业边界</w:t>
                  </w:r>
                </w:p>
              </w:tc>
              <w:tc>
                <w:tcPr>
                  <w:tcW w:w="1174" w:type="pct"/>
                  <w:noWrap w:val="0"/>
                  <w:vAlign w:val="center"/>
                </w:tcPr>
                <w:p w14:paraId="2710C331">
                  <w:pPr>
                    <w:pStyle w:val="47"/>
                    <w:bidi w:val="0"/>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w:t>
                  </w:r>
                </w:p>
              </w:tc>
              <w:tc>
                <w:tcPr>
                  <w:tcW w:w="2580" w:type="pct"/>
                  <w:noWrap w:val="0"/>
                  <w:vAlign w:val="center"/>
                </w:tcPr>
                <w:p w14:paraId="7E0D70AA">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《大气污染物综合排放标准》(GB16297-1996)中表2无组织排放监控浓度限值</w:t>
                  </w:r>
                </w:p>
              </w:tc>
            </w:tr>
            <w:tr w14:paraId="48C43B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restart"/>
                  <w:noWrap w:val="0"/>
                  <w:vAlign w:val="center"/>
                </w:tcPr>
                <w:p w14:paraId="6844DC31">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非甲烷总烃</w:t>
                  </w:r>
                </w:p>
              </w:tc>
              <w:tc>
                <w:tcPr>
                  <w:tcW w:w="660" w:type="pct"/>
                  <w:noWrap w:val="0"/>
                  <w:vAlign w:val="center"/>
                </w:tcPr>
                <w:p w14:paraId="55B57BDC">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企业边界</w:t>
                  </w:r>
                </w:p>
              </w:tc>
              <w:tc>
                <w:tcPr>
                  <w:tcW w:w="1174" w:type="pct"/>
                  <w:noWrap w:val="0"/>
                  <w:vAlign w:val="center"/>
                </w:tcPr>
                <w:p w14:paraId="1B6AC41C">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w:t>
                  </w:r>
                </w:p>
              </w:tc>
              <w:tc>
                <w:tcPr>
                  <w:tcW w:w="2580" w:type="pct"/>
                  <w:noWrap w:val="0"/>
                  <w:vAlign w:val="center"/>
                </w:tcPr>
                <w:p w14:paraId="3F20A07A">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《工业企业挥发性有机物排放标准》（DB35/1782-2018)表3</w:t>
                  </w:r>
                  <w:r>
                    <w:rPr>
                      <w:rFonts w:hint="default" w:ascii="Times New Roman" w:hAnsi="Times New Roman" w:cs="Times New Roman"/>
                      <w:color w:val="000000" w:themeColor="text1"/>
                      <w:lang w:val="en-US" w:eastAsia="zh-CN"/>
                      <w14:textFill>
                        <w14:solidFill>
                          <w14:schemeClr w14:val="tx1"/>
                        </w14:solidFill>
                      </w14:textFill>
                    </w:rPr>
                    <w:t>标准</w:t>
                  </w:r>
                  <w:r>
                    <w:rPr>
                      <w:rFonts w:hint="eastAsia" w:ascii="Times New Roman" w:hAnsi="Times New Roman" w:cs="Times New Roman"/>
                      <w:color w:val="000000" w:themeColor="text1"/>
                      <w:lang w:val="en-US" w:eastAsia="zh-CN"/>
                      <w14:textFill>
                        <w14:solidFill>
                          <w14:schemeClr w14:val="tx1"/>
                        </w14:solidFill>
                      </w14:textFill>
                    </w:rPr>
                    <w:t>限值</w:t>
                  </w:r>
                </w:p>
              </w:tc>
            </w:tr>
            <w:tr w14:paraId="34B346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continue"/>
                  <w:noWrap w:val="0"/>
                  <w:vAlign w:val="center"/>
                </w:tcPr>
                <w:p w14:paraId="1EBC997A">
                  <w:pPr>
                    <w:pStyle w:val="47"/>
                    <w:bidi w:val="0"/>
                    <w:rPr>
                      <w:rFonts w:hint="default" w:ascii="Times New Roman" w:hAnsi="Times New Roman" w:cs="Times New Roman"/>
                      <w:color w:val="000000" w:themeColor="text1"/>
                      <w14:textFill>
                        <w14:solidFill>
                          <w14:schemeClr w14:val="tx1"/>
                        </w14:solidFill>
                      </w14:textFill>
                    </w:rPr>
                  </w:pPr>
                </w:p>
              </w:tc>
              <w:tc>
                <w:tcPr>
                  <w:tcW w:w="660" w:type="pct"/>
                  <w:vMerge w:val="restart"/>
                  <w:noWrap w:val="0"/>
                  <w:vAlign w:val="center"/>
                </w:tcPr>
                <w:p w14:paraId="28978FD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厂区内</w:t>
                  </w:r>
                </w:p>
              </w:tc>
              <w:tc>
                <w:tcPr>
                  <w:tcW w:w="1174" w:type="pct"/>
                  <w:noWrap w:val="0"/>
                  <w:vAlign w:val="center"/>
                </w:tcPr>
                <w:p w14:paraId="1243AE78">
                  <w:pPr>
                    <w:pStyle w:val="47"/>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监控点处</w:t>
                  </w:r>
                  <w:r>
                    <w:rPr>
                      <w:rFonts w:hint="default"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14:textFill>
                        <w14:solidFill>
                          <w14:schemeClr w14:val="tx1"/>
                        </w14:solidFill>
                      </w14:textFill>
                    </w:rPr>
                    <w:t>平均浓度</w:t>
                  </w:r>
                  <w:r>
                    <w:rPr>
                      <w:rFonts w:hint="eastAsia" w:ascii="Times New Roman" w:hAnsi="Times New Roman" w:cs="Times New Roman"/>
                      <w:color w:val="000000" w:themeColor="text1"/>
                      <w:lang w:eastAsia="zh-CN"/>
                      <w14:textFill>
                        <w14:solidFill>
                          <w14:schemeClr w14:val="tx1"/>
                        </w14:solidFill>
                      </w14:textFill>
                    </w:rPr>
                    <w:t>值≤</w:t>
                  </w:r>
                  <w:r>
                    <w:rPr>
                      <w:rFonts w:hint="default" w:ascii="Times New Roman" w:hAnsi="Times New Roman" w:cs="Times New Roman"/>
                      <w:color w:val="000000" w:themeColor="text1"/>
                      <w14:textFill>
                        <w14:solidFill>
                          <w14:schemeClr w14:val="tx1"/>
                        </w14:solidFill>
                      </w14:textFill>
                    </w:rPr>
                    <w:t>6.0</w:t>
                  </w:r>
                </w:p>
              </w:tc>
              <w:tc>
                <w:tcPr>
                  <w:tcW w:w="2580" w:type="pct"/>
                  <w:vMerge w:val="restart"/>
                  <w:noWrap w:val="0"/>
                  <w:vAlign w:val="center"/>
                </w:tcPr>
                <w:p w14:paraId="2C88403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《挥发性有机物无组织排放控制标准》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GB37822-2019</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附录A表A.1特别排放限值</w:t>
                  </w:r>
                </w:p>
              </w:tc>
            </w:tr>
            <w:tr w14:paraId="505D3E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584" w:type="pct"/>
                  <w:vMerge w:val="continue"/>
                  <w:noWrap w:val="0"/>
                  <w:vAlign w:val="center"/>
                </w:tcPr>
                <w:p w14:paraId="02ADFAC5">
                  <w:pPr>
                    <w:pStyle w:val="47"/>
                    <w:bidi w:val="0"/>
                    <w:rPr>
                      <w:rFonts w:hint="default" w:ascii="Times New Roman" w:hAnsi="Times New Roman" w:cs="Times New Roman"/>
                      <w:color w:val="000000" w:themeColor="text1"/>
                      <w14:textFill>
                        <w14:solidFill>
                          <w14:schemeClr w14:val="tx1"/>
                        </w14:solidFill>
                      </w14:textFill>
                    </w:rPr>
                  </w:pPr>
                </w:p>
              </w:tc>
              <w:tc>
                <w:tcPr>
                  <w:tcW w:w="660" w:type="pct"/>
                  <w:vMerge w:val="continue"/>
                  <w:noWrap w:val="0"/>
                  <w:vAlign w:val="center"/>
                </w:tcPr>
                <w:p w14:paraId="5593FC74">
                  <w:pPr>
                    <w:pStyle w:val="47"/>
                    <w:bidi w:val="0"/>
                    <w:rPr>
                      <w:rFonts w:hint="default" w:ascii="Times New Roman" w:hAnsi="Times New Roman" w:cs="Times New Roman"/>
                      <w:color w:val="000000" w:themeColor="text1"/>
                      <w14:textFill>
                        <w14:solidFill>
                          <w14:schemeClr w14:val="tx1"/>
                        </w14:solidFill>
                      </w14:textFill>
                    </w:rPr>
                  </w:pPr>
                </w:p>
              </w:tc>
              <w:tc>
                <w:tcPr>
                  <w:tcW w:w="1174" w:type="pct"/>
                  <w:noWrap w:val="0"/>
                  <w:vAlign w:val="center"/>
                </w:tcPr>
                <w:p w14:paraId="33BFE6B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监控点处任意一次浓度值</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w:t>
                  </w:r>
                </w:p>
              </w:tc>
              <w:tc>
                <w:tcPr>
                  <w:tcW w:w="2580" w:type="pct"/>
                  <w:vMerge w:val="continue"/>
                  <w:noWrap w:val="0"/>
                  <w:vAlign w:val="center"/>
                </w:tcPr>
                <w:p w14:paraId="5C8A8237">
                  <w:pPr>
                    <w:pStyle w:val="47"/>
                    <w:bidi w:val="0"/>
                    <w:rPr>
                      <w:rFonts w:hint="default" w:ascii="Times New Roman" w:hAnsi="Times New Roman" w:cs="Times New Roman"/>
                      <w:color w:val="000000" w:themeColor="text1"/>
                      <w14:textFill>
                        <w14:solidFill>
                          <w14:schemeClr w14:val="tx1"/>
                        </w14:solidFill>
                      </w14:textFill>
                    </w:rPr>
                  </w:pPr>
                </w:p>
              </w:tc>
            </w:tr>
          </w:tbl>
          <w:p w14:paraId="226C6466">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3.7.3 厂界噪声</w:t>
            </w:r>
          </w:p>
          <w:p w14:paraId="7CBDBEBF">
            <w:pPr>
              <w:pStyle w:val="4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由于本项目所在区域声环境为居住和工业混杂区，项目北侧存在敏感点太城新厝村，西侧存在敏感点福清龙翔中英文学校。因此本项目声环境质量执行《声环境质量标准》(GB3096-2008)2类标准；</w:t>
            </w:r>
            <w:r>
              <w:rPr>
                <w:rFonts w:hint="default" w:ascii="Times New Roman" w:hAnsi="Times New Roman" w:cs="Times New Roman"/>
                <w:color w:val="000000" w:themeColor="text1"/>
                <w14:textFill>
                  <w14:solidFill>
                    <w14:schemeClr w14:val="tx1"/>
                  </w14:solidFill>
                </w14:textFill>
              </w:rPr>
              <w:t>具体详见表</w:t>
            </w:r>
            <w:r>
              <w:rPr>
                <w:rFonts w:hint="default" w:ascii="Times New Roman" w:hAnsi="Times New Roman" w:cs="Times New Roman"/>
                <w:color w:val="000000" w:themeColor="text1"/>
                <w:lang w:val="en-US" w:eastAsia="zh-CN"/>
                <w14:textFill>
                  <w14:solidFill>
                    <w14:schemeClr w14:val="tx1"/>
                  </w14:solidFill>
                </w14:textFill>
              </w:rPr>
              <w:t>3.7-</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14:paraId="18378333">
            <w:pPr>
              <w:pStyle w:val="5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表3.7-</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 xml:space="preserve">  厂界噪声排放标准</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8"/>
              <w:gridCol w:w="4559"/>
              <w:gridCol w:w="2347"/>
            </w:tblGrid>
            <w:tr w14:paraId="4DF4D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1" w:hRule="atLeast"/>
                <w:jc w:val="center"/>
              </w:trPr>
              <w:tc>
                <w:tcPr>
                  <w:tcW w:w="876" w:type="pct"/>
                  <w:noWrap w:val="0"/>
                  <w:vAlign w:val="center"/>
                </w:tcPr>
                <w:p w14:paraId="690F702D">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类别</w:t>
                  </w:r>
                </w:p>
              </w:tc>
              <w:tc>
                <w:tcPr>
                  <w:tcW w:w="2721" w:type="pct"/>
                  <w:noWrap w:val="0"/>
                  <w:vAlign w:val="center"/>
                </w:tcPr>
                <w:p w14:paraId="5CF32CB4">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标准名称</w:t>
                  </w:r>
                </w:p>
              </w:tc>
              <w:tc>
                <w:tcPr>
                  <w:tcW w:w="1401" w:type="pct"/>
                  <w:noWrap w:val="0"/>
                  <w:vAlign w:val="center"/>
                </w:tcPr>
                <w:p w14:paraId="0BAF83D6">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昼间</w:t>
                  </w:r>
                  <w:r>
                    <w:rPr>
                      <w:rFonts w:hint="default" w:ascii="Times New Roman" w:hAnsi="Times New Roman" w:cs="Times New Roman"/>
                      <w:color w:val="000000" w:themeColor="text1"/>
                      <w:sz w:val="21"/>
                      <w:szCs w:val="21"/>
                      <w14:textFill>
                        <w14:solidFill>
                          <w14:schemeClr w14:val="tx1"/>
                        </w14:solidFill>
                      </w14:textFill>
                    </w:rPr>
                    <w:t>标准限值</w:t>
                  </w:r>
                </w:p>
              </w:tc>
            </w:tr>
            <w:tr w14:paraId="72733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76" w:type="pct"/>
                  <w:noWrap w:val="0"/>
                  <w:vAlign w:val="center"/>
                </w:tcPr>
                <w:p w14:paraId="504B3DB2">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厂界</w:t>
                  </w:r>
                </w:p>
              </w:tc>
              <w:tc>
                <w:tcPr>
                  <w:tcW w:w="2721" w:type="pct"/>
                  <w:noWrap w:val="0"/>
                  <w:vAlign w:val="center"/>
                </w:tcPr>
                <w:p w14:paraId="33E2ADEE">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GB12348-2008</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类标准</w:t>
                  </w:r>
                </w:p>
              </w:tc>
              <w:tc>
                <w:tcPr>
                  <w:tcW w:w="1401" w:type="pct"/>
                  <w:noWrap w:val="0"/>
                  <w:vAlign w:val="center"/>
                </w:tcPr>
                <w:p w14:paraId="27A0458F">
                  <w:pPr>
                    <w:keepNext w:val="0"/>
                    <w:keepLines w:val="0"/>
                    <w:pageBreakBefore w:val="0"/>
                    <w:widowControl/>
                    <w:kinsoku/>
                    <w:wordWrap/>
                    <w:overflowPunct/>
                    <w:topLinePunct w:val="0"/>
                    <w:autoSpaceDE/>
                    <w:autoSpaceDN/>
                    <w:bidi w:val="0"/>
                    <w:adjustRightInd/>
                    <w:snapToGrid/>
                    <w:spacing w:line="340" w:lineRule="exact"/>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6</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dB(A</w:t>
                  </w:r>
                  <w:r>
                    <w:rPr>
                      <w:rFonts w:hint="default" w:ascii="Times New Roman" w:hAnsi="Times New Roman" w:cs="Times New Roman"/>
                      <w:color w:val="000000" w:themeColor="text1"/>
                      <w:sz w:val="21"/>
                      <w:szCs w:val="21"/>
                      <w:lang w:eastAsia="zh-CN"/>
                      <w14:textFill>
                        <w14:solidFill>
                          <w14:schemeClr w14:val="tx1"/>
                        </w14:solidFill>
                      </w14:textFill>
                    </w:rPr>
                    <w:t>)</w:t>
                  </w:r>
                </w:p>
              </w:tc>
            </w:tr>
          </w:tbl>
          <w:p w14:paraId="705F1174">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3.7.4 固体废物</w:t>
            </w:r>
          </w:p>
          <w:p w14:paraId="1BAB3D2F">
            <w:pPr>
              <w:pStyle w:val="4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lang w:val="en-US" w:eastAsia="zh-CN"/>
                <w14:textFill>
                  <w14:solidFill>
                    <w14:schemeClr w14:val="tx1"/>
                  </w14:solidFill>
                </w14:textFill>
              </w:rPr>
              <w:t>内</w:t>
            </w:r>
            <w:r>
              <w:rPr>
                <w:rFonts w:hint="default" w:ascii="Times New Roman" w:hAnsi="Times New Roman" w:cs="Times New Roman"/>
                <w:color w:val="000000" w:themeColor="text1"/>
                <w:sz w:val="24"/>
                <w:lang w:eastAsia="zh-CN"/>
                <w14:textFill>
                  <w14:solidFill>
                    <w14:schemeClr w14:val="tx1"/>
                  </w14:solidFill>
                </w14:textFill>
              </w:rPr>
              <w:t>产生的生活垃圾，其贮存处理应按照《城市环境卫生设施规划规范》(GB50337－2003)中的要求进行综合利用和处置；项目内产生的一般工业固废应按照《一般工业固体废物贮存和填埋污染控制标准》(GB 18599-2020)的要求进行暂存管理；项目内产生的危险废物应按照《危险废物贮存污染控制标准》(GB18597-20</w:t>
            </w:r>
            <w:r>
              <w:rPr>
                <w:rFonts w:hint="default" w:ascii="Times New Roman" w:hAnsi="Times New Roman" w:cs="Times New Roman"/>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sz w:val="24"/>
                <w:lang w:eastAsia="zh-CN"/>
                <w14:textFill>
                  <w14:solidFill>
                    <w14:schemeClr w14:val="tx1"/>
                  </w14:solidFill>
                </w14:textFill>
              </w:rPr>
              <w:t>要求进行暂存管理。</w:t>
            </w:r>
          </w:p>
        </w:tc>
      </w:tr>
      <w:tr w14:paraId="0C625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84" w:type="dxa"/>
            <w:noWrap w:val="0"/>
            <w:vAlign w:val="center"/>
          </w:tcPr>
          <w:p w14:paraId="10648AD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总量</w:t>
            </w:r>
          </w:p>
          <w:p w14:paraId="59D4143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控制</w:t>
            </w:r>
          </w:p>
          <w:p w14:paraId="3D0A7604">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指标</w:t>
            </w:r>
          </w:p>
        </w:tc>
        <w:tc>
          <w:tcPr>
            <w:tcW w:w="8277" w:type="dxa"/>
            <w:noWrap w:val="0"/>
            <w:vAlign w:val="center"/>
          </w:tcPr>
          <w:p w14:paraId="591CABE0">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3.8.1 废水总量</w:t>
            </w:r>
          </w:p>
          <w:p w14:paraId="3C62D3A6">
            <w:pPr>
              <w:pStyle w:val="4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项目生产无废水，根据《福建省环保厅关于进一步明确排污权工作有关问题的通知》(闽环保财〔2017〕22号)，现有工业排污单位的水污染物的初始排污权只核定工业废水部分，</w:t>
            </w:r>
            <w:r>
              <w:rPr>
                <w:rFonts w:hint="eastAsia" w:cs="Times New Roman"/>
                <w:color w:val="000000" w:themeColor="text1"/>
                <w:lang w:val="en-US" w:eastAsia="zh-CN"/>
                <w14:textFill>
                  <w14:solidFill>
                    <w14:schemeClr w14:val="tx1"/>
                  </w14:solidFill>
                </w14:textFill>
              </w:rPr>
              <w:t>本项目无生产废水外排，</w:t>
            </w:r>
            <w:r>
              <w:rPr>
                <w:rFonts w:hint="default" w:ascii="Times New Roman" w:hAnsi="Times New Roman" w:cs="Times New Roman"/>
                <w:color w:val="000000" w:themeColor="text1"/>
                <w:lang w:val="en-US" w:eastAsia="zh-CN"/>
                <w14:textFill>
                  <w14:solidFill>
                    <w14:schemeClr w14:val="tx1"/>
                  </w14:solidFill>
                </w14:textFill>
              </w:rPr>
              <w:t>生活污水允许排放量由福清市第二污水处理厂统计在内。因此本项目生活污水不另行申请总量调剂。</w:t>
            </w:r>
          </w:p>
          <w:p w14:paraId="25A1DE3E">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3.8.2 废气总量</w:t>
            </w:r>
          </w:p>
          <w:p w14:paraId="38F8BFCD">
            <w:pPr>
              <w:pStyle w:val="4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项目不涉及SO</w:t>
            </w:r>
            <w:r>
              <w:rPr>
                <w:rFonts w:hint="default" w:ascii="Times New Roman" w:hAnsi="Times New Roman" w:cs="Times New Roman"/>
                <w:color w:val="000000" w:themeColor="text1"/>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、NOx排放，本项目废气总量控制指标为VOCs</w:t>
            </w:r>
            <w:r>
              <w:rPr>
                <w:rFonts w:hint="default" w:ascii="Times New Roman" w:hAnsi="Times New Roman" w:cs="Times New Roman"/>
                <w:color w:val="000000" w:themeColor="text1"/>
                <w:highlight w:val="none"/>
                <w:lang w:val="en-US" w:eastAsia="zh-CN"/>
                <w14:textFill>
                  <w14:solidFill>
                    <w14:schemeClr w14:val="tx1"/>
                  </w14:solidFill>
                </w14:textFill>
              </w:rPr>
              <w:t>(以非甲烷总烃计)</w:t>
            </w:r>
            <w:r>
              <w:rPr>
                <w:rFonts w:hint="default" w:ascii="Times New Roman" w:hAnsi="Times New Roman" w:cs="Times New Roman"/>
                <w:color w:val="000000" w:themeColor="text1"/>
                <w:highlight w:val="none"/>
                <w14:textFill>
                  <w14:solidFill>
                    <w14:schemeClr w14:val="tx1"/>
                  </w14:solidFill>
                </w14:textFill>
              </w:rPr>
              <w:t>。根据下文表4.2-</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项目废气污染源源强核算结果及相关参数一览表可知，废气污染物排放总量见下表3.8-</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w:t>
            </w:r>
          </w:p>
          <w:p w14:paraId="0002C82C">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表3.8-</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项目废气污染物排放总量指标一览表</w:t>
            </w:r>
          </w:p>
          <w:tbl>
            <w:tblPr>
              <w:tblStyle w:val="2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52"/>
              <w:gridCol w:w="1877"/>
              <w:gridCol w:w="1997"/>
              <w:gridCol w:w="2647"/>
            </w:tblGrid>
            <w:tr w14:paraId="0DB0F1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105" w:type="pct"/>
                  <w:tcBorders>
                    <w:tl2br w:val="nil"/>
                    <w:tr2bl w:val="nil"/>
                  </w:tcBorders>
                  <w:noWrap w:val="0"/>
                  <w:vAlign w:val="center"/>
                </w:tcPr>
                <w:p w14:paraId="7C7E2CD7">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污染源</w:t>
                  </w:r>
                </w:p>
              </w:tc>
              <w:tc>
                <w:tcPr>
                  <w:tcW w:w="1120" w:type="pct"/>
                  <w:tcBorders>
                    <w:tl2br w:val="nil"/>
                    <w:tr2bl w:val="nil"/>
                  </w:tcBorders>
                  <w:noWrap w:val="0"/>
                  <w:vAlign w:val="center"/>
                </w:tcPr>
                <w:p w14:paraId="25698035">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污染物</w:t>
                  </w:r>
                </w:p>
              </w:tc>
              <w:tc>
                <w:tcPr>
                  <w:tcW w:w="1192" w:type="pct"/>
                  <w:tcBorders>
                    <w:tl2br w:val="nil"/>
                    <w:tr2bl w:val="nil"/>
                  </w:tcBorders>
                  <w:noWrap w:val="0"/>
                  <w:vAlign w:val="center"/>
                </w:tcPr>
                <w:p w14:paraId="5C987C1F">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预测排放量</w:t>
                  </w:r>
                </w:p>
              </w:tc>
              <w:tc>
                <w:tcPr>
                  <w:tcW w:w="1580" w:type="pct"/>
                  <w:tcBorders>
                    <w:tl2br w:val="nil"/>
                    <w:tr2bl w:val="nil"/>
                  </w:tcBorders>
                  <w:noWrap w:val="0"/>
                  <w:vAlign w:val="center"/>
                </w:tcPr>
                <w:p w14:paraId="64FEE3B5">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总量核算</w:t>
                  </w:r>
                </w:p>
                <w:p w14:paraId="729B6F6A">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指标</w:t>
                  </w:r>
                </w:p>
              </w:tc>
            </w:tr>
            <w:tr w14:paraId="47C953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105" w:type="pct"/>
                  <w:vMerge w:val="restart"/>
                  <w:tcBorders>
                    <w:tl2br w:val="nil"/>
                    <w:tr2bl w:val="nil"/>
                  </w:tcBorders>
                  <w:noWrap w:val="0"/>
                  <w:vAlign w:val="center"/>
                </w:tcPr>
                <w:p w14:paraId="28CB8841">
                  <w:pPr>
                    <w:pStyle w:val="47"/>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DA00</w:t>
                  </w: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1120" w:type="pct"/>
                  <w:tcBorders>
                    <w:tl2br w:val="nil"/>
                    <w:tr2bl w:val="nil"/>
                  </w:tcBorders>
                  <w:noWrap w:val="0"/>
                  <w:vAlign w:val="center"/>
                </w:tcPr>
                <w:p w14:paraId="28BEF785">
                  <w:pPr>
                    <w:bidi w:val="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颗粒物</w:t>
                  </w:r>
                </w:p>
              </w:tc>
              <w:tc>
                <w:tcPr>
                  <w:tcW w:w="1192" w:type="pct"/>
                  <w:tcBorders>
                    <w:tl2br w:val="nil"/>
                    <w:tr2bl w:val="nil"/>
                  </w:tcBorders>
                  <w:noWrap w:val="0"/>
                  <w:vAlign w:val="center"/>
                </w:tcPr>
                <w:p w14:paraId="20844F13">
                  <w:pPr>
                    <w:pStyle w:val="47"/>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0.145</w:t>
                  </w:r>
                </w:p>
              </w:tc>
              <w:tc>
                <w:tcPr>
                  <w:tcW w:w="1580" w:type="pct"/>
                  <w:vMerge w:val="restart"/>
                  <w:tcBorders>
                    <w:tl2br w:val="nil"/>
                    <w:tr2bl w:val="nil"/>
                  </w:tcBorders>
                  <w:noWrap w:val="0"/>
                  <w:vAlign w:val="center"/>
                </w:tcPr>
                <w:p w14:paraId="05CBAFA2">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VOCs合计</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0.41</w:t>
                  </w:r>
                  <w:r>
                    <w:rPr>
                      <w:rFonts w:hint="default" w:ascii="Times New Roman" w:hAnsi="Times New Roman" w:cs="Times New Roman"/>
                      <w:color w:val="000000" w:themeColor="text1"/>
                      <w:highlight w:val="none"/>
                      <w14:textFill>
                        <w14:solidFill>
                          <w14:schemeClr w14:val="tx1"/>
                        </w14:solidFill>
                      </w14:textFill>
                    </w:rPr>
                    <w:t>t/a</w:t>
                  </w:r>
                </w:p>
              </w:tc>
            </w:tr>
            <w:tr w14:paraId="649B31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105" w:type="pct"/>
                  <w:vMerge w:val="continue"/>
                  <w:tcBorders>
                    <w:tl2br w:val="nil"/>
                    <w:tr2bl w:val="nil"/>
                  </w:tcBorders>
                  <w:noWrap w:val="0"/>
                  <w:vAlign w:val="center"/>
                </w:tcPr>
                <w:p w14:paraId="65F0B44F">
                  <w:pPr>
                    <w:pStyle w:val="47"/>
                    <w:bidi w:val="0"/>
                    <w:rPr>
                      <w:rFonts w:hint="default" w:ascii="Times New Roman" w:hAnsi="Times New Roman" w:cs="Times New Roman"/>
                      <w:color w:val="000000" w:themeColor="text1"/>
                      <w:highlight w:val="none"/>
                      <w14:textFill>
                        <w14:solidFill>
                          <w14:schemeClr w14:val="tx1"/>
                        </w14:solidFill>
                      </w14:textFill>
                    </w:rPr>
                  </w:pPr>
                </w:p>
              </w:tc>
              <w:tc>
                <w:tcPr>
                  <w:tcW w:w="1120" w:type="pct"/>
                  <w:tcBorders>
                    <w:tl2br w:val="nil"/>
                    <w:tr2bl w:val="nil"/>
                  </w:tcBorders>
                  <w:noWrap w:val="0"/>
                  <w:vAlign w:val="center"/>
                </w:tcPr>
                <w:p w14:paraId="15317C58">
                  <w:pPr>
                    <w:bidi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VOCs</w:t>
                  </w:r>
                </w:p>
              </w:tc>
              <w:tc>
                <w:tcPr>
                  <w:tcW w:w="1192" w:type="pct"/>
                  <w:tcBorders>
                    <w:tl2br w:val="nil"/>
                    <w:tr2bl w:val="nil"/>
                  </w:tcBorders>
                  <w:noWrap w:val="0"/>
                  <w:vAlign w:val="center"/>
                </w:tcPr>
                <w:p w14:paraId="3C679FB4">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0.1822</w:t>
                  </w:r>
                </w:p>
              </w:tc>
              <w:tc>
                <w:tcPr>
                  <w:tcW w:w="1580" w:type="pct"/>
                  <w:vMerge w:val="continue"/>
                  <w:tcBorders>
                    <w:tl2br w:val="nil"/>
                    <w:tr2bl w:val="nil"/>
                  </w:tcBorders>
                  <w:noWrap w:val="0"/>
                  <w:vAlign w:val="center"/>
                </w:tcPr>
                <w:p w14:paraId="0B4BFC25">
                  <w:pPr>
                    <w:pStyle w:val="47"/>
                    <w:bidi w:val="0"/>
                    <w:rPr>
                      <w:rFonts w:hint="default" w:ascii="Times New Roman" w:hAnsi="Times New Roman" w:cs="Times New Roman"/>
                      <w:color w:val="000000" w:themeColor="text1"/>
                      <w:highlight w:val="none"/>
                      <w14:textFill>
                        <w14:solidFill>
                          <w14:schemeClr w14:val="tx1"/>
                        </w14:solidFill>
                      </w14:textFill>
                    </w:rPr>
                  </w:pPr>
                </w:p>
              </w:tc>
            </w:tr>
            <w:tr w14:paraId="668DBC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75" w:hRule="atLeast"/>
              </w:trPr>
              <w:tc>
                <w:tcPr>
                  <w:tcW w:w="1105" w:type="pct"/>
                  <w:vMerge w:val="restart"/>
                  <w:tcBorders>
                    <w:tl2br w:val="nil"/>
                    <w:tr2bl w:val="nil"/>
                  </w:tcBorders>
                  <w:noWrap w:val="0"/>
                  <w:vAlign w:val="center"/>
                </w:tcPr>
                <w:p w14:paraId="5B21C340">
                  <w:pPr>
                    <w:pStyle w:val="47"/>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无组织</w:t>
                  </w:r>
                </w:p>
              </w:tc>
              <w:tc>
                <w:tcPr>
                  <w:tcW w:w="1120" w:type="pct"/>
                  <w:tcBorders>
                    <w:tl2br w:val="nil"/>
                    <w:tr2bl w:val="nil"/>
                  </w:tcBorders>
                  <w:noWrap w:val="0"/>
                  <w:vAlign w:val="center"/>
                </w:tcPr>
                <w:p w14:paraId="0FB1A95C">
                  <w:pPr>
                    <w:bidi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颗粒物</w:t>
                  </w:r>
                </w:p>
              </w:tc>
              <w:tc>
                <w:tcPr>
                  <w:tcW w:w="1192" w:type="pct"/>
                  <w:tcBorders>
                    <w:tl2br w:val="nil"/>
                    <w:tr2bl w:val="nil"/>
                  </w:tcBorders>
                  <w:noWrap w:val="0"/>
                  <w:vAlign w:val="center"/>
                </w:tcPr>
                <w:p w14:paraId="31769F8F">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0.7249</w:t>
                  </w:r>
                </w:p>
              </w:tc>
              <w:tc>
                <w:tcPr>
                  <w:tcW w:w="1580" w:type="pct"/>
                  <w:vMerge w:val="continue"/>
                  <w:tcBorders>
                    <w:tl2br w:val="nil"/>
                    <w:tr2bl w:val="nil"/>
                  </w:tcBorders>
                  <w:noWrap w:val="0"/>
                  <w:vAlign w:val="center"/>
                </w:tcPr>
                <w:p w14:paraId="17A55422">
                  <w:pPr>
                    <w:pStyle w:val="47"/>
                    <w:bidi w:val="0"/>
                    <w:rPr>
                      <w:rFonts w:hint="default" w:ascii="Times New Roman" w:hAnsi="Times New Roman" w:cs="Times New Roman"/>
                      <w:color w:val="000000" w:themeColor="text1"/>
                      <w:highlight w:val="none"/>
                      <w14:textFill>
                        <w14:solidFill>
                          <w14:schemeClr w14:val="tx1"/>
                        </w14:solidFill>
                      </w14:textFill>
                    </w:rPr>
                  </w:pPr>
                </w:p>
              </w:tc>
            </w:tr>
            <w:tr w14:paraId="41B323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75" w:hRule="atLeast"/>
              </w:trPr>
              <w:tc>
                <w:tcPr>
                  <w:tcW w:w="1105" w:type="pct"/>
                  <w:vMerge w:val="continue"/>
                  <w:tcBorders>
                    <w:tl2br w:val="nil"/>
                    <w:tr2bl w:val="nil"/>
                  </w:tcBorders>
                  <w:noWrap w:val="0"/>
                  <w:vAlign w:val="center"/>
                </w:tcPr>
                <w:p w14:paraId="6A3C7D67">
                  <w:pPr>
                    <w:pStyle w:val="47"/>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120" w:type="pct"/>
                  <w:tcBorders>
                    <w:tl2br w:val="nil"/>
                    <w:tr2bl w:val="nil"/>
                  </w:tcBorders>
                  <w:noWrap w:val="0"/>
                  <w:vAlign w:val="center"/>
                </w:tcPr>
                <w:p w14:paraId="2F72D8D5">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VOCs</w:t>
                  </w:r>
                </w:p>
              </w:tc>
              <w:tc>
                <w:tcPr>
                  <w:tcW w:w="1192" w:type="pct"/>
                  <w:tcBorders>
                    <w:tl2br w:val="nil"/>
                    <w:tr2bl w:val="nil"/>
                  </w:tcBorders>
                  <w:noWrap w:val="0"/>
                  <w:vAlign w:val="center"/>
                </w:tcPr>
                <w:p w14:paraId="763F5C13">
                  <w:pPr>
                    <w:pStyle w:val="47"/>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2278</w:t>
                  </w:r>
                </w:p>
              </w:tc>
              <w:tc>
                <w:tcPr>
                  <w:tcW w:w="1580" w:type="pct"/>
                  <w:vMerge w:val="continue"/>
                  <w:tcBorders>
                    <w:tl2br w:val="nil"/>
                    <w:tr2bl w:val="nil"/>
                  </w:tcBorders>
                  <w:noWrap w:val="0"/>
                  <w:vAlign w:val="center"/>
                </w:tcPr>
                <w:p w14:paraId="7BD31BBB">
                  <w:pPr>
                    <w:pStyle w:val="47"/>
                    <w:bidi w:val="0"/>
                    <w:rPr>
                      <w:rFonts w:hint="default" w:ascii="Times New Roman" w:hAnsi="Times New Roman" w:cs="Times New Roman"/>
                      <w:color w:val="000000" w:themeColor="text1"/>
                      <w:highlight w:val="none"/>
                      <w14:textFill>
                        <w14:solidFill>
                          <w14:schemeClr w14:val="tx1"/>
                        </w14:solidFill>
                      </w14:textFill>
                    </w:rPr>
                  </w:pPr>
                </w:p>
              </w:tc>
            </w:tr>
          </w:tbl>
          <w:p w14:paraId="07747A13">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3.8.3 主要污染物总量指标来源</w:t>
            </w:r>
          </w:p>
          <w:p w14:paraId="7A39AD21">
            <w:pPr>
              <w:pStyle w:val="4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由表3.8-</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可知，项目VOCs</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以非甲烷总烃计</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总量核算指标为</w:t>
            </w:r>
            <w:r>
              <w:rPr>
                <w:rFonts w:hint="eastAsia" w:cs="Times New Roman"/>
                <w:color w:val="000000" w:themeColor="text1"/>
                <w:highlight w:val="none"/>
                <w:lang w:val="en-US" w:eastAsia="zh-CN"/>
                <w14:textFill>
                  <w14:solidFill>
                    <w14:schemeClr w14:val="tx1"/>
                  </w14:solidFill>
                </w14:textFill>
              </w:rPr>
              <w:t>0.41</w:t>
            </w:r>
            <w:r>
              <w:rPr>
                <w:rFonts w:hint="default" w:ascii="Times New Roman" w:hAnsi="Times New Roman" w:cs="Times New Roman"/>
                <w:color w:val="000000" w:themeColor="text1"/>
                <w:highlight w:val="none"/>
                <w14:textFill>
                  <w14:solidFill>
                    <w14:schemeClr w14:val="tx1"/>
                  </w14:solidFill>
                </w14:textFill>
              </w:rPr>
              <w:t>t/a，根据《福州市</w:t>
            </w:r>
            <w:r>
              <w:rPr>
                <w:rFonts w:hint="eastAsia" w:cs="Times New Roman"/>
                <w:color w:val="000000" w:themeColor="text1"/>
                <w:highlight w:val="none"/>
                <w:lang w:eastAsia="zh-CN"/>
                <w14:textFill>
                  <w14:solidFill>
                    <w14:schemeClr w14:val="tx1"/>
                  </w14:solidFill>
                </w14:textFill>
              </w:rPr>
              <w:t>生态环境局</w:t>
            </w:r>
            <w:r>
              <w:rPr>
                <w:rFonts w:hint="default" w:ascii="Times New Roman" w:hAnsi="Times New Roman" w:cs="Times New Roman"/>
                <w:color w:val="000000" w:themeColor="text1"/>
                <w:highlight w:val="none"/>
                <w14:textFill>
                  <w14:solidFill>
                    <w14:schemeClr w14:val="tx1"/>
                  </w14:solidFill>
                </w14:textFill>
              </w:rPr>
              <w:t>关于印发福州市大气污染联防联控联治工作方案的通知》</w:t>
            </w:r>
            <w:r>
              <w:rPr>
                <w:rFonts w:hint="default" w:ascii="Times New Roman" w:hAnsi="Times New Roman" w:cs="Times New Roman"/>
                <w:color w:val="000000" w:themeColor="text1"/>
                <w:highlight w:val="none"/>
                <w:lang w:val="en-GB"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榕环保综</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2018</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386号</w:t>
            </w:r>
            <w:r>
              <w:rPr>
                <w:rFonts w:hint="default" w:ascii="Times New Roman" w:hAnsi="Times New Roman" w:cs="Times New Roman"/>
                <w:color w:val="000000" w:themeColor="text1"/>
                <w:highlight w:val="none"/>
                <w:lang w:val="en-GB"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，VOCs排放实行区域内倍量替代，由建设单位向</w:t>
            </w:r>
            <w:r>
              <w:rPr>
                <w:rFonts w:hint="default" w:ascii="Times New Roman" w:hAnsi="Times New Roman" w:cs="Times New Roman"/>
                <w:color w:val="000000" w:themeColor="text1"/>
                <w:highlight w:val="none"/>
                <w:lang w:val="en-US" w:eastAsia="zh-CN"/>
                <w14:textFill>
                  <w14:solidFill>
                    <w14:schemeClr w14:val="tx1"/>
                  </w14:solidFill>
                </w14:textFill>
              </w:rPr>
              <w:t>福清市</w:t>
            </w:r>
            <w:r>
              <w:rPr>
                <w:rFonts w:hint="default" w:ascii="Times New Roman" w:hAnsi="Times New Roman" w:cs="Times New Roman"/>
                <w:color w:val="000000" w:themeColor="text1"/>
                <w:highlight w:val="none"/>
                <w14:textFill>
                  <w14:solidFill>
                    <w14:schemeClr w14:val="tx1"/>
                  </w14:solidFill>
                </w14:textFill>
              </w:rPr>
              <w:t>生态环境局申请区域倍量替代，目前建设单位承诺在项目投产前取得VOCs</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以非甲烷总烃计</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总量的倍量替代，并依法办理排污</w:t>
            </w:r>
            <w:r>
              <w:rPr>
                <w:rFonts w:hint="eastAsia" w:cs="Times New Roman"/>
                <w:color w:val="000000" w:themeColor="text1"/>
                <w:highlight w:val="none"/>
                <w:lang w:eastAsia="zh-CN"/>
                <w14:textFill>
                  <w14:solidFill>
                    <w14:schemeClr w14:val="tx1"/>
                  </w14:solidFill>
                </w14:textFill>
              </w:rPr>
              <w:t>登记</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承诺函详见</w:t>
            </w:r>
            <w:r>
              <w:rPr>
                <w:rFonts w:hint="default" w:ascii="Times New Roman" w:hAnsi="Times New Roman" w:cs="Times New Roman"/>
                <w:color w:val="000000" w:themeColor="text1"/>
                <w:highlight w:val="none"/>
                <w:lang w:eastAsia="zh-CN"/>
                <w14:textFill>
                  <w14:solidFill>
                    <w14:schemeClr w14:val="tx1"/>
                  </w14:solidFill>
                </w14:textFill>
              </w:rPr>
              <w:t>附件</w:t>
            </w:r>
            <w:r>
              <w:rPr>
                <w:rFonts w:hint="default" w:ascii="Times New Roman" w:hAnsi="Times New Roman" w:cs="Times New Roman"/>
                <w:color w:val="000000" w:themeColor="text1"/>
                <w:highlight w:val="none"/>
                <w:lang w:val="en-US" w:eastAsia="zh-CN"/>
                <w14:textFill>
                  <w14:solidFill>
                    <w14:schemeClr w14:val="tx1"/>
                  </w14:solidFill>
                </w14:textFill>
              </w:rPr>
              <w:t>十</w:t>
            </w:r>
            <w:r>
              <w:rPr>
                <w:rFonts w:hint="eastAsia" w:cs="Times New Roman"/>
                <w:color w:val="000000" w:themeColor="text1"/>
                <w:highlight w:val="none"/>
                <w:lang w:val="en-US" w:eastAsia="zh-CN"/>
                <w14:textFill>
                  <w14:solidFill>
                    <w14:schemeClr w14:val="tx1"/>
                  </w14:solidFill>
                </w14:textFill>
              </w:rPr>
              <w:t>二</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p>
          <w:p w14:paraId="21E4FCDD">
            <w:pPr>
              <w:pStyle w:val="40"/>
              <w:bidi w:val="0"/>
              <w:rPr>
                <w:rFonts w:hint="default" w:ascii="Times New Roman" w:hAnsi="Times New Roman" w:cs="Times New Roman"/>
                <w:color w:val="000000" w:themeColor="text1"/>
                <w14:textFill>
                  <w14:solidFill>
                    <w14:schemeClr w14:val="tx1"/>
                  </w14:solidFill>
                </w14:textFill>
              </w:rPr>
            </w:pPr>
          </w:p>
        </w:tc>
      </w:tr>
    </w:tbl>
    <w:p w14:paraId="06CDBF56">
      <w:pPr>
        <w:pStyle w:val="22"/>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color w:val="FF0000"/>
          <w:sz w:val="36"/>
          <w:szCs w:val="36"/>
        </w:rPr>
        <w:br w:type="page"/>
      </w:r>
      <w:bookmarkStart w:id="24" w:name="_Toc15568"/>
      <w:bookmarkStart w:id="25" w:name="_Toc17466"/>
      <w:bookmarkStart w:id="26" w:name="_Toc16171"/>
      <w:bookmarkStart w:id="27" w:name="_Toc27466"/>
      <w:r>
        <w:rPr>
          <w:rFonts w:hint="default" w:ascii="Times New Roman" w:hAnsi="Times New Roman" w:eastAsia="黑体" w:cs="Times New Roman"/>
          <w:snapToGrid w:val="0"/>
          <w:sz w:val="30"/>
          <w:szCs w:val="30"/>
        </w:rPr>
        <w:t>四、主要环境影响和保护措施</w:t>
      </w:r>
      <w:bookmarkEnd w:id="24"/>
      <w:bookmarkEnd w:id="25"/>
      <w:bookmarkEnd w:id="26"/>
      <w:bookmarkEnd w:id="27"/>
    </w:p>
    <w:tbl>
      <w:tblPr>
        <w:tblStyle w:val="2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8453"/>
      </w:tblGrid>
      <w:tr w14:paraId="66F3C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293" w:type="pct"/>
            <w:noWrap w:val="0"/>
            <w:tcMar>
              <w:left w:w="28" w:type="dxa"/>
              <w:right w:w="28" w:type="dxa"/>
            </w:tcMar>
            <w:vAlign w:val="center"/>
          </w:tcPr>
          <w:p w14:paraId="3DAA6634">
            <w:pPr>
              <w:pStyle w:val="22"/>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施工</w:t>
            </w:r>
          </w:p>
          <w:p w14:paraId="6977B1D6">
            <w:pPr>
              <w:pStyle w:val="22"/>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期环</w:t>
            </w:r>
          </w:p>
          <w:p w14:paraId="4F0B9433">
            <w:pPr>
              <w:pStyle w:val="22"/>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境保</w:t>
            </w:r>
          </w:p>
          <w:p w14:paraId="56078FC0">
            <w:pPr>
              <w:pStyle w:val="22"/>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护措</w:t>
            </w:r>
          </w:p>
          <w:p w14:paraId="408E6A81">
            <w:pPr>
              <w:pStyle w:val="22"/>
              <w:adjustRightInd w:val="0"/>
              <w:snapToGrid w:val="0"/>
              <w:spacing w:before="0" w:beforeAutospacing="0" w:after="0" w:afterAutospacing="0"/>
              <w:jc w:val="center"/>
              <w:rPr>
                <w:rFonts w:hint="default" w:ascii="Times New Roman" w:hAnsi="Times New Roman" w:cs="Times New Roman"/>
                <w:bCs/>
                <w:kern w:val="2"/>
                <w:sz w:val="21"/>
                <w:szCs w:val="21"/>
              </w:rPr>
            </w:pPr>
            <w:r>
              <w:rPr>
                <w:rFonts w:hint="default" w:ascii="Times New Roman" w:hAnsi="Times New Roman" w:cs="Times New Roman"/>
                <w:kern w:val="2"/>
                <w:sz w:val="21"/>
                <w:szCs w:val="21"/>
              </w:rPr>
              <w:t>施</w:t>
            </w:r>
          </w:p>
        </w:tc>
        <w:tc>
          <w:tcPr>
            <w:tcW w:w="4706" w:type="pct"/>
            <w:noWrap w:val="0"/>
            <w:vAlign w:val="top"/>
          </w:tcPr>
          <w:p w14:paraId="008DD047">
            <w:pPr>
              <w:pStyle w:val="3"/>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4.1施工期环境保护措施</w:t>
            </w:r>
          </w:p>
          <w:p w14:paraId="138F8457">
            <w:pPr>
              <w:pStyle w:val="43"/>
              <w:bidi w:val="0"/>
              <w:rPr>
                <w:rFonts w:hint="default" w:ascii="Times New Roman" w:hAnsi="Times New Roman" w:cs="Times New Roman"/>
                <w:bCs/>
                <w:spacing w:val="-10"/>
                <w:szCs w:val="21"/>
              </w:rPr>
            </w:pPr>
            <w:r>
              <w:rPr>
                <w:rFonts w:hint="eastAsia"/>
                <w:color w:val="000000" w:themeColor="text1"/>
                <w:sz w:val="24"/>
                <w:lang w:eastAsia="zh-CN"/>
                <w14:textFill>
                  <w14:solidFill>
                    <w14:schemeClr w14:val="tx1"/>
                  </w14:solidFill>
                </w14:textFill>
              </w:rPr>
              <w:t>根据现场踏勘，项目租赁已建</w:t>
            </w:r>
            <w:r>
              <w:rPr>
                <w:color w:val="000000" w:themeColor="text1"/>
                <w:sz w:val="24"/>
                <w14:textFill>
                  <w14:solidFill>
                    <w14:schemeClr w14:val="tx1"/>
                  </w14:solidFill>
                </w14:textFill>
              </w:rPr>
              <w:t>厂房</w:t>
            </w:r>
            <w:r>
              <w:rPr>
                <w:rFonts w:hint="eastAsia"/>
                <w:color w:val="000000" w:themeColor="text1"/>
                <w:sz w:val="24"/>
                <w:lang w:eastAsia="zh-CN"/>
                <w14:textFill>
                  <w14:solidFill>
                    <w14:schemeClr w14:val="tx1"/>
                  </w14:solidFill>
                </w14:textFill>
              </w:rPr>
              <w:t>作为生产车间</w:t>
            </w:r>
            <w:r>
              <w:rPr>
                <w:color w:val="000000" w:themeColor="text1"/>
                <w:sz w:val="24"/>
                <w14:textFill>
                  <w14:solidFill>
                    <w14:schemeClr w14:val="tx1"/>
                  </w14:solidFill>
                </w14:textFill>
              </w:rPr>
              <w:t>。项目施工期主要为设备安装、调试阶段产生的环境问题，本项目设备安装、调试简单</w:t>
            </w:r>
            <w:r>
              <w:rPr>
                <w:rFonts w:hint="eastAsia"/>
                <w:color w:val="000000" w:themeColor="text1"/>
                <w:sz w:val="24"/>
                <w:lang w:eastAsia="zh-CN"/>
                <w14:textFill>
                  <w14:solidFill>
                    <w14:schemeClr w14:val="tx1"/>
                  </w14:solidFill>
                </w14:textFill>
              </w:rPr>
              <w:t>且</w:t>
            </w:r>
            <w:r>
              <w:rPr>
                <w:color w:val="000000" w:themeColor="text1"/>
                <w:sz w:val="24"/>
                <w14:textFill>
                  <w14:solidFill>
                    <w14:schemeClr w14:val="tx1"/>
                  </w14:solidFill>
                </w14:textFill>
              </w:rPr>
              <w:t>时间较短，因此，随着设备安装、调试完毕后，项目施工期也将结束，施工期环境影响也随着消失，不会对周边环境噪声影响。</w:t>
            </w:r>
          </w:p>
        </w:tc>
      </w:tr>
      <w:tr w14:paraId="6627F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293" w:type="pct"/>
            <w:noWrap w:val="0"/>
            <w:tcMar>
              <w:left w:w="28" w:type="dxa"/>
              <w:right w:w="28" w:type="dxa"/>
            </w:tcMar>
            <w:vAlign w:val="center"/>
          </w:tcPr>
          <w:p w14:paraId="141AB3E6">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运营</w:t>
            </w:r>
          </w:p>
          <w:p w14:paraId="3425A900">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期环</w:t>
            </w:r>
          </w:p>
          <w:p w14:paraId="006E7A79">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境影</w:t>
            </w:r>
          </w:p>
          <w:p w14:paraId="10CC2B4D">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响和</w:t>
            </w:r>
          </w:p>
          <w:p w14:paraId="033771AD">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保护</w:t>
            </w:r>
          </w:p>
          <w:p w14:paraId="63ECB782">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措施</w:t>
            </w:r>
          </w:p>
        </w:tc>
        <w:tc>
          <w:tcPr>
            <w:tcW w:w="4706" w:type="pct"/>
            <w:noWrap w:val="0"/>
            <w:vAlign w:val="top"/>
          </w:tcPr>
          <w:p w14:paraId="7CDDD7C7">
            <w:pPr>
              <w:pStyle w:val="3"/>
              <w:bidi w:val="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lang w:val="en-US" w:eastAsia="zh-CN"/>
              </w:rPr>
              <w:t>2</w:t>
            </w:r>
            <w:r>
              <w:rPr>
                <w:rFonts w:hint="default" w:ascii="Times New Roman" w:hAnsi="Times New Roman" w:cs="Times New Roman"/>
              </w:rPr>
              <w:t>运营期大气环境影响分析和污染防治措施</w:t>
            </w:r>
          </w:p>
          <w:p w14:paraId="1DBE3E8F">
            <w:pPr>
              <w:pStyle w:val="4"/>
              <w:bidi w:val="0"/>
              <w:rPr>
                <w:rFonts w:hint="default" w:ascii="Times New Roman" w:hAnsi="Times New Roman" w:cs="Times New Roman"/>
                <w:highlight w:val="none"/>
              </w:rPr>
            </w:pPr>
            <w:r>
              <w:rPr>
                <w:rFonts w:hint="default" w:ascii="Times New Roman" w:hAnsi="Times New Roman" w:cs="Times New Roman"/>
                <w:highlight w:val="none"/>
              </w:rPr>
              <w:t>4.</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.1运营期废气源强核算</w:t>
            </w:r>
          </w:p>
          <w:p w14:paraId="2FACD819">
            <w:pPr>
              <w:pStyle w:val="40"/>
              <w:bidi w:val="0"/>
              <w:rPr>
                <w:rFonts w:hint="default"/>
                <w:lang w:eastAsia="zh-CN"/>
              </w:rPr>
            </w:pPr>
            <w:r>
              <w:rPr>
                <w:rFonts w:hint="default"/>
                <w:lang w:eastAsia="zh-CN"/>
              </w:rPr>
              <w:t>根据生产工艺流程图可知，项目运营期有机废气</w:t>
            </w:r>
            <w:r>
              <w:rPr>
                <w:rFonts w:hint="eastAsia"/>
                <w:lang w:eastAsia="zh-CN"/>
              </w:rPr>
              <w:t>来自调胶、喷胶、辊胶、烘干、热铆焊接</w:t>
            </w:r>
            <w:r>
              <w:rPr>
                <w:rFonts w:hint="default"/>
                <w:lang w:eastAsia="zh-CN"/>
              </w:rPr>
              <w:t>等工序</w:t>
            </w:r>
            <w:r>
              <w:rPr>
                <w:rFonts w:hint="eastAsia"/>
                <w:lang w:eastAsia="zh-CN"/>
              </w:rPr>
              <w:t>，产生的有机废气以非甲烷总烃计，以及喷胶工序产生的胶雾（颗粒物）且项目</w:t>
            </w:r>
            <w:r>
              <w:t>水性胶水非甲烷总烃</w:t>
            </w:r>
            <w:r>
              <w:rPr>
                <w:rFonts w:hint="eastAsia"/>
                <w:lang w:eastAsia="zh-CN"/>
              </w:rPr>
              <w:t>含量极少</w:t>
            </w:r>
            <w:r>
              <w:t>，经过喷胶</w:t>
            </w:r>
            <w:r>
              <w:rPr>
                <w:rFonts w:hint="eastAsia"/>
                <w:lang w:eastAsia="zh-CN"/>
              </w:rPr>
              <w:t>、辊胶、烘干</w:t>
            </w:r>
            <w:r>
              <w:t>工序后大部分挥发，剩余量很小；因此，本项目不再考虑包覆包边挥发的非甲烷总烃</w:t>
            </w:r>
            <w:r>
              <w:rPr>
                <w:rFonts w:hint="default"/>
                <w:lang w:eastAsia="zh-CN"/>
              </w:rPr>
              <w:t>。</w:t>
            </w:r>
          </w:p>
          <w:p w14:paraId="238686C0">
            <w:pPr>
              <w:pStyle w:val="9"/>
              <w:bidi w:val="0"/>
              <w:rPr>
                <w:rFonts w:hint="eastAsia" w:eastAsia="宋体"/>
                <w:lang w:eastAsia="zh-CN"/>
              </w:rPr>
            </w:pPr>
            <w:r>
              <w:rPr>
                <w:rFonts w:hint="eastAsia"/>
                <w:lang w:val="en-US" w:eastAsia="zh-CN"/>
              </w:rPr>
              <w:t>（1）调胶、</w:t>
            </w:r>
            <w:r>
              <w:rPr>
                <w:rFonts w:hint="eastAsia"/>
                <w:lang w:eastAsia="zh-CN"/>
              </w:rPr>
              <w:t>喷胶、辊胶、烘干挥发性有机物（以非甲烷总烃表征）</w:t>
            </w:r>
          </w:p>
          <w:p w14:paraId="14B08E9B">
            <w:pPr>
              <w:pStyle w:val="40"/>
              <w:keepNext/>
              <w:keepLines/>
              <w:pageBreakBefore w:val="0"/>
              <w:widowControl w:val="0"/>
              <w:kinsoku/>
              <w:wordWrap/>
              <w:overflowPunct/>
              <w:topLinePunct w:val="0"/>
              <w:autoSpaceDE/>
              <w:autoSpaceDN/>
              <w:bidi w:val="0"/>
              <w:adjustRightInd/>
              <w:snapToGrid/>
              <w:textAlignment w:val="auto"/>
              <w:rPr>
                <w:rFonts w:hint="default"/>
                <w:lang w:eastAsia="zh-CN"/>
              </w:rPr>
            </w:pPr>
            <w:r>
              <w:rPr>
                <w:rFonts w:hint="default"/>
              </w:rPr>
              <w:t>本项目使用</w:t>
            </w:r>
            <w:r>
              <w:rPr>
                <w:rFonts w:hint="default"/>
                <w:lang w:eastAsia="zh-CN"/>
              </w:rPr>
              <w:t>水性</w:t>
            </w:r>
            <w:r>
              <w:rPr>
                <w:rFonts w:hint="default"/>
              </w:rPr>
              <w:t>聚氨酯</w:t>
            </w:r>
            <w:r>
              <w:rPr>
                <w:rFonts w:hint="default"/>
                <w:lang w:eastAsia="zh-CN"/>
              </w:rPr>
              <w:t>胶和水性固化剂，</w:t>
            </w:r>
            <w:r>
              <w:rPr>
                <w:rFonts w:hint="eastAsia"/>
                <w:lang w:eastAsia="zh-CN"/>
              </w:rPr>
              <w:t>有机废气来源于胶粘剂和固化剂挥发，</w:t>
            </w:r>
            <w:r>
              <w:rPr>
                <w:rFonts w:hint="default"/>
                <w:highlight w:val="none"/>
                <w:lang w:eastAsia="zh-CN"/>
              </w:rPr>
              <w:t>根据附件</w:t>
            </w:r>
            <w:r>
              <w:rPr>
                <w:rFonts w:hint="eastAsia"/>
                <w:highlight w:val="none"/>
                <w:lang w:eastAsia="zh-CN"/>
              </w:rPr>
              <w:t>八</w:t>
            </w:r>
            <w:r>
              <w:rPr>
                <w:rFonts w:hint="default"/>
                <w:highlight w:val="none"/>
                <w:lang w:eastAsia="zh-CN"/>
              </w:rPr>
              <w:t>中</w:t>
            </w:r>
            <w:r>
              <w:rPr>
                <w:rFonts w:hint="default"/>
                <w:lang w:eastAsia="zh-CN"/>
              </w:rPr>
              <w:t>胶粘剂和固化剂的</w:t>
            </w:r>
            <w:r>
              <w:rPr>
                <w:rFonts w:hint="default"/>
                <w:lang w:val="en-US" w:eastAsia="zh-CN"/>
              </w:rPr>
              <w:t>MSDS及VOCs含量检测报告分析，水性聚氨酯胶粘剂（含固化剂）VOCs含量为33g/L</w:t>
            </w:r>
            <w:r>
              <w:rPr>
                <w:rFonts w:hint="default"/>
              </w:rPr>
              <w:t>。本工程胶粘剂使用量</w:t>
            </w:r>
            <w:r>
              <w:rPr>
                <w:rFonts w:hint="eastAsia"/>
                <w:lang w:val="en-US" w:eastAsia="zh-CN"/>
              </w:rPr>
              <w:t>35.6t/a，固化剂使用量1.8t/a，胶粘剂和固化剂混合后密度约1.08g/cm</w:t>
            </w:r>
            <w:r>
              <w:rPr>
                <w:rFonts w:hint="eastAsia"/>
                <w:vertAlign w:val="superscript"/>
                <w:lang w:val="en-US" w:eastAsia="zh-CN"/>
              </w:rPr>
              <w:t>3</w:t>
            </w:r>
            <w:r>
              <w:rPr>
                <w:rFonts w:hint="eastAsia"/>
                <w:lang w:val="en-US" w:eastAsia="zh-CN"/>
              </w:rPr>
              <w:t>，</w:t>
            </w:r>
            <w:r>
              <w:rPr>
                <w:rFonts w:hint="default"/>
              </w:rPr>
              <w:t>则计算出非甲烷总烃表征产生量约为</w:t>
            </w:r>
            <w:r>
              <w:rPr>
                <w:rFonts w:hint="eastAsia"/>
                <w:lang w:val="en-US" w:eastAsia="zh-CN"/>
              </w:rPr>
              <w:t>1.139</w:t>
            </w:r>
            <w:r>
              <w:rPr>
                <w:rFonts w:hint="default"/>
              </w:rPr>
              <w:t>t/a（0.</w:t>
            </w:r>
            <w:r>
              <w:rPr>
                <w:rFonts w:hint="eastAsia"/>
                <w:lang w:val="en-US" w:eastAsia="zh-CN"/>
              </w:rPr>
              <w:t>237</w:t>
            </w:r>
            <w:r>
              <w:rPr>
                <w:rFonts w:hint="default"/>
              </w:rPr>
              <w:t>kg/h）。</w:t>
            </w:r>
          </w:p>
          <w:p w14:paraId="2624441F">
            <w:pPr>
              <w:pStyle w:val="43"/>
              <w:bidi w:val="0"/>
              <w:rPr>
                <w:rFonts w:hint="default" w:ascii="Times New Roman" w:hAnsi="Times New Roman" w:cs="Times New Roman"/>
                <w:color w:val="auto"/>
                <w:lang w:val="en-US" w:eastAsia="zh-CN"/>
              </w:rPr>
            </w:pPr>
            <w:r>
              <w:rPr>
                <w:rFonts w:hint="eastAsia" w:cs="Times New Roman"/>
                <w:color w:val="auto"/>
                <w:lang w:val="en-US" w:eastAsia="zh-CN"/>
              </w:rPr>
              <w:t>（2）喷胶胶雾（颗粒物）</w:t>
            </w:r>
          </w:p>
          <w:p w14:paraId="1F98115C">
            <w:pPr>
              <w:pStyle w:val="4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本项目颗粒物（胶雾）主要来源于</w:t>
            </w:r>
            <w:r>
              <w:rPr>
                <w:rFonts w:hint="eastAsia" w:cs="Times New Roman"/>
                <w:color w:val="auto"/>
                <w:lang w:val="en-US" w:eastAsia="zh-CN"/>
              </w:rPr>
              <w:t>胶粘剂</w:t>
            </w:r>
            <w:r>
              <w:rPr>
                <w:rFonts w:hint="default" w:ascii="Times New Roman" w:hAnsi="Times New Roman" w:cs="Times New Roman"/>
                <w:color w:val="auto"/>
                <w:lang w:val="en-US" w:eastAsia="zh-CN"/>
              </w:rPr>
              <w:t>和固化剂中的固含物（聚氨酯、</w:t>
            </w:r>
            <w:r>
              <w:rPr>
                <w:rFonts w:hint="eastAsia" w:cs="Times New Roman"/>
                <w:color w:val="auto"/>
                <w:lang w:val="en-US" w:eastAsia="zh-CN"/>
              </w:rPr>
              <w:t>清水</w:t>
            </w:r>
            <w:r>
              <w:rPr>
                <w:rFonts w:hint="default" w:ascii="Times New Roman" w:hAnsi="Times New Roman" w:cs="Times New Roman"/>
                <w:color w:val="auto"/>
                <w:lang w:val="en-US" w:eastAsia="zh-CN"/>
              </w:rPr>
              <w:t>异氰酸酯</w:t>
            </w:r>
            <w:r>
              <w:rPr>
                <w:rFonts w:hint="eastAsia" w:cs="Times New Roman"/>
                <w:color w:val="auto"/>
                <w:lang w:val="en-US" w:eastAsia="zh-CN"/>
              </w:rPr>
              <w:t>聚合物、游离二异氰酸酯单体</w:t>
            </w:r>
            <w:r>
              <w:rPr>
                <w:rFonts w:hint="default" w:ascii="Times New Roman" w:hAnsi="Times New Roman" w:cs="Times New Roman"/>
                <w:color w:val="auto"/>
                <w:lang w:val="en-US" w:eastAsia="zh-CN"/>
              </w:rPr>
              <w:t>），项目</w:t>
            </w:r>
            <w:r>
              <w:rPr>
                <w:rFonts w:hint="eastAsia" w:cs="Times New Roman"/>
                <w:color w:val="auto"/>
                <w:lang w:val="en-US" w:eastAsia="zh-CN"/>
              </w:rPr>
              <w:t>手工喷胶</w:t>
            </w:r>
            <w:r>
              <w:rPr>
                <w:rFonts w:hint="default" w:ascii="Times New Roman" w:hAnsi="Times New Roman" w:cs="Times New Roman"/>
                <w:color w:val="auto"/>
                <w:lang w:val="en-US" w:eastAsia="zh-CN"/>
              </w:rPr>
              <w:t>上胶率按</w:t>
            </w:r>
            <w:r>
              <w:rPr>
                <w:rFonts w:hint="eastAsia" w:cs="Times New Roman"/>
                <w:color w:val="auto"/>
                <w:lang w:val="en-US" w:eastAsia="zh-CN"/>
              </w:rPr>
              <w:t>8</w:t>
            </w:r>
            <w:r>
              <w:rPr>
                <w:rFonts w:hint="default" w:ascii="Times New Roman" w:hAnsi="Times New Roman" w:cs="Times New Roman"/>
                <w:color w:val="auto"/>
                <w:lang w:val="en-US" w:eastAsia="zh-CN"/>
              </w:rPr>
              <w:t>0%计算，</w:t>
            </w:r>
            <w:r>
              <w:rPr>
                <w:rFonts w:hint="eastAsia" w:cs="Times New Roman"/>
                <w:color w:val="auto"/>
                <w:lang w:val="en-US" w:eastAsia="zh-CN"/>
              </w:rPr>
              <w:t>2</w:t>
            </w:r>
            <w:r>
              <w:rPr>
                <w:rFonts w:hint="default" w:ascii="Times New Roman" w:hAnsi="Times New Roman" w:cs="Times New Roman"/>
                <w:color w:val="auto"/>
                <w:lang w:val="en-US" w:eastAsia="zh-CN"/>
              </w:rPr>
              <w:t>0%的固份以胶雾</w:t>
            </w:r>
            <w:r>
              <w:rPr>
                <w:rFonts w:hint="eastAsia" w:cs="Times New Roman"/>
                <w:color w:val="auto"/>
                <w:lang w:val="en-US" w:eastAsia="zh-CN"/>
              </w:rPr>
              <w:t>（颗粒物）</w:t>
            </w:r>
            <w:r>
              <w:rPr>
                <w:rFonts w:hint="default" w:ascii="Times New Roman" w:hAnsi="Times New Roman" w:cs="Times New Roman"/>
                <w:color w:val="auto"/>
                <w:lang w:val="en-US" w:eastAsia="zh-CN"/>
              </w:rPr>
              <w:t>形式产生，本项目</w:t>
            </w:r>
            <w:r>
              <w:rPr>
                <w:rFonts w:hint="eastAsia" w:cs="Times New Roman"/>
                <w:color w:val="auto"/>
                <w:lang w:val="en-US" w:eastAsia="zh-CN"/>
              </w:rPr>
              <w:t>胶粘剂</w:t>
            </w:r>
            <w:r>
              <w:rPr>
                <w:rFonts w:hint="default" w:ascii="Times New Roman" w:hAnsi="Times New Roman" w:cs="Times New Roman"/>
                <w:color w:val="auto"/>
                <w:lang w:val="en-US" w:eastAsia="zh-CN"/>
              </w:rPr>
              <w:t>固含量</w:t>
            </w:r>
            <w:r>
              <w:rPr>
                <w:rFonts w:hint="eastAsia" w:cs="Times New Roman"/>
                <w:color w:val="auto"/>
                <w:lang w:val="en-US" w:eastAsia="zh-CN"/>
              </w:rPr>
              <w:t>约46</w:t>
            </w:r>
            <w:r>
              <w:rPr>
                <w:rFonts w:hint="default" w:ascii="Times New Roman" w:hAnsi="Times New Roman" w:cs="Times New Roman"/>
                <w:color w:val="auto"/>
                <w:lang w:val="en-US" w:eastAsia="zh-CN"/>
              </w:rPr>
              <w:t>%，固化剂中固含量约</w:t>
            </w:r>
            <w:r>
              <w:rPr>
                <w:rFonts w:hint="eastAsia" w:cs="Times New Roman"/>
                <w:color w:val="auto"/>
                <w:lang w:val="en-US" w:eastAsia="zh-CN"/>
              </w:rPr>
              <w:t>97</w:t>
            </w:r>
            <w:r>
              <w:rPr>
                <w:rFonts w:hint="default" w:ascii="Times New Roman" w:hAnsi="Times New Roman" w:cs="Times New Roman"/>
                <w:color w:val="auto"/>
                <w:lang w:val="en-US" w:eastAsia="zh-CN"/>
              </w:rPr>
              <w:t>%，</w:t>
            </w:r>
            <w:r>
              <w:rPr>
                <w:rFonts w:hint="default"/>
              </w:rPr>
              <w:t>本工程胶粘剂使用量</w:t>
            </w:r>
            <w:r>
              <w:rPr>
                <w:rFonts w:hint="eastAsia"/>
                <w:lang w:val="en-US" w:eastAsia="zh-CN"/>
              </w:rPr>
              <w:t>35.6t/a，固化剂使用量1.8t/a</w:t>
            </w:r>
            <w:r>
              <w:rPr>
                <w:rFonts w:hint="default" w:ascii="Times New Roman" w:hAnsi="Times New Roman" w:cs="Times New Roman"/>
                <w:color w:val="auto"/>
                <w:lang w:val="en-US" w:eastAsia="zh-CN"/>
              </w:rPr>
              <w:t>，则喷胶过程中产生胶雾（颗粒物）</w:t>
            </w:r>
            <w:r>
              <w:rPr>
                <w:rFonts w:hint="eastAsia" w:cs="Times New Roman"/>
                <w:color w:val="auto"/>
                <w:lang w:val="en-US" w:eastAsia="zh-CN"/>
              </w:rPr>
              <w:t>约为3.6244</w:t>
            </w:r>
            <w:r>
              <w:rPr>
                <w:rFonts w:hint="default" w:ascii="Times New Roman" w:hAnsi="Times New Roman" w:cs="Times New Roman"/>
                <w:color w:val="auto"/>
                <w:lang w:val="en-US" w:eastAsia="zh-CN"/>
              </w:rPr>
              <w:t>t/a。</w:t>
            </w:r>
          </w:p>
          <w:p w14:paraId="749AD838">
            <w:pPr>
              <w:pStyle w:val="43"/>
              <w:bidi w:val="0"/>
              <w:rPr>
                <w:rFonts w:hint="default" w:ascii="Times New Roman" w:hAnsi="Times New Roman" w:cs="Times New Roman"/>
                <w:color w:val="auto"/>
                <w:lang w:val="en-US" w:eastAsia="zh-CN"/>
              </w:rPr>
            </w:pPr>
            <w:r>
              <w:rPr>
                <w:rFonts w:hint="eastAsia" w:cs="Times New Roman"/>
                <w:color w:val="auto"/>
                <w:lang w:val="en-US" w:eastAsia="zh-CN"/>
              </w:rPr>
              <w:t>（3）热铆焊接废气</w:t>
            </w:r>
          </w:p>
          <w:p w14:paraId="4C3F1BD5">
            <w:pPr>
              <w:pStyle w:val="43"/>
              <w:bidi w:val="0"/>
              <w:rPr>
                <w:rFonts w:hint="eastAsia" w:eastAsia="宋体"/>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kern w:val="2"/>
                <w:sz w:val="24"/>
                <w:szCs w:val="24"/>
                <w:lang w:val="en-US" w:eastAsia="zh-CN" w:bidi="ar-SA"/>
              </w:rPr>
              <w:t>项目热铆焊接</w:t>
            </w:r>
            <w:r>
              <w:rPr>
                <w:rFonts w:ascii="宋体" w:hAnsi="宋体" w:eastAsia="宋体" w:cs="宋体"/>
                <w:sz w:val="24"/>
                <w:szCs w:val="24"/>
              </w:rPr>
              <w:t>工序无需使用焊接材料，其焊接原理为通过热将塑料部件熔接在一起，因焊接点位的局部熔化量很小，因此在焊接过程中产生的非甲烷总烃极少。</w:t>
            </w:r>
            <w:r>
              <w:rPr>
                <w:rFonts w:hint="eastAsia" w:ascii="宋体" w:hAnsi="宋体" w:eastAsia="宋体" w:cs="宋体"/>
                <w:sz w:val="24"/>
                <w:szCs w:val="24"/>
                <w:lang w:eastAsia="zh-CN"/>
              </w:rPr>
              <w:t>热铆焊接废气与</w:t>
            </w:r>
            <w:r>
              <w:rPr>
                <w:rFonts w:hint="eastAsia"/>
                <w:lang w:eastAsia="zh-CN"/>
              </w:rPr>
              <w:t>喷胶、烘干废气经集气罩收集后通过一套干式过滤器</w:t>
            </w:r>
            <w:r>
              <w:rPr>
                <w:rFonts w:hint="eastAsia"/>
                <w:lang w:val="en-US" w:eastAsia="zh-CN"/>
              </w:rPr>
              <w:t>+</w:t>
            </w:r>
            <w:r>
              <w:rPr>
                <w:rFonts w:hint="eastAsia"/>
                <w:lang w:eastAsia="zh-CN"/>
              </w:rPr>
              <w:t>二级活性炭吸附装置处理后引至一根</w:t>
            </w:r>
            <w:r>
              <w:rPr>
                <w:rFonts w:hint="eastAsia"/>
                <w:lang w:val="en-US" w:eastAsia="zh-CN"/>
              </w:rPr>
              <w:t>27米高排气筒排放（DA001)，</w:t>
            </w:r>
            <w:r>
              <w:rPr>
                <w:rFonts w:ascii="宋体" w:hAnsi="宋体" w:eastAsia="宋体" w:cs="宋体"/>
                <w:sz w:val="24"/>
                <w:szCs w:val="24"/>
              </w:rPr>
              <w:t>因此本环评不作定量分析</w:t>
            </w:r>
            <w:r>
              <w:rPr>
                <w:rFonts w:hint="eastAsia" w:ascii="宋体" w:hAnsi="宋体" w:eastAsia="宋体" w:cs="宋体"/>
                <w:sz w:val="24"/>
                <w:szCs w:val="24"/>
                <w:lang w:eastAsia="zh-CN"/>
              </w:rPr>
              <w:t>。</w:t>
            </w:r>
          </w:p>
          <w:p w14:paraId="44465769">
            <w:pPr>
              <w:pStyle w:val="43"/>
              <w:numPr>
                <w:ilvl w:val="0"/>
                <w:numId w:val="0"/>
              </w:numPr>
              <w:bidi w:val="0"/>
              <w:ind w:firstLine="480" w:firstLineChars="200"/>
              <w:rPr>
                <w:rFonts w:hint="eastAsia" w:cs="Times New Roman"/>
                <w:color w:val="auto"/>
                <w:lang w:val="en-US" w:eastAsia="zh-CN"/>
              </w:rPr>
            </w:pPr>
            <w:r>
              <w:rPr>
                <w:rFonts w:hint="eastAsia" w:ascii="Times New Roman" w:hAnsi="Times New Roman" w:eastAsia="宋体" w:cs="Times New Roman"/>
                <w:color w:val="auto"/>
                <w:kern w:val="2"/>
                <w:sz w:val="24"/>
                <w:szCs w:val="24"/>
                <w:lang w:val="en-US" w:eastAsia="zh-CN" w:bidi="ar-SA"/>
              </w:rPr>
              <w:t>（4）</w:t>
            </w:r>
            <w:r>
              <w:rPr>
                <w:rFonts w:hint="eastAsia" w:cs="Times New Roman"/>
                <w:color w:val="auto"/>
                <w:lang w:val="en-US" w:eastAsia="zh-CN"/>
              </w:rPr>
              <w:t>废气收集效率、治理效率</w:t>
            </w:r>
          </w:p>
          <w:p w14:paraId="1C2AF114">
            <w:pPr>
              <w:pStyle w:val="43"/>
              <w:numPr>
                <w:ilvl w:val="0"/>
                <w:numId w:val="0"/>
              </w:numPr>
              <w:bidi w:val="0"/>
              <w:ind w:firstLine="480" w:firstLineChars="200"/>
              <w:rPr>
                <w:rFonts w:hint="eastAsia" w:cs="Times New Roman"/>
                <w:color w:val="auto"/>
                <w:lang w:val="en-US" w:eastAsia="zh-CN"/>
              </w:rPr>
            </w:pPr>
            <w:r>
              <w:rPr>
                <w:rFonts w:hint="default" w:cs="Times New Roman"/>
                <w:color w:val="auto"/>
                <w:lang w:val="en-US" w:eastAsia="zh-CN"/>
              </w:rPr>
              <w:t>本项目</w:t>
            </w:r>
            <w:r>
              <w:rPr>
                <w:rFonts w:hint="eastAsia" w:cs="Times New Roman"/>
                <w:color w:val="auto"/>
                <w:lang w:val="en-US" w:eastAsia="zh-CN"/>
              </w:rPr>
              <w:t>拟设置2间调胶房、</w:t>
            </w:r>
            <w:r>
              <w:rPr>
                <w:rFonts w:hint="default" w:cs="Times New Roman"/>
                <w:color w:val="auto"/>
                <w:lang w:val="en-US" w:eastAsia="zh-CN"/>
              </w:rPr>
              <w:t>4 个喷胶</w:t>
            </w:r>
            <w:r>
              <w:rPr>
                <w:rFonts w:hint="eastAsia" w:cs="Times New Roman"/>
                <w:color w:val="auto"/>
                <w:lang w:val="en-US" w:eastAsia="zh-CN"/>
              </w:rPr>
              <w:t>台</w:t>
            </w:r>
            <w:r>
              <w:rPr>
                <w:rFonts w:hint="default" w:cs="Times New Roman"/>
                <w:color w:val="auto"/>
                <w:lang w:val="en-US" w:eastAsia="zh-CN"/>
              </w:rPr>
              <w:t>，</w:t>
            </w:r>
            <w:r>
              <w:rPr>
                <w:rFonts w:hint="eastAsia" w:cs="Times New Roman"/>
                <w:color w:val="auto"/>
                <w:lang w:val="en-US" w:eastAsia="zh-CN"/>
              </w:rPr>
              <w:t>1台辊胶机、3间烘干房，2台热铆设备，调胶在密闭调胶房内进行，废气经密闭收集；</w:t>
            </w:r>
            <w:r>
              <w:rPr>
                <w:rFonts w:hint="default" w:cs="Times New Roman"/>
                <w:color w:val="auto"/>
                <w:lang w:val="en-US" w:eastAsia="zh-CN"/>
              </w:rPr>
              <w:t>喷胶在喷胶</w:t>
            </w:r>
            <w:r>
              <w:rPr>
                <w:rFonts w:hint="eastAsia" w:cs="Times New Roman"/>
                <w:color w:val="auto"/>
                <w:lang w:val="en-US" w:eastAsia="zh-CN"/>
              </w:rPr>
              <w:t>台</w:t>
            </w:r>
            <w:r>
              <w:rPr>
                <w:rFonts w:hint="default" w:cs="Times New Roman"/>
                <w:color w:val="auto"/>
                <w:lang w:val="en-US" w:eastAsia="zh-CN"/>
              </w:rPr>
              <w:t>上完成，采用</w:t>
            </w:r>
            <w:r>
              <w:rPr>
                <w:rFonts w:hint="eastAsia" w:cs="Times New Roman"/>
                <w:color w:val="auto"/>
                <w:lang w:val="en-US" w:eastAsia="zh-CN"/>
              </w:rPr>
              <w:t>集气罩</w:t>
            </w:r>
            <w:r>
              <w:rPr>
                <w:rFonts w:hint="default" w:cs="Times New Roman"/>
                <w:color w:val="auto"/>
                <w:lang w:val="en-US" w:eastAsia="zh-CN"/>
              </w:rPr>
              <w:t>进行废气收集</w:t>
            </w:r>
            <w:r>
              <w:rPr>
                <w:rFonts w:hint="eastAsia" w:cs="Times New Roman"/>
                <w:color w:val="auto"/>
                <w:lang w:val="en-US" w:eastAsia="zh-CN"/>
              </w:rPr>
              <w:t>；辊胶机为隧道式设备，拟在辊胶机进口和出口处安装集气罩收集，烘干</w:t>
            </w:r>
            <w:r>
              <w:rPr>
                <w:rFonts w:hint="default" w:cs="Times New Roman"/>
                <w:color w:val="auto"/>
                <w:lang w:val="en-US" w:eastAsia="zh-CN"/>
              </w:rPr>
              <w:t>工序在密闭的</w:t>
            </w:r>
            <w:r>
              <w:rPr>
                <w:rFonts w:hint="eastAsia" w:cs="Times New Roman"/>
                <w:color w:val="auto"/>
                <w:lang w:val="en-US" w:eastAsia="zh-CN"/>
              </w:rPr>
              <w:t>烘干房</w:t>
            </w:r>
            <w:r>
              <w:rPr>
                <w:rFonts w:hint="default" w:cs="Times New Roman"/>
                <w:color w:val="auto"/>
                <w:lang w:val="en-US" w:eastAsia="zh-CN"/>
              </w:rPr>
              <w:t>内完成，拟在</w:t>
            </w:r>
            <w:r>
              <w:rPr>
                <w:rFonts w:hint="eastAsia" w:cs="Times New Roman"/>
                <w:color w:val="auto"/>
                <w:lang w:val="en-US" w:eastAsia="zh-CN"/>
              </w:rPr>
              <w:t>烘干房出入口处</w:t>
            </w:r>
            <w:r>
              <w:rPr>
                <w:rFonts w:hint="default" w:cs="Times New Roman"/>
                <w:color w:val="auto"/>
                <w:lang w:val="en-US" w:eastAsia="zh-CN"/>
              </w:rPr>
              <w:t>安装</w:t>
            </w:r>
            <w:r>
              <w:rPr>
                <w:rFonts w:hint="eastAsia" w:cs="Times New Roman"/>
                <w:color w:val="auto"/>
                <w:lang w:val="en-US" w:eastAsia="zh-CN"/>
              </w:rPr>
              <w:t>集气罩</w:t>
            </w:r>
            <w:r>
              <w:rPr>
                <w:rFonts w:hint="default" w:cs="Times New Roman"/>
                <w:color w:val="auto"/>
                <w:lang w:val="en-US" w:eastAsia="zh-CN"/>
              </w:rPr>
              <w:t>收集</w:t>
            </w:r>
            <w:r>
              <w:rPr>
                <w:rFonts w:hint="eastAsia" w:cs="Times New Roman"/>
                <w:color w:val="auto"/>
                <w:lang w:val="en-US" w:eastAsia="zh-CN"/>
              </w:rPr>
              <w:t>；在热铆设备上方安装集气罩进行废气收集；项目安装的集气罩</w:t>
            </w:r>
            <w:r>
              <w:rPr>
                <w:rFonts w:hint="default" w:cs="Times New Roman"/>
                <w:color w:val="auto"/>
                <w:lang w:val="en-US" w:eastAsia="zh-CN"/>
              </w:rPr>
              <w:t>开放侧在不影响生产操作情况下可加装软帘，降低废气无组织排放</w:t>
            </w:r>
            <w:r>
              <w:rPr>
                <w:rFonts w:hint="eastAsia" w:cs="Times New Roman"/>
                <w:color w:val="auto"/>
                <w:lang w:val="en-US" w:eastAsia="zh-CN"/>
              </w:rPr>
              <w:t>。</w:t>
            </w:r>
          </w:p>
          <w:p w14:paraId="003A3A28">
            <w:pPr>
              <w:pStyle w:val="43"/>
              <w:numPr>
                <w:ilvl w:val="0"/>
                <w:numId w:val="0"/>
              </w:numPr>
              <w:bidi w:val="0"/>
              <w:ind w:firstLine="480" w:firstLineChars="200"/>
              <w:rPr>
                <w:rFonts w:hint="default" w:cs="Times New Roman"/>
                <w:color w:val="auto"/>
                <w:lang w:val="en-US" w:eastAsia="zh-CN"/>
              </w:rPr>
            </w:pPr>
            <w:r>
              <w:rPr>
                <w:rFonts w:hint="eastAsia"/>
                <w:color w:val="FF0000"/>
                <w:lang w:eastAsia="zh-CN"/>
              </w:rPr>
              <w:t>根据</w:t>
            </w:r>
            <w:r>
              <w:rPr>
                <w:rFonts w:hint="eastAsia"/>
                <w:color w:val="FF0000"/>
              </w:rPr>
              <w:t>生态环境部办公厅发布的“关于印发《主要污染物总量减排核算技术指南(</w:t>
            </w:r>
            <w:r>
              <w:rPr>
                <w:color w:val="FF0000"/>
              </w:rPr>
              <w:t>2022</w:t>
            </w:r>
            <w:r>
              <w:rPr>
                <w:rFonts w:hint="eastAsia"/>
                <w:color w:val="FF0000"/>
              </w:rPr>
              <w:t>年修订)》的通知”</w:t>
            </w:r>
            <w:r>
              <w:rPr>
                <w:color w:val="FF0000"/>
              </w:rPr>
              <w:t>(</w:t>
            </w:r>
            <w:r>
              <w:rPr>
                <w:rFonts w:hint="eastAsia"/>
                <w:color w:val="FF0000"/>
              </w:rPr>
              <w:t>环办综合函〔</w:t>
            </w:r>
            <w:r>
              <w:rPr>
                <w:color w:val="FF0000"/>
              </w:rPr>
              <w:t>2022</w:t>
            </w:r>
            <w:r>
              <w:rPr>
                <w:rFonts w:hint="eastAsia"/>
                <w:color w:val="FF0000"/>
              </w:rPr>
              <w:t>〕</w:t>
            </w:r>
            <w:r>
              <w:rPr>
                <w:color w:val="FF0000"/>
              </w:rPr>
              <w:t>350</w:t>
            </w:r>
            <w:r>
              <w:rPr>
                <w:rFonts w:hint="eastAsia"/>
                <w:color w:val="FF0000"/>
              </w:rPr>
              <w:t>号</w:t>
            </w:r>
            <w:r>
              <w:rPr>
                <w:color w:val="FF0000"/>
              </w:rPr>
              <w:t>)</w:t>
            </w:r>
            <w:r>
              <w:rPr>
                <w:rFonts w:hint="eastAsia"/>
                <w:color w:val="FF0000"/>
              </w:rPr>
              <w:t>中的“表</w:t>
            </w:r>
            <w:r>
              <w:rPr>
                <w:color w:val="FF0000"/>
              </w:rPr>
              <w:t>2-3</w:t>
            </w:r>
            <w:r>
              <w:rPr>
                <w:rFonts w:hint="eastAsia"/>
                <w:color w:val="FF0000"/>
              </w:rPr>
              <w:t xml:space="preserve"> V</w:t>
            </w:r>
            <w:r>
              <w:rPr>
                <w:color w:val="FF0000"/>
              </w:rPr>
              <w:t>OCs</w:t>
            </w:r>
            <w:r>
              <w:rPr>
                <w:rFonts w:hint="eastAsia"/>
                <w:color w:val="FF0000"/>
              </w:rPr>
              <w:t>废气收集率和治理设施去除率通用系数”</w:t>
            </w:r>
            <w:r>
              <w:rPr>
                <w:rFonts w:hint="eastAsia"/>
                <w:color w:val="FF0000"/>
                <w:kern w:val="0"/>
                <w:sz w:val="24"/>
                <w:lang w:bidi="ar"/>
              </w:rPr>
              <w:t>，</w:t>
            </w:r>
            <w:r>
              <w:rPr>
                <w:rFonts w:hint="eastAsia"/>
                <w:color w:val="FF0000"/>
                <w:kern w:val="0"/>
                <w:sz w:val="24"/>
                <w:lang w:eastAsia="zh-CN" w:bidi="ar"/>
              </w:rPr>
              <w:t>正压密闭空间废气收集效率为</w:t>
            </w:r>
            <w:r>
              <w:rPr>
                <w:rFonts w:hint="eastAsia"/>
                <w:color w:val="FF0000"/>
                <w:kern w:val="0"/>
                <w:sz w:val="24"/>
                <w:lang w:val="en-US" w:eastAsia="zh-CN" w:bidi="ar"/>
              </w:rPr>
              <w:t>80%。</w:t>
            </w:r>
            <w:r>
              <w:rPr>
                <w:rFonts w:hint="eastAsia"/>
                <w:color w:val="FF0000"/>
                <w:kern w:val="0"/>
                <w:sz w:val="24"/>
                <w:lang w:bidi="ar"/>
              </w:rPr>
              <w:t>项目</w:t>
            </w:r>
            <w:r>
              <w:rPr>
                <w:rFonts w:hint="eastAsia"/>
                <w:color w:val="FF0000"/>
                <w:kern w:val="0"/>
                <w:sz w:val="24"/>
                <w:lang w:eastAsia="zh-CN" w:bidi="ar"/>
              </w:rPr>
              <w:t>拟将生产车间门窗软密封，车间出入口仅在生产物料进出时短暂开启</w:t>
            </w:r>
            <w:r>
              <w:rPr>
                <w:rFonts w:hint="eastAsia"/>
                <w:color w:val="FF0000"/>
                <w:kern w:val="0"/>
                <w:sz w:val="24"/>
                <w:lang w:bidi="ar"/>
              </w:rPr>
              <w:t>，</w:t>
            </w:r>
            <w:r>
              <w:rPr>
                <w:rFonts w:hint="eastAsia"/>
                <w:color w:val="FF0000"/>
                <w:kern w:val="0"/>
                <w:sz w:val="24"/>
                <w:lang w:eastAsia="zh-CN" w:bidi="ar"/>
              </w:rPr>
              <w:t>使生产车间成为一个相对密闭的空间，</w:t>
            </w:r>
            <w:r>
              <w:rPr>
                <w:rFonts w:hint="eastAsia"/>
                <w:color w:val="FF0000"/>
                <w:kern w:val="0"/>
                <w:sz w:val="24"/>
                <w:lang w:val="en-US" w:eastAsia="zh-CN" w:bidi="ar"/>
              </w:rPr>
              <w:t>废气收集</w:t>
            </w:r>
            <w:r>
              <w:rPr>
                <w:rFonts w:hint="eastAsia"/>
                <w:color w:val="FF0000"/>
                <w:kern w:val="0"/>
                <w:sz w:val="24"/>
                <w:lang w:bidi="ar"/>
              </w:rPr>
              <w:t>效率</w:t>
            </w:r>
            <w:r>
              <w:rPr>
                <w:rFonts w:hint="eastAsia"/>
                <w:color w:val="FF0000"/>
                <w:kern w:val="0"/>
                <w:sz w:val="24"/>
                <w:lang w:eastAsia="zh-CN" w:bidi="ar"/>
              </w:rPr>
              <w:t>取</w:t>
            </w:r>
            <w:r>
              <w:rPr>
                <w:rFonts w:hint="eastAsia"/>
                <w:color w:val="FF0000"/>
                <w:kern w:val="0"/>
                <w:sz w:val="24"/>
                <w:lang w:bidi="ar"/>
              </w:rPr>
              <w:t>80%。</w:t>
            </w:r>
            <w:r>
              <w:rPr>
                <w:rFonts w:hint="default" w:cs="Times New Roman"/>
                <w:color w:val="auto"/>
                <w:lang w:val="en-US" w:eastAsia="zh-CN"/>
              </w:rPr>
              <w:t>废气收集后</w:t>
            </w:r>
            <w:r>
              <w:rPr>
                <w:rFonts w:hint="eastAsia" w:cs="Times New Roman"/>
                <w:color w:val="auto"/>
                <w:lang w:val="en-US" w:eastAsia="zh-CN"/>
              </w:rPr>
              <w:t>汇总</w:t>
            </w:r>
            <w:r>
              <w:rPr>
                <w:rFonts w:hint="default" w:cs="Times New Roman"/>
                <w:color w:val="auto"/>
                <w:lang w:val="en-US" w:eastAsia="zh-CN"/>
              </w:rPr>
              <w:t>经一套“</w:t>
            </w:r>
            <w:r>
              <w:rPr>
                <w:rFonts w:hint="eastAsia" w:cs="Times New Roman"/>
                <w:color w:val="auto"/>
                <w:lang w:val="en-US" w:eastAsia="zh-CN"/>
              </w:rPr>
              <w:t>干式过滤器</w:t>
            </w:r>
            <w:r>
              <w:rPr>
                <w:rFonts w:hint="default" w:cs="Times New Roman"/>
                <w:color w:val="auto"/>
                <w:lang w:val="en-US" w:eastAsia="zh-CN"/>
              </w:rPr>
              <w:t>+</w:t>
            </w:r>
            <w:r>
              <w:rPr>
                <w:rFonts w:hint="eastAsia" w:cs="Times New Roman"/>
                <w:color w:val="auto"/>
                <w:lang w:val="en-US" w:eastAsia="zh-CN"/>
              </w:rPr>
              <w:t>二级</w:t>
            </w:r>
            <w:r>
              <w:rPr>
                <w:rFonts w:hint="default" w:cs="Times New Roman"/>
                <w:color w:val="auto"/>
                <w:lang w:val="en-US" w:eastAsia="zh-CN"/>
              </w:rPr>
              <w:t>活性炭</w:t>
            </w:r>
            <w:r>
              <w:rPr>
                <w:rFonts w:hint="eastAsia" w:cs="Times New Roman"/>
                <w:color w:val="auto"/>
                <w:lang w:val="en-US" w:eastAsia="zh-CN"/>
              </w:rPr>
              <w:t>吸附</w:t>
            </w:r>
            <w:r>
              <w:rPr>
                <w:rFonts w:hint="default" w:cs="Times New Roman"/>
                <w:color w:val="auto"/>
                <w:lang w:val="en-US" w:eastAsia="zh-CN"/>
              </w:rPr>
              <w:t>装置”处理后通过</w:t>
            </w:r>
            <w:r>
              <w:rPr>
                <w:rFonts w:hint="eastAsia" w:cs="Times New Roman"/>
                <w:color w:val="auto"/>
                <w:lang w:val="en-US" w:eastAsia="zh-CN"/>
              </w:rPr>
              <w:t>27</w:t>
            </w:r>
            <w:r>
              <w:rPr>
                <w:rFonts w:hint="default" w:cs="Times New Roman"/>
                <w:color w:val="auto"/>
                <w:lang w:val="en-US" w:eastAsia="zh-CN"/>
              </w:rPr>
              <w:t>m排气筒（DA00</w:t>
            </w:r>
            <w:r>
              <w:rPr>
                <w:rFonts w:hint="eastAsia" w:cs="Times New Roman"/>
                <w:color w:val="auto"/>
                <w:lang w:val="en-US" w:eastAsia="zh-CN"/>
              </w:rPr>
              <w:t>1</w:t>
            </w:r>
            <w:r>
              <w:rPr>
                <w:rFonts w:hint="default" w:cs="Times New Roman"/>
                <w:color w:val="auto"/>
                <w:lang w:val="en-US" w:eastAsia="zh-CN"/>
              </w:rPr>
              <w:t>）排放</w:t>
            </w:r>
            <w:r>
              <w:rPr>
                <w:rFonts w:hint="eastAsia" w:cs="Times New Roman"/>
                <w:color w:val="auto"/>
                <w:lang w:val="en-US" w:eastAsia="zh-CN"/>
              </w:rPr>
              <w:t>，排风机风量为35000m³/h，干式过滤器对</w:t>
            </w:r>
            <w:r>
              <w:rPr>
                <w:rFonts w:hint="default" w:cs="Times New Roman"/>
                <w:color w:val="auto"/>
                <w:lang w:val="en-US" w:eastAsia="zh-CN"/>
              </w:rPr>
              <w:t>胶雾去除效率按9</w:t>
            </w:r>
            <w:r>
              <w:rPr>
                <w:rFonts w:hint="eastAsia" w:cs="Times New Roman"/>
                <w:color w:val="auto"/>
                <w:lang w:val="en-US" w:eastAsia="zh-CN"/>
              </w:rPr>
              <w:t>5</w:t>
            </w:r>
            <w:r>
              <w:rPr>
                <w:rFonts w:hint="default" w:cs="Times New Roman"/>
                <w:color w:val="auto"/>
                <w:lang w:val="en-US" w:eastAsia="zh-CN"/>
              </w:rPr>
              <w:t>%计，</w:t>
            </w:r>
            <w:r>
              <w:rPr>
                <w:rFonts w:hint="eastAsia"/>
                <w:color w:val="000000"/>
                <w:kern w:val="0"/>
                <w:sz w:val="24"/>
                <w:lang w:bidi="ar"/>
              </w:rPr>
              <w:t>参照《广东省制鞋行业挥发性有机废气治理技术指南》表7中“吸附法”对于有机废气的去除效率为50~90%</w:t>
            </w:r>
            <w:r>
              <w:rPr>
                <w:rFonts w:hint="eastAsia"/>
                <w:color w:val="000000"/>
                <w:kern w:val="0"/>
                <w:sz w:val="24"/>
                <w:lang w:eastAsia="zh-CN" w:bidi="ar"/>
              </w:rPr>
              <w:t>，本项目采用二级活性炭吸附装置，则二级活性炭吸附装置对</w:t>
            </w:r>
            <w:r>
              <w:rPr>
                <w:rFonts w:hint="default" w:cs="Times New Roman"/>
                <w:color w:val="auto"/>
                <w:lang w:val="en-US" w:eastAsia="zh-CN"/>
              </w:rPr>
              <w:t>有机废气净化效率按</w:t>
            </w:r>
            <w:r>
              <w:rPr>
                <w:rFonts w:hint="eastAsia" w:cs="Times New Roman"/>
                <w:color w:val="auto"/>
                <w:lang w:val="en-US" w:eastAsia="zh-CN"/>
              </w:rPr>
              <w:t>80</w:t>
            </w:r>
            <w:r>
              <w:rPr>
                <w:rFonts w:hint="default" w:cs="Times New Roman"/>
                <w:color w:val="auto"/>
                <w:lang w:val="en-US" w:eastAsia="zh-CN"/>
              </w:rPr>
              <w:t>%计。</w:t>
            </w:r>
          </w:p>
          <w:p w14:paraId="2D66F2A0">
            <w:pPr>
              <w:pStyle w:val="4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综上，本项目废气产排情况如表4.2-</w:t>
            </w:r>
            <w:r>
              <w:rPr>
                <w:rFonts w:hint="eastAsia" w:cs="Times New Roman"/>
                <w:color w:val="auto"/>
                <w:lang w:val="en-US" w:eastAsia="zh-CN"/>
              </w:rPr>
              <w:t>1</w:t>
            </w:r>
            <w:r>
              <w:rPr>
                <w:rFonts w:hint="default" w:ascii="Times New Roman" w:hAnsi="Times New Roman" w:cs="Times New Roman"/>
                <w:color w:val="auto"/>
                <w:lang w:val="en-US" w:eastAsia="zh-CN"/>
              </w:rPr>
              <w:t>。</w:t>
            </w:r>
          </w:p>
          <w:p w14:paraId="677C8E1F">
            <w:pPr>
              <w:pStyle w:val="40"/>
              <w:bidi w:val="0"/>
              <w:rPr>
                <w:rFonts w:hint="default" w:ascii="Times New Roman" w:hAnsi="Times New Roman" w:cs="Times New Roman"/>
                <w:lang w:val="en-US" w:eastAsia="zh-CN"/>
              </w:rPr>
            </w:pPr>
          </w:p>
        </w:tc>
      </w:tr>
    </w:tbl>
    <w:p w14:paraId="5879EEF5">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497"/>
        <w:gridCol w:w="15116"/>
      </w:tblGrid>
      <w:tr w14:paraId="27F61403">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159" w:type="pct"/>
            <w:tcBorders>
              <w:tl2br w:val="nil"/>
              <w:tr2bl w:val="nil"/>
            </w:tcBorders>
            <w:noWrap w:val="0"/>
            <w:vAlign w:val="center"/>
          </w:tcPr>
          <w:p w14:paraId="1697F984">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运营</w:t>
            </w:r>
          </w:p>
          <w:p w14:paraId="2ACCA80F">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期环</w:t>
            </w:r>
          </w:p>
          <w:p w14:paraId="58ADE587">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境影</w:t>
            </w:r>
          </w:p>
          <w:p w14:paraId="45D848A6">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响和</w:t>
            </w:r>
          </w:p>
          <w:p w14:paraId="2400589D">
            <w:pPr>
              <w:adjustRightInd w:val="0"/>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保护</w:t>
            </w:r>
          </w:p>
          <w:p w14:paraId="614AA418">
            <w:pPr>
              <w:adjustRightInd w:val="0"/>
              <w:snapToGrid w:val="0"/>
              <w:jc w:val="center"/>
              <w:rPr>
                <w:rFonts w:hint="default" w:ascii="Times New Roman" w:hAnsi="Times New Roman" w:cs="Times New Roman"/>
                <w:color w:val="000000"/>
                <w:vertAlign w:val="baseline"/>
              </w:rPr>
            </w:pPr>
            <w:r>
              <w:rPr>
                <w:rFonts w:hint="default" w:ascii="Times New Roman" w:hAnsi="Times New Roman" w:eastAsia="宋体" w:cs="Times New Roman"/>
                <w:bCs/>
                <w:color w:val="000000"/>
                <w:szCs w:val="21"/>
              </w:rPr>
              <w:t>措施</w:t>
            </w:r>
          </w:p>
        </w:tc>
        <w:tc>
          <w:tcPr>
            <w:tcW w:w="4840" w:type="pct"/>
            <w:tcBorders>
              <w:tl2br w:val="nil"/>
              <w:tr2bl w:val="nil"/>
            </w:tcBorders>
            <w:noWrap w:val="0"/>
            <w:vAlign w:val="center"/>
          </w:tcPr>
          <w:p w14:paraId="5BE32FB0">
            <w:pPr>
              <w:pStyle w:val="56"/>
              <w:bidi w:val="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表4.2-</w:t>
            </w:r>
            <w:r>
              <w:rPr>
                <w:rFonts w:hint="eastAsia" w:cs="Times New Roman"/>
                <w:color w:val="000000"/>
                <w:highlight w:val="none"/>
                <w:lang w:val="en-US" w:eastAsia="zh-CN"/>
              </w:rPr>
              <w:t>1</w:t>
            </w:r>
            <w:r>
              <w:rPr>
                <w:rFonts w:hint="default" w:ascii="Times New Roman" w:hAnsi="Times New Roman" w:cs="Times New Roman"/>
                <w:color w:val="000000"/>
                <w:highlight w:val="none"/>
                <w:lang w:val="en-US" w:eastAsia="zh-CN"/>
              </w:rPr>
              <w:t xml:space="preserve"> 项目废气污染源源强核算结果及相关参数一览表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83"/>
              <w:gridCol w:w="687"/>
              <w:gridCol w:w="375"/>
              <w:gridCol w:w="748"/>
              <w:gridCol w:w="749"/>
              <w:gridCol w:w="661"/>
              <w:gridCol w:w="634"/>
              <w:gridCol w:w="338"/>
              <w:gridCol w:w="556"/>
              <w:gridCol w:w="509"/>
              <w:gridCol w:w="540"/>
              <w:gridCol w:w="483"/>
              <w:gridCol w:w="651"/>
              <w:gridCol w:w="609"/>
              <w:gridCol w:w="599"/>
              <w:gridCol w:w="634"/>
              <w:gridCol w:w="1240"/>
              <w:gridCol w:w="850"/>
              <w:gridCol w:w="1376"/>
              <w:gridCol w:w="476"/>
              <w:gridCol w:w="609"/>
              <w:gridCol w:w="593"/>
            </w:tblGrid>
            <w:tr w14:paraId="08A38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Merge w:val="restart"/>
                  <w:noWrap w:val="0"/>
                  <w:vAlign w:val="center"/>
                </w:tcPr>
                <w:p w14:paraId="6312D9F0">
                  <w:pPr>
                    <w:pStyle w:val="47"/>
                    <w:bidi w:val="0"/>
                    <w:rPr>
                      <w:rFonts w:hint="default" w:ascii="Times New Roman" w:hAnsi="Times New Roman" w:cs="Times New Roman"/>
                      <w:color w:val="000000"/>
                    </w:rPr>
                  </w:pPr>
                  <w:r>
                    <w:rPr>
                      <w:rFonts w:hint="default" w:ascii="Times New Roman" w:hAnsi="Times New Roman" w:cs="Times New Roman"/>
                      <w:color w:val="000000"/>
                    </w:rPr>
                    <w:t>污染源</w:t>
                  </w:r>
                </w:p>
              </w:tc>
              <w:tc>
                <w:tcPr>
                  <w:tcW w:w="0" w:type="auto"/>
                  <w:vMerge w:val="restart"/>
                  <w:noWrap w:val="0"/>
                  <w:vAlign w:val="center"/>
                </w:tcPr>
                <w:p w14:paraId="02BF3920">
                  <w:pPr>
                    <w:pStyle w:val="47"/>
                    <w:bidi w:val="0"/>
                    <w:rPr>
                      <w:rFonts w:hint="default" w:ascii="Times New Roman" w:hAnsi="Times New Roman" w:cs="Times New Roman"/>
                      <w:color w:val="000000"/>
                    </w:rPr>
                  </w:pPr>
                  <w:r>
                    <w:rPr>
                      <w:rFonts w:hint="default" w:ascii="Times New Roman" w:hAnsi="Times New Roman" w:cs="Times New Roman"/>
                      <w:color w:val="000000"/>
                    </w:rPr>
                    <w:t>污染物</w:t>
                  </w:r>
                </w:p>
                <w:p w14:paraId="4EE66517">
                  <w:pPr>
                    <w:pStyle w:val="47"/>
                    <w:bidi w:val="0"/>
                    <w:rPr>
                      <w:rFonts w:hint="default" w:ascii="Times New Roman" w:hAnsi="Times New Roman" w:cs="Times New Roman"/>
                      <w:color w:val="000000"/>
                    </w:rPr>
                  </w:pPr>
                  <w:r>
                    <w:rPr>
                      <w:rFonts w:hint="default" w:ascii="Times New Roman" w:hAnsi="Times New Roman" w:cs="Times New Roman"/>
                      <w:color w:val="000000"/>
                    </w:rPr>
                    <w:t>种类</w:t>
                  </w:r>
                </w:p>
              </w:tc>
              <w:tc>
                <w:tcPr>
                  <w:tcW w:w="0" w:type="auto"/>
                  <w:gridSpan w:val="5"/>
                  <w:noWrap w:val="0"/>
                  <w:vAlign w:val="center"/>
                </w:tcPr>
                <w:p w14:paraId="5AA4985A">
                  <w:pPr>
                    <w:pStyle w:val="47"/>
                    <w:bidi w:val="0"/>
                    <w:rPr>
                      <w:rFonts w:hint="default" w:ascii="Times New Roman" w:hAnsi="Times New Roman" w:cs="Times New Roman"/>
                      <w:color w:val="000000"/>
                    </w:rPr>
                  </w:pPr>
                  <w:r>
                    <w:rPr>
                      <w:rFonts w:hint="default" w:ascii="Times New Roman" w:hAnsi="Times New Roman" w:cs="Times New Roman"/>
                      <w:color w:val="000000"/>
                    </w:rPr>
                    <w:t>污染源产生</w:t>
                  </w:r>
                </w:p>
              </w:tc>
              <w:tc>
                <w:tcPr>
                  <w:tcW w:w="0" w:type="auto"/>
                  <w:vMerge w:val="restart"/>
                  <w:noWrap w:val="0"/>
                  <w:vAlign w:val="center"/>
                </w:tcPr>
                <w:p w14:paraId="34BC5E0E">
                  <w:pPr>
                    <w:pStyle w:val="47"/>
                    <w:bidi w:val="0"/>
                    <w:rPr>
                      <w:rFonts w:hint="default" w:ascii="Times New Roman" w:hAnsi="Times New Roman" w:cs="Times New Roman"/>
                      <w:color w:val="000000"/>
                    </w:rPr>
                  </w:pPr>
                  <w:r>
                    <w:rPr>
                      <w:rFonts w:hint="default" w:ascii="Times New Roman" w:hAnsi="Times New Roman" w:cs="Times New Roman"/>
                      <w:color w:val="000000"/>
                    </w:rPr>
                    <w:t>排放</w:t>
                  </w:r>
                </w:p>
                <w:p w14:paraId="341DE42F">
                  <w:pPr>
                    <w:pStyle w:val="47"/>
                    <w:bidi w:val="0"/>
                    <w:rPr>
                      <w:rFonts w:hint="default" w:ascii="Times New Roman" w:hAnsi="Times New Roman" w:cs="Times New Roman"/>
                      <w:color w:val="000000"/>
                    </w:rPr>
                  </w:pPr>
                  <w:r>
                    <w:rPr>
                      <w:rFonts w:hint="default" w:ascii="Times New Roman" w:hAnsi="Times New Roman" w:cs="Times New Roman"/>
                      <w:color w:val="000000"/>
                    </w:rPr>
                    <w:t>方式</w:t>
                  </w:r>
                </w:p>
              </w:tc>
              <w:tc>
                <w:tcPr>
                  <w:tcW w:w="0" w:type="auto"/>
                  <w:gridSpan w:val="4"/>
                  <w:noWrap w:val="0"/>
                  <w:vAlign w:val="center"/>
                </w:tcPr>
                <w:p w14:paraId="50215EEF">
                  <w:pPr>
                    <w:pStyle w:val="47"/>
                    <w:bidi w:val="0"/>
                    <w:rPr>
                      <w:rFonts w:hint="default" w:ascii="Times New Roman" w:hAnsi="Times New Roman" w:cs="Times New Roman"/>
                      <w:color w:val="000000"/>
                    </w:rPr>
                  </w:pPr>
                  <w:r>
                    <w:rPr>
                      <w:rFonts w:hint="default" w:ascii="Times New Roman" w:hAnsi="Times New Roman" w:cs="Times New Roman"/>
                      <w:color w:val="000000"/>
                    </w:rPr>
                    <w:t>治理措施</w:t>
                  </w:r>
                </w:p>
              </w:tc>
              <w:tc>
                <w:tcPr>
                  <w:tcW w:w="0" w:type="auto"/>
                  <w:gridSpan w:val="4"/>
                  <w:noWrap w:val="0"/>
                  <w:vAlign w:val="center"/>
                </w:tcPr>
                <w:p w14:paraId="01004BA9">
                  <w:pPr>
                    <w:pStyle w:val="47"/>
                    <w:bidi w:val="0"/>
                    <w:rPr>
                      <w:rFonts w:hint="default" w:ascii="Times New Roman" w:hAnsi="Times New Roman" w:cs="Times New Roman"/>
                      <w:color w:val="000000"/>
                    </w:rPr>
                  </w:pPr>
                  <w:r>
                    <w:rPr>
                      <w:rFonts w:hint="default" w:ascii="Times New Roman" w:hAnsi="Times New Roman" w:cs="Times New Roman"/>
                      <w:color w:val="000000"/>
                    </w:rPr>
                    <w:t>污染物排放</w:t>
                  </w:r>
                </w:p>
              </w:tc>
              <w:tc>
                <w:tcPr>
                  <w:tcW w:w="0" w:type="auto"/>
                  <w:gridSpan w:val="3"/>
                  <w:noWrap w:val="0"/>
                  <w:vAlign w:val="center"/>
                </w:tcPr>
                <w:p w14:paraId="3EFD42AD">
                  <w:pPr>
                    <w:pStyle w:val="47"/>
                    <w:bidi w:val="0"/>
                    <w:rPr>
                      <w:rFonts w:hint="default" w:ascii="Times New Roman" w:hAnsi="Times New Roman" w:cs="Times New Roman"/>
                      <w:color w:val="000000"/>
                    </w:rPr>
                  </w:pPr>
                  <w:r>
                    <w:rPr>
                      <w:rFonts w:hint="default" w:ascii="Times New Roman" w:hAnsi="Times New Roman" w:cs="Times New Roman"/>
                      <w:color w:val="000000"/>
                    </w:rPr>
                    <w:t>排放口基本信息</w:t>
                  </w:r>
                </w:p>
              </w:tc>
              <w:tc>
                <w:tcPr>
                  <w:tcW w:w="0" w:type="auto"/>
                  <w:vMerge w:val="restart"/>
                  <w:noWrap w:val="0"/>
                  <w:vAlign w:val="center"/>
                </w:tcPr>
                <w:p w14:paraId="32240ACC">
                  <w:pPr>
                    <w:pStyle w:val="47"/>
                    <w:bidi w:val="0"/>
                    <w:rPr>
                      <w:rFonts w:hint="default" w:ascii="Times New Roman" w:hAnsi="Times New Roman" w:cs="Times New Roman"/>
                      <w:color w:val="000000"/>
                    </w:rPr>
                  </w:pPr>
                  <w:r>
                    <w:rPr>
                      <w:rFonts w:hint="default" w:ascii="Times New Roman" w:hAnsi="Times New Roman" w:cs="Times New Roman"/>
                      <w:color w:val="000000"/>
                    </w:rPr>
                    <w:t>排放</w:t>
                  </w:r>
                </w:p>
                <w:p w14:paraId="5B2E62C7">
                  <w:pPr>
                    <w:pStyle w:val="47"/>
                    <w:bidi w:val="0"/>
                    <w:rPr>
                      <w:rFonts w:hint="default" w:ascii="Times New Roman" w:hAnsi="Times New Roman" w:cs="Times New Roman"/>
                      <w:color w:val="000000"/>
                    </w:rPr>
                  </w:pPr>
                  <w:r>
                    <w:rPr>
                      <w:rFonts w:hint="default" w:ascii="Times New Roman" w:hAnsi="Times New Roman" w:cs="Times New Roman"/>
                      <w:color w:val="000000"/>
                    </w:rPr>
                    <w:t>时间</w:t>
                  </w:r>
                </w:p>
                <w:p w14:paraId="1DC8352A">
                  <w:pPr>
                    <w:pStyle w:val="47"/>
                    <w:bidi w:val="0"/>
                    <w:rPr>
                      <w:rFonts w:hint="default" w:ascii="Times New Roman" w:hAnsi="Times New Roman" w:cs="Times New Roman"/>
                      <w:color w:val="000000"/>
                    </w:rPr>
                  </w:pPr>
                  <w:r>
                    <w:rPr>
                      <w:rFonts w:hint="default" w:ascii="Times New Roman" w:hAnsi="Times New Roman" w:cs="Times New Roman"/>
                      <w:color w:val="000000"/>
                    </w:rPr>
                    <w:t>h</w:t>
                  </w:r>
                </w:p>
              </w:tc>
              <w:tc>
                <w:tcPr>
                  <w:tcW w:w="0" w:type="auto"/>
                  <w:gridSpan w:val="2"/>
                  <w:noWrap w:val="0"/>
                  <w:vAlign w:val="center"/>
                </w:tcPr>
                <w:p w14:paraId="34B39EA5">
                  <w:pPr>
                    <w:pStyle w:val="47"/>
                    <w:bidi w:val="0"/>
                    <w:rPr>
                      <w:rFonts w:hint="default" w:ascii="Times New Roman" w:hAnsi="Times New Roman" w:cs="Times New Roman"/>
                      <w:color w:val="000000"/>
                    </w:rPr>
                  </w:pPr>
                  <w:r>
                    <w:rPr>
                      <w:rFonts w:hint="default" w:ascii="Times New Roman" w:hAnsi="Times New Roman" w:cs="Times New Roman"/>
                      <w:color w:val="000000"/>
                    </w:rPr>
                    <w:t>排放标准</w:t>
                  </w:r>
                </w:p>
              </w:tc>
            </w:tr>
            <w:tr w14:paraId="7E8B1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Merge w:val="continue"/>
                  <w:noWrap w:val="0"/>
                  <w:vAlign w:val="center"/>
                </w:tcPr>
                <w:p w14:paraId="041863B7">
                  <w:pPr>
                    <w:pStyle w:val="47"/>
                    <w:bidi w:val="0"/>
                    <w:rPr>
                      <w:rFonts w:hint="default" w:ascii="Times New Roman" w:hAnsi="Times New Roman" w:cs="Times New Roman"/>
                      <w:color w:val="000000"/>
                    </w:rPr>
                  </w:pPr>
                </w:p>
              </w:tc>
              <w:tc>
                <w:tcPr>
                  <w:tcW w:w="0" w:type="auto"/>
                  <w:vMerge w:val="continue"/>
                  <w:noWrap w:val="0"/>
                  <w:vAlign w:val="center"/>
                </w:tcPr>
                <w:p w14:paraId="7DDC0760">
                  <w:pPr>
                    <w:pStyle w:val="47"/>
                    <w:bidi w:val="0"/>
                    <w:rPr>
                      <w:rFonts w:hint="default" w:ascii="Times New Roman" w:hAnsi="Times New Roman" w:cs="Times New Roman"/>
                      <w:color w:val="000000"/>
                    </w:rPr>
                  </w:pPr>
                </w:p>
              </w:tc>
              <w:tc>
                <w:tcPr>
                  <w:tcW w:w="0" w:type="auto"/>
                  <w:noWrap w:val="0"/>
                  <w:vAlign w:val="center"/>
                </w:tcPr>
                <w:p w14:paraId="2D954167">
                  <w:pPr>
                    <w:pStyle w:val="47"/>
                    <w:bidi w:val="0"/>
                    <w:rPr>
                      <w:rFonts w:hint="default" w:ascii="Times New Roman" w:hAnsi="Times New Roman" w:cs="Times New Roman"/>
                      <w:color w:val="000000"/>
                    </w:rPr>
                  </w:pPr>
                  <w:r>
                    <w:rPr>
                      <w:rFonts w:hint="default" w:ascii="Times New Roman" w:hAnsi="Times New Roman" w:cs="Times New Roman"/>
                      <w:color w:val="000000"/>
                    </w:rPr>
                    <w:t>核算</w:t>
                  </w:r>
                </w:p>
                <w:p w14:paraId="6B20AC7F">
                  <w:pPr>
                    <w:pStyle w:val="47"/>
                    <w:bidi w:val="0"/>
                    <w:rPr>
                      <w:rFonts w:hint="default" w:ascii="Times New Roman" w:hAnsi="Times New Roman" w:cs="Times New Roman"/>
                      <w:color w:val="000000"/>
                    </w:rPr>
                  </w:pPr>
                  <w:r>
                    <w:rPr>
                      <w:rFonts w:hint="default" w:ascii="Times New Roman" w:hAnsi="Times New Roman" w:cs="Times New Roman"/>
                      <w:color w:val="000000"/>
                    </w:rPr>
                    <w:t>方法</w:t>
                  </w:r>
                </w:p>
              </w:tc>
              <w:tc>
                <w:tcPr>
                  <w:tcW w:w="748" w:type="dxa"/>
                  <w:noWrap w:val="0"/>
                  <w:vAlign w:val="center"/>
                </w:tcPr>
                <w:p w14:paraId="76A2E0C4">
                  <w:pPr>
                    <w:pStyle w:val="47"/>
                    <w:bidi w:val="0"/>
                    <w:rPr>
                      <w:rFonts w:hint="default" w:ascii="Times New Roman" w:hAnsi="Times New Roman" w:cs="Times New Roman"/>
                      <w:color w:val="000000"/>
                    </w:rPr>
                  </w:pPr>
                  <w:r>
                    <w:rPr>
                      <w:rFonts w:hint="default" w:ascii="Times New Roman" w:hAnsi="Times New Roman" w:cs="Times New Roman"/>
                      <w:color w:val="000000"/>
                    </w:rPr>
                    <w:t>废气量/(</w:t>
                  </w:r>
                  <w:r>
                    <w:rPr>
                      <w:rFonts w:hint="default" w:ascii="Times New Roman" w:hAnsi="Times New Roman" w:cs="Times New Roman"/>
                      <w:color w:val="000000"/>
                      <w:lang w:val="en-US" w:eastAsia="zh-CN"/>
                    </w:rPr>
                    <w:t>m³</w:t>
                  </w:r>
                  <w:r>
                    <w:rPr>
                      <w:rFonts w:hint="default" w:ascii="Times New Roman" w:hAnsi="Times New Roman" w:cs="Times New Roman"/>
                      <w:color w:val="000000"/>
                    </w:rPr>
                    <w:t>/h)</w:t>
                  </w:r>
                </w:p>
              </w:tc>
              <w:tc>
                <w:tcPr>
                  <w:tcW w:w="749" w:type="dxa"/>
                  <w:noWrap w:val="0"/>
                  <w:vAlign w:val="center"/>
                </w:tcPr>
                <w:p w14:paraId="294A262A">
                  <w:pPr>
                    <w:pStyle w:val="47"/>
                    <w:bidi w:val="0"/>
                    <w:rPr>
                      <w:rFonts w:hint="default" w:ascii="Times New Roman" w:hAnsi="Times New Roman" w:cs="Times New Roman"/>
                      <w:color w:val="000000"/>
                    </w:rPr>
                  </w:pPr>
                  <w:r>
                    <w:rPr>
                      <w:rFonts w:hint="default" w:ascii="Times New Roman" w:hAnsi="Times New Roman" w:cs="Times New Roman"/>
                      <w:color w:val="000000"/>
                    </w:rPr>
                    <w:t>产生</w:t>
                  </w:r>
                </w:p>
                <w:p w14:paraId="411C2D31">
                  <w:pPr>
                    <w:pStyle w:val="47"/>
                    <w:bidi w:val="0"/>
                    <w:rPr>
                      <w:rFonts w:hint="default" w:ascii="Times New Roman" w:hAnsi="Times New Roman" w:cs="Times New Roman"/>
                      <w:color w:val="000000"/>
                    </w:rPr>
                  </w:pPr>
                  <w:r>
                    <w:rPr>
                      <w:rFonts w:hint="default" w:ascii="Times New Roman" w:hAnsi="Times New Roman" w:cs="Times New Roman"/>
                      <w:color w:val="000000"/>
                    </w:rPr>
                    <w:t>浓度/</w:t>
                  </w:r>
                </w:p>
                <w:p w14:paraId="407B8A8A">
                  <w:pPr>
                    <w:pStyle w:val="47"/>
                    <w:bidi w:val="0"/>
                    <w:rPr>
                      <w:rFonts w:hint="default" w:ascii="Times New Roman" w:hAnsi="Times New Roman" w:cs="Times New Roman"/>
                      <w:color w:val="000000"/>
                    </w:rPr>
                  </w:pPr>
                  <w:r>
                    <w:rPr>
                      <w:rFonts w:hint="default" w:ascii="Times New Roman" w:hAnsi="Times New Roman" w:cs="Times New Roman"/>
                      <w:color w:val="000000"/>
                    </w:rPr>
                    <w:t>(mg/</w:t>
                  </w:r>
                  <w:r>
                    <w:rPr>
                      <w:rFonts w:hint="default" w:ascii="Times New Roman" w:hAnsi="Times New Roman" w:cs="Times New Roman"/>
                      <w:color w:val="000000"/>
                      <w:lang w:val="en-US" w:eastAsia="zh-CN"/>
                    </w:rPr>
                    <w:t>m³</w:t>
                  </w:r>
                  <w:r>
                    <w:rPr>
                      <w:rFonts w:hint="default" w:ascii="Times New Roman" w:hAnsi="Times New Roman" w:cs="Times New Roman"/>
                      <w:color w:val="000000"/>
                    </w:rPr>
                    <w:t>)</w:t>
                  </w:r>
                </w:p>
              </w:tc>
              <w:tc>
                <w:tcPr>
                  <w:tcW w:w="0" w:type="auto"/>
                  <w:noWrap w:val="0"/>
                  <w:vAlign w:val="center"/>
                </w:tcPr>
                <w:p w14:paraId="69FDC542">
                  <w:pPr>
                    <w:pStyle w:val="47"/>
                    <w:bidi w:val="0"/>
                    <w:rPr>
                      <w:rFonts w:hint="default" w:ascii="Times New Roman" w:hAnsi="Times New Roman" w:cs="Times New Roman"/>
                      <w:color w:val="000000"/>
                    </w:rPr>
                  </w:pPr>
                  <w:r>
                    <w:rPr>
                      <w:rFonts w:hint="default" w:ascii="Times New Roman" w:hAnsi="Times New Roman" w:cs="Times New Roman"/>
                      <w:color w:val="000000"/>
                    </w:rPr>
                    <w:t>产生速率/kg/h</w:t>
                  </w:r>
                </w:p>
              </w:tc>
              <w:tc>
                <w:tcPr>
                  <w:tcW w:w="0" w:type="auto"/>
                  <w:noWrap w:val="0"/>
                  <w:vAlign w:val="center"/>
                </w:tcPr>
                <w:p w14:paraId="0EA682C9">
                  <w:pPr>
                    <w:pStyle w:val="47"/>
                    <w:bidi w:val="0"/>
                    <w:rPr>
                      <w:rFonts w:hint="default" w:ascii="Times New Roman" w:hAnsi="Times New Roman" w:cs="Times New Roman"/>
                      <w:color w:val="000000"/>
                    </w:rPr>
                  </w:pPr>
                  <w:r>
                    <w:rPr>
                      <w:rFonts w:hint="default" w:ascii="Times New Roman" w:hAnsi="Times New Roman" w:cs="Times New Roman"/>
                      <w:color w:val="000000"/>
                    </w:rPr>
                    <w:t>产生量/t/a</w:t>
                  </w:r>
                </w:p>
              </w:tc>
              <w:tc>
                <w:tcPr>
                  <w:tcW w:w="0" w:type="auto"/>
                  <w:vMerge w:val="continue"/>
                  <w:noWrap w:val="0"/>
                  <w:vAlign w:val="center"/>
                </w:tcPr>
                <w:p w14:paraId="20B2C57A">
                  <w:pPr>
                    <w:pStyle w:val="47"/>
                    <w:bidi w:val="0"/>
                    <w:rPr>
                      <w:rFonts w:hint="default" w:ascii="Times New Roman" w:hAnsi="Times New Roman" w:cs="Times New Roman"/>
                      <w:color w:val="000000"/>
                    </w:rPr>
                  </w:pPr>
                </w:p>
              </w:tc>
              <w:tc>
                <w:tcPr>
                  <w:tcW w:w="0" w:type="auto"/>
                  <w:noWrap w:val="0"/>
                  <w:vAlign w:val="center"/>
                </w:tcPr>
                <w:p w14:paraId="3AD7B625">
                  <w:pPr>
                    <w:pStyle w:val="47"/>
                    <w:bidi w:val="0"/>
                    <w:rPr>
                      <w:rFonts w:hint="default" w:ascii="Times New Roman" w:hAnsi="Times New Roman" w:cs="Times New Roman"/>
                      <w:color w:val="000000"/>
                    </w:rPr>
                  </w:pPr>
                  <w:r>
                    <w:rPr>
                      <w:rFonts w:hint="default" w:ascii="Times New Roman" w:hAnsi="Times New Roman" w:cs="Times New Roman"/>
                      <w:color w:val="000000"/>
                    </w:rPr>
                    <w:t>处理能力及工艺</w:t>
                  </w:r>
                </w:p>
              </w:tc>
              <w:tc>
                <w:tcPr>
                  <w:tcW w:w="509" w:type="dxa"/>
                  <w:noWrap w:val="0"/>
                  <w:vAlign w:val="center"/>
                </w:tcPr>
                <w:p w14:paraId="0165BCF7">
                  <w:pPr>
                    <w:pStyle w:val="47"/>
                    <w:bidi w:val="0"/>
                    <w:rPr>
                      <w:rFonts w:hint="default" w:ascii="Times New Roman" w:hAnsi="Times New Roman" w:cs="Times New Roman"/>
                      <w:color w:val="000000"/>
                    </w:rPr>
                  </w:pPr>
                  <w:r>
                    <w:rPr>
                      <w:rFonts w:hint="default" w:ascii="Times New Roman" w:hAnsi="Times New Roman" w:cs="Times New Roman"/>
                      <w:color w:val="000000"/>
                    </w:rPr>
                    <w:t>收集效率</w:t>
                  </w:r>
                </w:p>
              </w:tc>
              <w:tc>
                <w:tcPr>
                  <w:tcW w:w="540" w:type="dxa"/>
                  <w:noWrap w:val="0"/>
                  <w:vAlign w:val="center"/>
                </w:tcPr>
                <w:p w14:paraId="793E0020">
                  <w:pPr>
                    <w:pStyle w:val="47"/>
                    <w:bidi w:val="0"/>
                    <w:rPr>
                      <w:rFonts w:hint="default" w:ascii="Times New Roman" w:hAnsi="Times New Roman" w:cs="Times New Roman"/>
                      <w:color w:val="000000"/>
                    </w:rPr>
                  </w:pPr>
                  <w:r>
                    <w:rPr>
                      <w:rFonts w:hint="default" w:ascii="Times New Roman" w:hAnsi="Times New Roman" w:cs="Times New Roman"/>
                      <w:color w:val="000000"/>
                    </w:rPr>
                    <w:t>工艺去除率</w:t>
                  </w:r>
                </w:p>
              </w:tc>
              <w:tc>
                <w:tcPr>
                  <w:tcW w:w="0" w:type="auto"/>
                  <w:noWrap w:val="0"/>
                  <w:vAlign w:val="center"/>
                </w:tcPr>
                <w:p w14:paraId="6B9F918E">
                  <w:pPr>
                    <w:pStyle w:val="47"/>
                    <w:bidi w:val="0"/>
                    <w:rPr>
                      <w:rFonts w:hint="default" w:ascii="Times New Roman" w:hAnsi="Times New Roman" w:cs="Times New Roman"/>
                      <w:color w:val="000000"/>
                    </w:rPr>
                  </w:pPr>
                  <w:r>
                    <w:rPr>
                      <w:rFonts w:hint="default" w:ascii="Times New Roman" w:hAnsi="Times New Roman" w:cs="Times New Roman"/>
                      <w:color w:val="000000"/>
                    </w:rPr>
                    <w:t>是否为可行技术</w:t>
                  </w:r>
                </w:p>
              </w:tc>
              <w:tc>
                <w:tcPr>
                  <w:tcW w:w="0" w:type="auto"/>
                  <w:noWrap w:val="0"/>
                  <w:vAlign w:val="center"/>
                </w:tcPr>
                <w:p w14:paraId="5F7E572E">
                  <w:pPr>
                    <w:pStyle w:val="47"/>
                    <w:bidi w:val="0"/>
                    <w:rPr>
                      <w:rFonts w:hint="default" w:ascii="Times New Roman" w:hAnsi="Times New Roman" w:cs="Times New Roman"/>
                      <w:color w:val="000000"/>
                    </w:rPr>
                  </w:pPr>
                  <w:r>
                    <w:rPr>
                      <w:rFonts w:hint="default" w:ascii="Times New Roman" w:hAnsi="Times New Roman" w:cs="Times New Roman"/>
                      <w:color w:val="000000"/>
                    </w:rPr>
                    <w:t>废气量</w:t>
                  </w:r>
                </w:p>
                <w:p w14:paraId="5B435683">
                  <w:pPr>
                    <w:pStyle w:val="47"/>
                    <w:bidi w:val="0"/>
                    <w:rPr>
                      <w:rFonts w:hint="default" w:ascii="Times New Roman" w:hAnsi="Times New Roman" w:cs="Times New Roman"/>
                      <w:color w:val="000000"/>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m³</w:t>
                  </w:r>
                  <w:r>
                    <w:rPr>
                      <w:rFonts w:hint="default" w:ascii="Times New Roman" w:hAnsi="Times New Roman" w:cs="Times New Roman"/>
                      <w:color w:val="000000"/>
                    </w:rPr>
                    <w:t>/h)</w:t>
                  </w:r>
                </w:p>
              </w:tc>
              <w:tc>
                <w:tcPr>
                  <w:tcW w:w="609" w:type="dxa"/>
                  <w:noWrap w:val="0"/>
                  <w:vAlign w:val="center"/>
                </w:tcPr>
                <w:p w14:paraId="2C279E3B">
                  <w:pPr>
                    <w:pStyle w:val="47"/>
                    <w:bidi w:val="0"/>
                    <w:rPr>
                      <w:rFonts w:hint="default" w:ascii="Times New Roman" w:hAnsi="Times New Roman" w:cs="Times New Roman"/>
                      <w:color w:val="000000"/>
                    </w:rPr>
                  </w:pPr>
                  <w:r>
                    <w:rPr>
                      <w:rFonts w:hint="default" w:ascii="Times New Roman" w:hAnsi="Times New Roman" w:cs="Times New Roman"/>
                      <w:color w:val="000000"/>
                    </w:rPr>
                    <w:t>排放</w:t>
                  </w:r>
                </w:p>
                <w:p w14:paraId="669047F7">
                  <w:pPr>
                    <w:pStyle w:val="47"/>
                    <w:bidi w:val="0"/>
                    <w:rPr>
                      <w:rFonts w:hint="default" w:ascii="Times New Roman" w:hAnsi="Times New Roman" w:cs="Times New Roman"/>
                      <w:color w:val="000000"/>
                    </w:rPr>
                  </w:pPr>
                  <w:r>
                    <w:rPr>
                      <w:rFonts w:hint="default" w:ascii="Times New Roman" w:hAnsi="Times New Roman" w:cs="Times New Roman"/>
                      <w:color w:val="000000"/>
                    </w:rPr>
                    <w:t>浓度/</w:t>
                  </w:r>
                </w:p>
                <w:p w14:paraId="7880D50D">
                  <w:pPr>
                    <w:pStyle w:val="47"/>
                    <w:bidi w:val="0"/>
                    <w:rPr>
                      <w:rFonts w:hint="default" w:ascii="Times New Roman" w:hAnsi="Times New Roman" w:cs="Times New Roman"/>
                      <w:color w:val="000000"/>
                    </w:rPr>
                  </w:pPr>
                  <w:r>
                    <w:rPr>
                      <w:rFonts w:hint="default" w:ascii="Times New Roman" w:hAnsi="Times New Roman" w:cs="Times New Roman"/>
                      <w:color w:val="000000"/>
                    </w:rPr>
                    <w:t>mg/</w:t>
                  </w:r>
                  <w:r>
                    <w:rPr>
                      <w:rFonts w:hint="default" w:ascii="Times New Roman" w:hAnsi="Times New Roman" w:cs="Times New Roman"/>
                      <w:color w:val="000000"/>
                      <w:lang w:val="en-US" w:eastAsia="zh-CN"/>
                    </w:rPr>
                    <w:t>m³</w:t>
                  </w:r>
                </w:p>
              </w:tc>
              <w:tc>
                <w:tcPr>
                  <w:tcW w:w="599" w:type="dxa"/>
                  <w:noWrap w:val="0"/>
                  <w:vAlign w:val="center"/>
                </w:tcPr>
                <w:p w14:paraId="0E198167">
                  <w:pPr>
                    <w:pStyle w:val="47"/>
                    <w:bidi w:val="0"/>
                    <w:rPr>
                      <w:rFonts w:hint="default" w:ascii="Times New Roman" w:hAnsi="Times New Roman" w:cs="Times New Roman"/>
                      <w:color w:val="000000"/>
                    </w:rPr>
                  </w:pPr>
                  <w:r>
                    <w:rPr>
                      <w:rFonts w:hint="default" w:ascii="Times New Roman" w:hAnsi="Times New Roman" w:cs="Times New Roman"/>
                      <w:color w:val="000000"/>
                    </w:rPr>
                    <w:t>排放速率/</w:t>
                  </w:r>
                </w:p>
                <w:p w14:paraId="4E31DF8A">
                  <w:pPr>
                    <w:pStyle w:val="47"/>
                    <w:bidi w:val="0"/>
                    <w:rPr>
                      <w:rFonts w:hint="default" w:ascii="Times New Roman" w:hAnsi="Times New Roman" w:cs="Times New Roman"/>
                      <w:color w:val="000000"/>
                    </w:rPr>
                  </w:pPr>
                  <w:r>
                    <w:rPr>
                      <w:rFonts w:hint="default" w:ascii="Times New Roman" w:hAnsi="Times New Roman" w:cs="Times New Roman"/>
                      <w:color w:val="000000"/>
                    </w:rPr>
                    <w:t>kg/h</w:t>
                  </w:r>
                </w:p>
              </w:tc>
              <w:tc>
                <w:tcPr>
                  <w:tcW w:w="0" w:type="auto"/>
                  <w:noWrap w:val="0"/>
                  <w:vAlign w:val="center"/>
                </w:tcPr>
                <w:p w14:paraId="75DC7F7D">
                  <w:pPr>
                    <w:pStyle w:val="47"/>
                    <w:bidi w:val="0"/>
                    <w:rPr>
                      <w:rFonts w:hint="default" w:ascii="Times New Roman" w:hAnsi="Times New Roman" w:cs="Times New Roman"/>
                      <w:color w:val="000000"/>
                    </w:rPr>
                  </w:pPr>
                  <w:r>
                    <w:rPr>
                      <w:rFonts w:hint="default" w:ascii="Times New Roman" w:hAnsi="Times New Roman" w:cs="Times New Roman"/>
                      <w:color w:val="000000"/>
                    </w:rPr>
                    <w:t>排放量/t/a</w:t>
                  </w:r>
                </w:p>
              </w:tc>
              <w:tc>
                <w:tcPr>
                  <w:tcW w:w="0" w:type="auto"/>
                  <w:noWrap w:val="0"/>
                  <w:vAlign w:val="center"/>
                </w:tcPr>
                <w:p w14:paraId="0F0E903A">
                  <w:pPr>
                    <w:pStyle w:val="47"/>
                    <w:bidi w:val="0"/>
                    <w:rPr>
                      <w:rFonts w:hint="default" w:ascii="Times New Roman" w:hAnsi="Times New Roman" w:cs="Times New Roman"/>
                      <w:color w:val="000000"/>
                    </w:rPr>
                  </w:pPr>
                  <w:r>
                    <w:rPr>
                      <w:rFonts w:hint="default" w:ascii="Times New Roman" w:hAnsi="Times New Roman" w:cs="Times New Roman"/>
                      <w:color w:val="000000"/>
                    </w:rPr>
                    <w:t>排气筒内径、高度、温度</w:t>
                  </w:r>
                </w:p>
              </w:tc>
              <w:tc>
                <w:tcPr>
                  <w:tcW w:w="0" w:type="auto"/>
                  <w:noWrap w:val="0"/>
                  <w:vAlign w:val="center"/>
                </w:tcPr>
                <w:p w14:paraId="6D400DD0">
                  <w:pPr>
                    <w:pStyle w:val="47"/>
                    <w:bidi w:val="0"/>
                    <w:rPr>
                      <w:rFonts w:hint="default" w:ascii="Times New Roman" w:hAnsi="Times New Roman" w:cs="Times New Roman"/>
                      <w:color w:val="000000"/>
                    </w:rPr>
                  </w:pPr>
                  <w:r>
                    <w:rPr>
                      <w:rFonts w:hint="default" w:ascii="Times New Roman" w:hAnsi="Times New Roman" w:cs="Times New Roman"/>
                      <w:color w:val="000000"/>
                    </w:rPr>
                    <w:t>编号及名称、类型</w:t>
                  </w:r>
                </w:p>
              </w:tc>
              <w:tc>
                <w:tcPr>
                  <w:tcW w:w="0" w:type="auto"/>
                  <w:noWrap w:val="0"/>
                  <w:vAlign w:val="center"/>
                </w:tcPr>
                <w:p w14:paraId="3D128381">
                  <w:pPr>
                    <w:pStyle w:val="47"/>
                    <w:bidi w:val="0"/>
                    <w:rPr>
                      <w:rFonts w:hint="default" w:ascii="Times New Roman" w:hAnsi="Times New Roman" w:cs="Times New Roman"/>
                      <w:color w:val="000000"/>
                    </w:rPr>
                  </w:pPr>
                  <w:r>
                    <w:rPr>
                      <w:rFonts w:hint="default" w:ascii="Times New Roman" w:hAnsi="Times New Roman" w:cs="Times New Roman"/>
                      <w:color w:val="000000"/>
                    </w:rPr>
                    <w:t>地理</w:t>
                  </w:r>
                </w:p>
                <w:p w14:paraId="7A8AB122">
                  <w:pPr>
                    <w:pStyle w:val="47"/>
                    <w:bidi w:val="0"/>
                    <w:rPr>
                      <w:rFonts w:hint="default" w:ascii="Times New Roman" w:hAnsi="Times New Roman" w:cs="Times New Roman"/>
                      <w:color w:val="000000"/>
                    </w:rPr>
                  </w:pPr>
                  <w:r>
                    <w:rPr>
                      <w:rFonts w:hint="default" w:ascii="Times New Roman" w:hAnsi="Times New Roman" w:cs="Times New Roman"/>
                      <w:color w:val="000000"/>
                    </w:rPr>
                    <w:t>坐标</w:t>
                  </w:r>
                </w:p>
              </w:tc>
              <w:tc>
                <w:tcPr>
                  <w:tcW w:w="0" w:type="auto"/>
                  <w:vMerge w:val="continue"/>
                  <w:noWrap w:val="0"/>
                  <w:vAlign w:val="center"/>
                </w:tcPr>
                <w:p w14:paraId="71E3CE27">
                  <w:pPr>
                    <w:pStyle w:val="47"/>
                    <w:bidi w:val="0"/>
                    <w:rPr>
                      <w:rFonts w:hint="default" w:ascii="Times New Roman" w:hAnsi="Times New Roman" w:cs="Times New Roman"/>
                      <w:color w:val="000000"/>
                    </w:rPr>
                  </w:pPr>
                </w:p>
              </w:tc>
              <w:tc>
                <w:tcPr>
                  <w:tcW w:w="0" w:type="auto"/>
                  <w:noWrap w:val="0"/>
                  <w:vAlign w:val="center"/>
                </w:tcPr>
                <w:p w14:paraId="131A4040">
                  <w:pPr>
                    <w:pStyle w:val="47"/>
                    <w:bidi w:val="0"/>
                    <w:rPr>
                      <w:rFonts w:hint="default" w:ascii="Times New Roman" w:hAnsi="Times New Roman" w:cs="Times New Roman"/>
                      <w:color w:val="000000"/>
                    </w:rPr>
                  </w:pPr>
                  <w:r>
                    <w:rPr>
                      <w:rFonts w:hint="default" w:ascii="Times New Roman" w:hAnsi="Times New Roman" w:cs="Times New Roman"/>
                      <w:color w:val="000000"/>
                    </w:rPr>
                    <w:t>浓度/</w:t>
                  </w:r>
                </w:p>
                <w:p w14:paraId="3C66AA2F">
                  <w:pPr>
                    <w:pStyle w:val="47"/>
                    <w:bidi w:val="0"/>
                    <w:rPr>
                      <w:rFonts w:hint="default" w:ascii="Times New Roman" w:hAnsi="Times New Roman" w:cs="Times New Roman"/>
                      <w:color w:val="000000"/>
                    </w:rPr>
                  </w:pPr>
                  <w:r>
                    <w:rPr>
                      <w:rFonts w:hint="default" w:ascii="Times New Roman" w:hAnsi="Times New Roman" w:cs="Times New Roman"/>
                      <w:color w:val="000000"/>
                    </w:rPr>
                    <w:t>mg/</w:t>
                  </w:r>
                  <w:r>
                    <w:rPr>
                      <w:rFonts w:hint="default" w:ascii="Times New Roman" w:hAnsi="Times New Roman" w:cs="Times New Roman"/>
                      <w:color w:val="000000"/>
                      <w:lang w:val="en-US" w:eastAsia="zh-CN"/>
                    </w:rPr>
                    <w:t>m³</w:t>
                  </w:r>
                </w:p>
              </w:tc>
              <w:tc>
                <w:tcPr>
                  <w:tcW w:w="0" w:type="auto"/>
                  <w:noWrap w:val="0"/>
                  <w:vAlign w:val="center"/>
                </w:tcPr>
                <w:p w14:paraId="48948F30">
                  <w:pPr>
                    <w:pStyle w:val="47"/>
                    <w:bidi w:val="0"/>
                    <w:rPr>
                      <w:rFonts w:hint="default" w:ascii="Times New Roman" w:hAnsi="Times New Roman" w:cs="Times New Roman"/>
                      <w:color w:val="000000"/>
                    </w:rPr>
                  </w:pPr>
                  <w:r>
                    <w:rPr>
                      <w:rFonts w:hint="default" w:ascii="Times New Roman" w:hAnsi="Times New Roman" w:cs="Times New Roman"/>
                      <w:color w:val="000000"/>
                    </w:rPr>
                    <w:t>速率kg/h</w:t>
                  </w:r>
                </w:p>
              </w:tc>
            </w:tr>
            <w:tr w14:paraId="6726B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0" w:type="auto"/>
                  <w:noWrap w:val="0"/>
                  <w:vAlign w:val="center"/>
                </w:tcPr>
                <w:p w14:paraId="313AD897">
                  <w:pPr>
                    <w:pStyle w:val="47"/>
                    <w:bidi w:val="0"/>
                    <w:rPr>
                      <w:rFonts w:hint="eastAsia" w:cs="Times New Roman"/>
                      <w:color w:val="000000"/>
                      <w:sz w:val="21"/>
                      <w:szCs w:val="21"/>
                      <w:lang w:val="en-US" w:eastAsia="zh-CN"/>
                    </w:rPr>
                  </w:pPr>
                  <w:r>
                    <w:rPr>
                      <w:rFonts w:hint="eastAsia" w:cs="Times New Roman"/>
                      <w:color w:val="000000"/>
                      <w:sz w:val="21"/>
                      <w:szCs w:val="21"/>
                      <w:lang w:val="en-US" w:eastAsia="zh-CN"/>
                    </w:rPr>
                    <w:t>喷胶</w:t>
                  </w:r>
                </w:p>
              </w:tc>
              <w:tc>
                <w:tcPr>
                  <w:tcW w:w="0" w:type="auto"/>
                  <w:noWrap w:val="0"/>
                  <w:vAlign w:val="center"/>
                </w:tcPr>
                <w:p w14:paraId="0D4FF5FD">
                  <w:pPr>
                    <w:pStyle w:val="47"/>
                    <w:bidi w:val="0"/>
                    <w:rPr>
                      <w:rFonts w:hint="eastAsia" w:ascii="Times New Roman" w:hAnsi="Times New Roman" w:cs="Times New Roman"/>
                      <w:color w:val="000000"/>
                      <w:sz w:val="21"/>
                      <w:szCs w:val="21"/>
                      <w:lang w:val="en-US" w:eastAsia="zh-CN"/>
                    </w:rPr>
                  </w:pPr>
                  <w:r>
                    <w:rPr>
                      <w:rFonts w:hint="eastAsia" w:cs="Times New Roman"/>
                      <w:color w:val="000000"/>
                      <w:sz w:val="21"/>
                      <w:szCs w:val="21"/>
                      <w:lang w:val="en-US" w:eastAsia="zh-CN"/>
                    </w:rPr>
                    <w:t>颗粒物</w:t>
                  </w:r>
                </w:p>
              </w:tc>
              <w:tc>
                <w:tcPr>
                  <w:tcW w:w="0" w:type="auto"/>
                  <w:vMerge w:val="restart"/>
                  <w:noWrap w:val="0"/>
                  <w:vAlign w:val="center"/>
                </w:tcPr>
                <w:p w14:paraId="4E13D328">
                  <w:pPr>
                    <w:pStyle w:val="47"/>
                    <w:bidi w:val="0"/>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物料衡算</w:t>
                  </w:r>
                </w:p>
              </w:tc>
              <w:tc>
                <w:tcPr>
                  <w:tcW w:w="748" w:type="dxa"/>
                  <w:vMerge w:val="restart"/>
                  <w:noWrap w:val="0"/>
                  <w:vAlign w:val="center"/>
                </w:tcPr>
                <w:p w14:paraId="1962E12A">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35000</w:t>
                  </w:r>
                </w:p>
              </w:tc>
              <w:tc>
                <w:tcPr>
                  <w:tcW w:w="749" w:type="dxa"/>
                  <w:noWrap w:val="0"/>
                  <w:vAlign w:val="center"/>
                </w:tcPr>
                <w:p w14:paraId="0A2A530D">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17.26</w:t>
                  </w:r>
                </w:p>
              </w:tc>
              <w:tc>
                <w:tcPr>
                  <w:tcW w:w="661" w:type="dxa"/>
                  <w:noWrap w:val="0"/>
                  <w:vAlign w:val="center"/>
                </w:tcPr>
                <w:p w14:paraId="01F44CEE">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0.604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34" w:type="dxa"/>
                  <w:noWrap w:val="0"/>
                  <w:vAlign w:val="center"/>
                </w:tcPr>
                <w:p w14:paraId="404F465D">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2.8895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0" w:type="auto"/>
                  <w:vMerge w:val="restart"/>
                  <w:noWrap w:val="0"/>
                  <w:vAlign w:val="center"/>
                </w:tcPr>
                <w:p w14:paraId="205FA888">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有组织</w:t>
                  </w:r>
                </w:p>
              </w:tc>
              <w:tc>
                <w:tcPr>
                  <w:tcW w:w="0" w:type="auto"/>
                  <w:noWrap w:val="0"/>
                  <w:vAlign w:val="center"/>
                </w:tcPr>
                <w:p w14:paraId="724B7FF8">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干式过滤器</w:t>
                  </w:r>
                </w:p>
              </w:tc>
              <w:tc>
                <w:tcPr>
                  <w:tcW w:w="509" w:type="dxa"/>
                  <w:noWrap w:val="0"/>
                  <w:vAlign w:val="center"/>
                </w:tcPr>
                <w:p w14:paraId="4E32E4F7">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w:t>
                  </w:r>
                </w:p>
              </w:tc>
              <w:tc>
                <w:tcPr>
                  <w:tcW w:w="540" w:type="dxa"/>
                  <w:noWrap w:val="0"/>
                  <w:vAlign w:val="center"/>
                </w:tcPr>
                <w:p w14:paraId="6182FA3D">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95%</w:t>
                  </w:r>
                </w:p>
              </w:tc>
              <w:tc>
                <w:tcPr>
                  <w:tcW w:w="0" w:type="auto"/>
                  <w:noWrap w:val="0"/>
                  <w:vAlign w:val="center"/>
                </w:tcPr>
                <w:p w14:paraId="64AB0AF9">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是</w:t>
                  </w:r>
                </w:p>
              </w:tc>
              <w:tc>
                <w:tcPr>
                  <w:tcW w:w="651" w:type="dxa"/>
                  <w:vMerge w:val="restart"/>
                  <w:noWrap w:val="0"/>
                  <w:vAlign w:val="center"/>
                </w:tcPr>
                <w:p w14:paraId="6F47AEA1">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35000</w:t>
                  </w:r>
                </w:p>
              </w:tc>
              <w:tc>
                <w:tcPr>
                  <w:tcW w:w="609" w:type="dxa"/>
                  <w:noWrap w:val="0"/>
                  <w:vAlign w:val="center"/>
                </w:tcPr>
                <w:p w14:paraId="4268ABAC">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0.86 </w:t>
                  </w:r>
                </w:p>
              </w:tc>
              <w:tc>
                <w:tcPr>
                  <w:tcW w:w="599" w:type="dxa"/>
                  <w:noWrap w:val="0"/>
                  <w:vAlign w:val="center"/>
                </w:tcPr>
                <w:p w14:paraId="74B0E2E8">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0.030 </w:t>
                  </w:r>
                </w:p>
              </w:tc>
              <w:tc>
                <w:tcPr>
                  <w:tcW w:w="634" w:type="dxa"/>
                  <w:noWrap w:val="0"/>
                  <w:vAlign w:val="center"/>
                </w:tcPr>
                <w:p w14:paraId="1ADF0164">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0.1450 </w:t>
                  </w:r>
                </w:p>
              </w:tc>
              <w:tc>
                <w:tcPr>
                  <w:tcW w:w="1240" w:type="dxa"/>
                  <w:vMerge w:val="restart"/>
                  <w:noWrap w:val="0"/>
                  <w:vAlign w:val="center"/>
                </w:tcPr>
                <w:p w14:paraId="3DD9C8C4">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H=27m、内径</w:t>
                  </w:r>
                  <w:r>
                    <w:rPr>
                      <w:rFonts w:hint="eastAsia" w:cs="Times New Roman"/>
                      <w:color w:val="000000"/>
                      <w:sz w:val="21"/>
                      <w:szCs w:val="21"/>
                      <w:lang w:val="en-US" w:eastAsia="zh-CN"/>
                    </w:rPr>
                    <w:t>1.0</w:t>
                  </w:r>
                  <w:r>
                    <w:rPr>
                      <w:rFonts w:hint="default" w:ascii="Times New Roman" w:hAnsi="Times New Roman" w:eastAsia="宋体" w:cs="Times New Roman"/>
                      <w:color w:val="000000"/>
                      <w:sz w:val="21"/>
                      <w:szCs w:val="21"/>
                      <w:lang w:val="en-US" w:eastAsia="zh-CN"/>
                    </w:rPr>
                    <w:t>m、温度25℃</w:t>
                  </w:r>
                </w:p>
              </w:tc>
              <w:tc>
                <w:tcPr>
                  <w:tcW w:w="850" w:type="dxa"/>
                  <w:vMerge w:val="restart"/>
                  <w:noWrap w:val="0"/>
                  <w:vAlign w:val="center"/>
                </w:tcPr>
                <w:p w14:paraId="5FE8F45D">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DA001</w:t>
                  </w:r>
                </w:p>
                <w:p w14:paraId="7F547450">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一般排放口</w:t>
                  </w:r>
                </w:p>
              </w:tc>
              <w:tc>
                <w:tcPr>
                  <w:tcW w:w="1376" w:type="dxa"/>
                  <w:vMerge w:val="restart"/>
                  <w:noWrap w:val="0"/>
                  <w:vAlign w:val="center"/>
                </w:tcPr>
                <w:p w14:paraId="626F8D27">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经度：</w:t>
                  </w:r>
                </w:p>
                <w:p w14:paraId="4ABC2A80">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119°17′30.743″</w:t>
                  </w:r>
                </w:p>
                <w:p w14:paraId="3906F562">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纬度：</w:t>
                  </w:r>
                </w:p>
                <w:p w14:paraId="3F3B1D79">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25°45′19.478″</w:t>
                  </w:r>
                </w:p>
              </w:tc>
              <w:tc>
                <w:tcPr>
                  <w:tcW w:w="0" w:type="auto"/>
                  <w:vMerge w:val="restart"/>
                  <w:noWrap w:val="0"/>
                  <w:vAlign w:val="center"/>
                </w:tcPr>
                <w:p w14:paraId="6E930721">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4800</w:t>
                  </w:r>
                </w:p>
              </w:tc>
              <w:tc>
                <w:tcPr>
                  <w:tcW w:w="0" w:type="auto"/>
                  <w:noWrap w:val="0"/>
                  <w:vAlign w:val="center"/>
                </w:tcPr>
                <w:p w14:paraId="4CD94DA4">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120</w:t>
                  </w:r>
                </w:p>
              </w:tc>
              <w:tc>
                <w:tcPr>
                  <w:tcW w:w="0" w:type="auto"/>
                  <w:noWrap w:val="0"/>
                  <w:vAlign w:val="center"/>
                </w:tcPr>
                <w:p w14:paraId="15B0A248">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17.84</w:t>
                  </w:r>
                </w:p>
              </w:tc>
            </w:tr>
            <w:tr w14:paraId="4CCA3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10" w:hRule="atLeast"/>
                <w:jc w:val="center"/>
              </w:trPr>
              <w:tc>
                <w:tcPr>
                  <w:tcW w:w="0" w:type="auto"/>
                  <w:noWrap w:val="0"/>
                  <w:vAlign w:val="center"/>
                </w:tcPr>
                <w:p w14:paraId="6610A19A">
                  <w:pPr>
                    <w:pStyle w:val="47"/>
                    <w:bidi w:val="0"/>
                    <w:rPr>
                      <w:rFonts w:hint="eastAsia" w:cs="Times New Roman"/>
                      <w:color w:val="000000"/>
                      <w:sz w:val="21"/>
                      <w:szCs w:val="21"/>
                      <w:lang w:val="en-US" w:eastAsia="zh-CN"/>
                    </w:rPr>
                  </w:pPr>
                  <w:r>
                    <w:rPr>
                      <w:rFonts w:hint="eastAsia" w:cs="Times New Roman"/>
                      <w:color w:val="000000"/>
                      <w:sz w:val="21"/>
                      <w:szCs w:val="21"/>
                      <w:lang w:val="en-US" w:eastAsia="zh-CN"/>
                    </w:rPr>
                    <w:t>调胶、喷胶、辊胶、烘干、热铆焊接</w:t>
                  </w:r>
                </w:p>
              </w:tc>
              <w:tc>
                <w:tcPr>
                  <w:tcW w:w="0" w:type="auto"/>
                  <w:noWrap w:val="0"/>
                  <w:vAlign w:val="center"/>
                </w:tcPr>
                <w:p w14:paraId="68F2BF66">
                  <w:pPr>
                    <w:pStyle w:val="47"/>
                    <w:bidi w:val="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NMHC</w:t>
                  </w:r>
                </w:p>
              </w:tc>
              <w:tc>
                <w:tcPr>
                  <w:tcW w:w="0" w:type="auto"/>
                  <w:vMerge w:val="continue"/>
                  <w:noWrap w:val="0"/>
                  <w:vAlign w:val="center"/>
                </w:tcPr>
                <w:p w14:paraId="55D1D4E0">
                  <w:pPr>
                    <w:pStyle w:val="47"/>
                    <w:bidi w:val="0"/>
                    <w:rPr>
                      <w:rFonts w:hint="default" w:ascii="Times New Roman" w:hAnsi="Times New Roman" w:cs="Times New Roman"/>
                      <w:color w:val="000000"/>
                      <w:sz w:val="21"/>
                      <w:szCs w:val="21"/>
                      <w:lang w:val="en-US" w:eastAsia="zh-CN"/>
                    </w:rPr>
                  </w:pPr>
                </w:p>
              </w:tc>
              <w:tc>
                <w:tcPr>
                  <w:tcW w:w="748" w:type="dxa"/>
                  <w:vMerge w:val="continue"/>
                  <w:noWrap w:val="0"/>
                  <w:vAlign w:val="center"/>
                </w:tcPr>
                <w:p w14:paraId="378D6E4C">
                  <w:pPr>
                    <w:pStyle w:val="47"/>
                    <w:bidi w:val="0"/>
                    <w:outlineLvl w:val="9"/>
                    <w:rPr>
                      <w:rFonts w:hint="default" w:ascii="Times New Roman" w:hAnsi="Times New Roman" w:eastAsia="宋体" w:cs="Times New Roman"/>
                      <w:color w:val="000000"/>
                      <w:sz w:val="21"/>
                      <w:szCs w:val="21"/>
                      <w:lang w:val="en-US" w:eastAsia="zh-CN"/>
                    </w:rPr>
                  </w:pPr>
                </w:p>
              </w:tc>
              <w:tc>
                <w:tcPr>
                  <w:tcW w:w="749" w:type="dxa"/>
                  <w:noWrap w:val="0"/>
                  <w:vAlign w:val="center"/>
                </w:tcPr>
                <w:p w14:paraId="770E2298">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5.43</w:t>
                  </w:r>
                </w:p>
              </w:tc>
              <w:tc>
                <w:tcPr>
                  <w:tcW w:w="661" w:type="dxa"/>
                  <w:noWrap w:val="0"/>
                  <w:vAlign w:val="center"/>
                </w:tcPr>
                <w:p w14:paraId="08682C00">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0.19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34" w:type="dxa"/>
                  <w:noWrap w:val="0"/>
                  <w:vAlign w:val="center"/>
                </w:tcPr>
                <w:p w14:paraId="18486296">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9112</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0" w:type="auto"/>
                  <w:vMerge w:val="continue"/>
                  <w:noWrap w:val="0"/>
                  <w:vAlign w:val="center"/>
                </w:tcPr>
                <w:p w14:paraId="7825FEA6">
                  <w:pPr>
                    <w:pStyle w:val="47"/>
                    <w:bidi w:val="0"/>
                    <w:outlineLvl w:val="9"/>
                    <w:rPr>
                      <w:rFonts w:hint="default" w:ascii="Times New Roman" w:hAnsi="Times New Roman" w:eastAsia="宋体" w:cs="Times New Roman"/>
                      <w:color w:val="000000"/>
                      <w:sz w:val="21"/>
                      <w:szCs w:val="21"/>
                      <w:lang w:val="en-US" w:eastAsia="zh-CN"/>
                    </w:rPr>
                  </w:pPr>
                </w:p>
              </w:tc>
              <w:tc>
                <w:tcPr>
                  <w:tcW w:w="0" w:type="auto"/>
                  <w:noWrap w:val="0"/>
                  <w:vAlign w:val="center"/>
                </w:tcPr>
                <w:p w14:paraId="267782B6">
                  <w:pPr>
                    <w:pStyle w:val="47"/>
                    <w:bidi w:val="0"/>
                    <w:outlineLvl w:val="9"/>
                    <w:rPr>
                      <w:rFonts w:hint="eastAsia" w:cs="Times New Roman"/>
                      <w:color w:val="000000"/>
                      <w:sz w:val="21"/>
                      <w:szCs w:val="21"/>
                      <w:lang w:val="en-US" w:eastAsia="zh-CN"/>
                    </w:rPr>
                  </w:pPr>
                  <w:r>
                    <w:rPr>
                      <w:rFonts w:hint="eastAsia" w:cs="Times New Roman"/>
                      <w:color w:val="000000"/>
                      <w:sz w:val="21"/>
                      <w:szCs w:val="21"/>
                      <w:lang w:val="en-US" w:eastAsia="zh-CN"/>
                    </w:rPr>
                    <w:t>二级活性炭吸附装置</w:t>
                  </w:r>
                </w:p>
              </w:tc>
              <w:tc>
                <w:tcPr>
                  <w:tcW w:w="509" w:type="dxa"/>
                  <w:noWrap w:val="0"/>
                  <w:vAlign w:val="center"/>
                </w:tcPr>
                <w:p w14:paraId="412C5191">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w:t>
                  </w:r>
                </w:p>
              </w:tc>
              <w:tc>
                <w:tcPr>
                  <w:tcW w:w="540" w:type="dxa"/>
                  <w:noWrap w:val="0"/>
                  <w:vAlign w:val="center"/>
                </w:tcPr>
                <w:p w14:paraId="50D8D2EC">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80%</w:t>
                  </w:r>
                </w:p>
              </w:tc>
              <w:tc>
                <w:tcPr>
                  <w:tcW w:w="0" w:type="auto"/>
                  <w:noWrap w:val="0"/>
                  <w:vAlign w:val="center"/>
                </w:tcPr>
                <w:p w14:paraId="7FA159D7">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是</w:t>
                  </w:r>
                </w:p>
              </w:tc>
              <w:tc>
                <w:tcPr>
                  <w:tcW w:w="651" w:type="dxa"/>
                  <w:vMerge w:val="continue"/>
                  <w:noWrap w:val="0"/>
                  <w:vAlign w:val="center"/>
                </w:tcPr>
                <w:p w14:paraId="339E423E">
                  <w:pPr>
                    <w:pStyle w:val="47"/>
                    <w:bidi w:val="0"/>
                    <w:outlineLvl w:val="9"/>
                    <w:rPr>
                      <w:rFonts w:hint="default" w:ascii="Times New Roman" w:hAnsi="Times New Roman" w:eastAsia="宋体" w:cs="Times New Roman"/>
                      <w:color w:val="000000"/>
                      <w:sz w:val="21"/>
                      <w:szCs w:val="21"/>
                      <w:lang w:val="en-US" w:eastAsia="zh-CN"/>
                    </w:rPr>
                  </w:pPr>
                </w:p>
              </w:tc>
              <w:tc>
                <w:tcPr>
                  <w:tcW w:w="609" w:type="dxa"/>
                  <w:noWrap w:val="0"/>
                  <w:vAlign w:val="center"/>
                </w:tcPr>
                <w:p w14:paraId="6A1699FA">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1.09 </w:t>
                  </w:r>
                </w:p>
              </w:tc>
              <w:tc>
                <w:tcPr>
                  <w:tcW w:w="599" w:type="dxa"/>
                  <w:noWrap w:val="0"/>
                  <w:vAlign w:val="center"/>
                </w:tcPr>
                <w:p w14:paraId="0B3704E1">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0.038 </w:t>
                  </w:r>
                </w:p>
              </w:tc>
              <w:tc>
                <w:tcPr>
                  <w:tcW w:w="634" w:type="dxa"/>
                  <w:noWrap w:val="0"/>
                  <w:vAlign w:val="center"/>
                </w:tcPr>
                <w:p w14:paraId="00A55D07">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0.1822 </w:t>
                  </w:r>
                </w:p>
              </w:tc>
              <w:tc>
                <w:tcPr>
                  <w:tcW w:w="1240" w:type="dxa"/>
                  <w:vMerge w:val="continue"/>
                  <w:noWrap w:val="0"/>
                  <w:vAlign w:val="center"/>
                </w:tcPr>
                <w:p w14:paraId="328CB856">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p>
              </w:tc>
              <w:tc>
                <w:tcPr>
                  <w:tcW w:w="850" w:type="dxa"/>
                  <w:vMerge w:val="continue"/>
                  <w:noWrap w:val="0"/>
                  <w:vAlign w:val="center"/>
                </w:tcPr>
                <w:p w14:paraId="215F0183">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p>
              </w:tc>
              <w:tc>
                <w:tcPr>
                  <w:tcW w:w="1376" w:type="dxa"/>
                  <w:vMerge w:val="continue"/>
                  <w:noWrap w:val="0"/>
                  <w:vAlign w:val="center"/>
                </w:tcPr>
                <w:p w14:paraId="7F5E22E8">
                  <w:pPr>
                    <w:pStyle w:val="47"/>
                    <w:bidi w:val="0"/>
                    <w:ind w:left="0" w:leftChars="0" w:firstLine="0" w:firstLineChars="0"/>
                    <w:outlineLvl w:val="9"/>
                    <w:rPr>
                      <w:rFonts w:hint="default" w:ascii="Times New Roman" w:hAnsi="Times New Roman" w:eastAsia="宋体" w:cs="Times New Roman"/>
                      <w:color w:val="000000"/>
                      <w:sz w:val="21"/>
                      <w:szCs w:val="21"/>
                      <w:lang w:val="en-US" w:eastAsia="zh-CN"/>
                    </w:rPr>
                  </w:pPr>
                </w:p>
              </w:tc>
              <w:tc>
                <w:tcPr>
                  <w:tcW w:w="0" w:type="auto"/>
                  <w:vMerge w:val="continue"/>
                  <w:noWrap w:val="0"/>
                  <w:vAlign w:val="center"/>
                </w:tcPr>
                <w:p w14:paraId="20ECE325">
                  <w:pPr>
                    <w:pStyle w:val="47"/>
                    <w:bidi w:val="0"/>
                    <w:outlineLvl w:val="9"/>
                    <w:rPr>
                      <w:rFonts w:hint="default" w:ascii="Times New Roman" w:hAnsi="Times New Roman" w:eastAsia="宋体" w:cs="Times New Roman"/>
                      <w:color w:val="000000"/>
                      <w:sz w:val="21"/>
                      <w:szCs w:val="21"/>
                      <w:lang w:val="en-US" w:eastAsia="zh-CN"/>
                    </w:rPr>
                  </w:pPr>
                </w:p>
              </w:tc>
              <w:tc>
                <w:tcPr>
                  <w:tcW w:w="0" w:type="auto"/>
                  <w:noWrap w:val="0"/>
                  <w:vAlign w:val="center"/>
                </w:tcPr>
                <w:p w14:paraId="120577F2">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100</w:t>
                  </w:r>
                </w:p>
              </w:tc>
              <w:tc>
                <w:tcPr>
                  <w:tcW w:w="0" w:type="auto"/>
                  <w:noWrap w:val="0"/>
                  <w:vAlign w:val="center"/>
                </w:tcPr>
                <w:p w14:paraId="4DB5F8CD">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7.8</w:t>
                  </w:r>
                </w:p>
              </w:tc>
            </w:tr>
            <w:tr w14:paraId="6B879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0" w:type="auto"/>
                  <w:noWrap w:val="0"/>
                  <w:vAlign w:val="center"/>
                </w:tcPr>
                <w:p w14:paraId="1A6EFC6D">
                  <w:pPr>
                    <w:pStyle w:val="47"/>
                    <w:bidi w:val="0"/>
                    <w:rPr>
                      <w:rFonts w:hint="eastAsia" w:cs="Times New Roman"/>
                      <w:color w:val="000000"/>
                      <w:sz w:val="21"/>
                      <w:szCs w:val="21"/>
                      <w:lang w:val="en-US" w:eastAsia="zh-CN"/>
                    </w:rPr>
                  </w:pPr>
                  <w:r>
                    <w:rPr>
                      <w:rFonts w:hint="eastAsia" w:cs="Times New Roman"/>
                      <w:color w:val="000000"/>
                      <w:sz w:val="21"/>
                      <w:szCs w:val="21"/>
                      <w:lang w:val="en-US" w:eastAsia="zh-CN"/>
                    </w:rPr>
                    <w:t>喷胶</w:t>
                  </w:r>
                </w:p>
              </w:tc>
              <w:tc>
                <w:tcPr>
                  <w:tcW w:w="0" w:type="auto"/>
                  <w:noWrap w:val="0"/>
                  <w:vAlign w:val="center"/>
                </w:tcPr>
                <w:p w14:paraId="2D1C5F26">
                  <w:pPr>
                    <w:pStyle w:val="47"/>
                    <w:bidi w:val="0"/>
                    <w:rPr>
                      <w:rFonts w:hint="eastAsia" w:ascii="Times New Roman" w:hAnsi="Times New Roman" w:cs="Times New Roman"/>
                      <w:color w:val="000000"/>
                      <w:sz w:val="21"/>
                      <w:szCs w:val="21"/>
                      <w:lang w:val="en-US" w:eastAsia="zh-CN"/>
                    </w:rPr>
                  </w:pPr>
                  <w:r>
                    <w:rPr>
                      <w:rFonts w:hint="eastAsia" w:cs="Times New Roman"/>
                      <w:color w:val="000000"/>
                      <w:sz w:val="21"/>
                      <w:szCs w:val="21"/>
                      <w:lang w:val="en-US" w:eastAsia="zh-CN"/>
                    </w:rPr>
                    <w:t>颗粒物</w:t>
                  </w:r>
                </w:p>
              </w:tc>
              <w:tc>
                <w:tcPr>
                  <w:tcW w:w="0" w:type="auto"/>
                  <w:vMerge w:val="continue"/>
                  <w:noWrap w:val="0"/>
                  <w:vAlign w:val="center"/>
                </w:tcPr>
                <w:p w14:paraId="1912D8E0">
                  <w:pPr>
                    <w:pStyle w:val="47"/>
                    <w:bidi w:val="0"/>
                    <w:rPr>
                      <w:rFonts w:hint="default" w:ascii="Times New Roman" w:hAnsi="Times New Roman" w:cs="Times New Roman"/>
                      <w:color w:val="000000"/>
                      <w:sz w:val="21"/>
                      <w:szCs w:val="21"/>
                      <w:lang w:val="en-US" w:eastAsia="zh-CN"/>
                    </w:rPr>
                  </w:pPr>
                </w:p>
              </w:tc>
              <w:tc>
                <w:tcPr>
                  <w:tcW w:w="748" w:type="dxa"/>
                  <w:noWrap w:val="0"/>
                  <w:vAlign w:val="center"/>
                </w:tcPr>
                <w:p w14:paraId="35AE5C70">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749" w:type="dxa"/>
                  <w:noWrap w:val="0"/>
                  <w:vAlign w:val="center"/>
                </w:tcPr>
                <w:p w14:paraId="66D7849D">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61" w:type="dxa"/>
                  <w:noWrap w:val="0"/>
                  <w:vAlign w:val="center"/>
                </w:tcPr>
                <w:p w14:paraId="7912EC59">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0.151 </w:t>
                  </w:r>
                </w:p>
              </w:tc>
              <w:tc>
                <w:tcPr>
                  <w:tcW w:w="634" w:type="dxa"/>
                  <w:noWrap w:val="0"/>
                  <w:vAlign w:val="center"/>
                </w:tcPr>
                <w:p w14:paraId="6F4F9298">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0.7249 </w:t>
                  </w:r>
                </w:p>
              </w:tc>
              <w:tc>
                <w:tcPr>
                  <w:tcW w:w="0" w:type="auto"/>
                  <w:vMerge w:val="restart"/>
                  <w:noWrap w:val="0"/>
                  <w:vAlign w:val="center"/>
                </w:tcPr>
                <w:p w14:paraId="2A8EA325">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无组织</w:t>
                  </w:r>
                </w:p>
              </w:tc>
              <w:tc>
                <w:tcPr>
                  <w:tcW w:w="0" w:type="auto"/>
                  <w:vMerge w:val="restart"/>
                  <w:noWrap w:val="0"/>
                  <w:vAlign w:val="center"/>
                </w:tcPr>
                <w:p w14:paraId="725C9FB7">
                  <w:pPr>
                    <w:pStyle w:val="47"/>
                    <w:bidi w:val="0"/>
                    <w:outlineLvl w:val="9"/>
                    <w:rPr>
                      <w:rFonts w:hint="eastAsia" w:cs="Times New Roman"/>
                      <w:color w:val="000000"/>
                      <w:sz w:val="21"/>
                      <w:szCs w:val="21"/>
                      <w:lang w:val="en-US" w:eastAsia="zh-CN"/>
                    </w:rPr>
                  </w:pPr>
                </w:p>
              </w:tc>
              <w:tc>
                <w:tcPr>
                  <w:tcW w:w="509" w:type="dxa"/>
                  <w:noWrap w:val="0"/>
                  <w:vAlign w:val="center"/>
                </w:tcPr>
                <w:p w14:paraId="64782778">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40" w:type="dxa"/>
                  <w:noWrap w:val="0"/>
                  <w:vAlign w:val="center"/>
                </w:tcPr>
                <w:p w14:paraId="733ED770">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5442B300">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4D29F040">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09" w:type="dxa"/>
                  <w:noWrap w:val="0"/>
                  <w:vAlign w:val="center"/>
                </w:tcPr>
                <w:p w14:paraId="441AF416">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9" w:type="dxa"/>
                  <w:noWrap w:val="0"/>
                  <w:vAlign w:val="center"/>
                </w:tcPr>
                <w:p w14:paraId="4C4D8EC8">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0.151 </w:t>
                  </w:r>
                </w:p>
              </w:tc>
              <w:tc>
                <w:tcPr>
                  <w:tcW w:w="634" w:type="dxa"/>
                  <w:noWrap w:val="0"/>
                  <w:vAlign w:val="center"/>
                </w:tcPr>
                <w:p w14:paraId="1425CC2C">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0.7249 </w:t>
                  </w:r>
                </w:p>
              </w:tc>
              <w:tc>
                <w:tcPr>
                  <w:tcW w:w="0" w:type="auto"/>
                  <w:noWrap w:val="0"/>
                  <w:vAlign w:val="center"/>
                </w:tcPr>
                <w:p w14:paraId="530C23B4">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59C7F7CD">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1282F189">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vMerge w:val="continue"/>
                  <w:noWrap w:val="0"/>
                  <w:vAlign w:val="center"/>
                </w:tcPr>
                <w:p w14:paraId="7BBA3058">
                  <w:pPr>
                    <w:pStyle w:val="47"/>
                    <w:bidi w:val="0"/>
                    <w:outlineLvl w:val="9"/>
                    <w:rPr>
                      <w:rFonts w:hint="default" w:ascii="Times New Roman" w:hAnsi="Times New Roman" w:eastAsia="宋体" w:cs="Times New Roman"/>
                      <w:color w:val="000000"/>
                      <w:sz w:val="21"/>
                      <w:szCs w:val="21"/>
                      <w:lang w:val="en-US" w:eastAsia="zh-CN"/>
                    </w:rPr>
                  </w:pPr>
                </w:p>
              </w:tc>
              <w:tc>
                <w:tcPr>
                  <w:tcW w:w="0" w:type="auto"/>
                  <w:noWrap w:val="0"/>
                  <w:vAlign w:val="center"/>
                </w:tcPr>
                <w:p w14:paraId="245B975C">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1.0</w:t>
                  </w:r>
                </w:p>
              </w:tc>
              <w:tc>
                <w:tcPr>
                  <w:tcW w:w="0" w:type="auto"/>
                  <w:noWrap w:val="0"/>
                  <w:vAlign w:val="center"/>
                </w:tcPr>
                <w:p w14:paraId="53DA3105">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r>
            <w:tr w14:paraId="53533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0" w:type="auto"/>
                  <w:noWrap w:val="0"/>
                  <w:vAlign w:val="center"/>
                </w:tcPr>
                <w:p w14:paraId="76E7BE63">
                  <w:pPr>
                    <w:pStyle w:val="47"/>
                    <w:bidi w:val="0"/>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调胶、喷胶、辊胶、烘干、热铆焊接</w:t>
                  </w:r>
                </w:p>
              </w:tc>
              <w:tc>
                <w:tcPr>
                  <w:tcW w:w="0" w:type="auto"/>
                  <w:noWrap w:val="0"/>
                  <w:vAlign w:val="center"/>
                </w:tcPr>
                <w:p w14:paraId="32092A7D">
                  <w:pPr>
                    <w:pStyle w:val="47"/>
                    <w:bidi w:val="0"/>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NMHC</w:t>
                  </w:r>
                </w:p>
              </w:tc>
              <w:tc>
                <w:tcPr>
                  <w:tcW w:w="0" w:type="auto"/>
                  <w:vMerge w:val="continue"/>
                  <w:noWrap w:val="0"/>
                  <w:vAlign w:val="center"/>
                </w:tcPr>
                <w:p w14:paraId="4907C689">
                  <w:pPr>
                    <w:pStyle w:val="47"/>
                    <w:bidi w:val="0"/>
                    <w:rPr>
                      <w:rFonts w:hint="default" w:ascii="Times New Roman" w:hAnsi="Times New Roman" w:cs="Times New Roman"/>
                      <w:color w:val="000000"/>
                      <w:sz w:val="21"/>
                      <w:szCs w:val="21"/>
                      <w:lang w:val="en-US" w:eastAsia="zh-CN"/>
                    </w:rPr>
                  </w:pPr>
                </w:p>
              </w:tc>
              <w:tc>
                <w:tcPr>
                  <w:tcW w:w="748" w:type="dxa"/>
                  <w:noWrap w:val="0"/>
                  <w:vAlign w:val="center"/>
                </w:tcPr>
                <w:p w14:paraId="33674148">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749" w:type="dxa"/>
                  <w:noWrap w:val="0"/>
                  <w:vAlign w:val="center"/>
                </w:tcPr>
                <w:p w14:paraId="5A9BC837">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61" w:type="dxa"/>
                  <w:noWrap w:val="0"/>
                  <w:vAlign w:val="center"/>
                </w:tcPr>
                <w:p w14:paraId="6740E55F">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0.047 </w:t>
                  </w:r>
                </w:p>
              </w:tc>
              <w:tc>
                <w:tcPr>
                  <w:tcW w:w="634" w:type="dxa"/>
                  <w:noWrap w:val="0"/>
                  <w:vAlign w:val="center"/>
                </w:tcPr>
                <w:p w14:paraId="7D4F9AD3">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0.2278 </w:t>
                  </w:r>
                </w:p>
              </w:tc>
              <w:tc>
                <w:tcPr>
                  <w:tcW w:w="0" w:type="auto"/>
                  <w:vMerge w:val="continue"/>
                  <w:noWrap w:val="0"/>
                  <w:vAlign w:val="center"/>
                </w:tcPr>
                <w:p w14:paraId="69C1898B">
                  <w:pPr>
                    <w:pStyle w:val="47"/>
                    <w:bidi w:val="0"/>
                    <w:outlineLvl w:val="9"/>
                    <w:rPr>
                      <w:rFonts w:hint="default" w:ascii="Times New Roman" w:hAnsi="Times New Roman" w:eastAsia="宋体" w:cs="Times New Roman"/>
                      <w:color w:val="000000"/>
                      <w:sz w:val="21"/>
                      <w:szCs w:val="21"/>
                      <w:lang w:val="en-US" w:eastAsia="zh-CN"/>
                    </w:rPr>
                  </w:pPr>
                </w:p>
              </w:tc>
              <w:tc>
                <w:tcPr>
                  <w:tcW w:w="0" w:type="auto"/>
                  <w:vMerge w:val="continue"/>
                  <w:noWrap w:val="0"/>
                  <w:vAlign w:val="center"/>
                </w:tcPr>
                <w:p w14:paraId="7EF8DB62">
                  <w:pPr>
                    <w:pStyle w:val="47"/>
                    <w:bidi w:val="0"/>
                    <w:outlineLvl w:val="9"/>
                    <w:rPr>
                      <w:rFonts w:hint="default" w:ascii="Times New Roman" w:hAnsi="Times New Roman" w:eastAsia="宋体" w:cs="Times New Roman"/>
                      <w:color w:val="000000"/>
                      <w:sz w:val="21"/>
                      <w:szCs w:val="21"/>
                      <w:lang w:val="en-US" w:eastAsia="zh-CN"/>
                    </w:rPr>
                  </w:pPr>
                </w:p>
              </w:tc>
              <w:tc>
                <w:tcPr>
                  <w:tcW w:w="509" w:type="dxa"/>
                  <w:noWrap w:val="0"/>
                  <w:vAlign w:val="center"/>
                </w:tcPr>
                <w:p w14:paraId="0439BDB4">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40" w:type="dxa"/>
                  <w:noWrap w:val="0"/>
                  <w:vAlign w:val="center"/>
                </w:tcPr>
                <w:p w14:paraId="271C4DFB">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7D9308EF">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47445444">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09" w:type="dxa"/>
                  <w:noWrap w:val="0"/>
                  <w:vAlign w:val="center"/>
                </w:tcPr>
                <w:p w14:paraId="5CD1EB5E">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9" w:type="dxa"/>
                  <w:noWrap w:val="0"/>
                  <w:vAlign w:val="center"/>
                </w:tcPr>
                <w:p w14:paraId="37D042D1">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0.047 </w:t>
                  </w:r>
                </w:p>
              </w:tc>
              <w:tc>
                <w:tcPr>
                  <w:tcW w:w="634" w:type="dxa"/>
                  <w:noWrap w:val="0"/>
                  <w:vAlign w:val="center"/>
                </w:tcPr>
                <w:p w14:paraId="31C4C61B">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0.2278 </w:t>
                  </w:r>
                </w:p>
              </w:tc>
              <w:tc>
                <w:tcPr>
                  <w:tcW w:w="0" w:type="auto"/>
                  <w:noWrap w:val="0"/>
                  <w:vAlign w:val="center"/>
                </w:tcPr>
                <w:p w14:paraId="185C1692">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38B81408">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noWrap w:val="0"/>
                  <w:vAlign w:val="center"/>
                </w:tcPr>
                <w:p w14:paraId="6C7F158F">
                  <w:pPr>
                    <w:bidi w:val="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vMerge w:val="continue"/>
                  <w:noWrap w:val="0"/>
                  <w:vAlign w:val="center"/>
                </w:tcPr>
                <w:p w14:paraId="6D9CEB4B">
                  <w:pPr>
                    <w:pStyle w:val="47"/>
                    <w:bidi w:val="0"/>
                    <w:outlineLvl w:val="9"/>
                    <w:rPr>
                      <w:rFonts w:hint="default" w:ascii="Times New Roman" w:hAnsi="Times New Roman" w:eastAsia="宋体" w:cs="Times New Roman"/>
                      <w:color w:val="000000"/>
                      <w:sz w:val="21"/>
                      <w:szCs w:val="21"/>
                      <w:lang w:val="en-US" w:eastAsia="zh-CN"/>
                    </w:rPr>
                  </w:pPr>
                </w:p>
              </w:tc>
              <w:tc>
                <w:tcPr>
                  <w:tcW w:w="0" w:type="auto"/>
                  <w:noWrap w:val="0"/>
                  <w:vAlign w:val="center"/>
                </w:tcPr>
                <w:p w14:paraId="66A6457B">
                  <w:pPr>
                    <w:pStyle w:val="47"/>
                    <w:bidi w:val="0"/>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2.0</w:t>
                  </w:r>
                </w:p>
              </w:tc>
              <w:tc>
                <w:tcPr>
                  <w:tcW w:w="0" w:type="auto"/>
                  <w:noWrap w:val="0"/>
                  <w:vAlign w:val="center"/>
                </w:tcPr>
                <w:p w14:paraId="20E15E9F">
                  <w:pPr>
                    <w:pStyle w:val="47"/>
                    <w:bidi w:val="0"/>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bl>
          <w:p w14:paraId="76388BE5">
            <w:pPr>
              <w:pStyle w:val="12"/>
              <w:jc w:val="both"/>
              <w:rPr>
                <w:rFonts w:hint="default" w:ascii="Times New Roman" w:hAnsi="Times New Roman" w:cs="Times New Roman"/>
                <w:color w:val="000000"/>
              </w:rPr>
            </w:pPr>
          </w:p>
        </w:tc>
      </w:tr>
    </w:tbl>
    <w:p w14:paraId="40690206">
      <w:pPr>
        <w:pStyle w:val="13"/>
        <w:rPr>
          <w:rFonts w:hint="default" w:ascii="Times New Roman" w:hAnsi="Times New Roman" w:cs="Times New Roman"/>
          <w:color w:val="FF0000"/>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572"/>
        <w:gridCol w:w="8489"/>
      </w:tblGrid>
      <w:tr w14:paraId="311909E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572" w:type="dxa"/>
            <w:tcBorders>
              <w:tl2br w:val="nil"/>
              <w:tr2bl w:val="nil"/>
            </w:tcBorders>
            <w:noWrap w:val="0"/>
            <w:vAlign w:val="top"/>
          </w:tcPr>
          <w:p w14:paraId="0FD19606">
            <w:pPr>
              <w:pStyle w:val="12"/>
              <w:rPr>
                <w:rFonts w:hint="default" w:ascii="Times New Roman" w:hAnsi="Times New Roman" w:cs="Times New Roman"/>
                <w:color w:val="000000"/>
                <w:vertAlign w:val="baseline"/>
              </w:rPr>
            </w:pPr>
          </w:p>
        </w:tc>
        <w:tc>
          <w:tcPr>
            <w:tcW w:w="8489" w:type="dxa"/>
            <w:tcBorders>
              <w:tl2br w:val="nil"/>
              <w:tr2bl w:val="nil"/>
            </w:tcBorders>
            <w:noWrap w:val="0"/>
            <w:vAlign w:val="top"/>
          </w:tcPr>
          <w:p w14:paraId="760789F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color w:val="000000"/>
                <w:kern w:val="0"/>
                <w:sz w:val="24"/>
              </w:rPr>
            </w:pPr>
            <w:r>
              <w:rPr>
                <w:rFonts w:hint="default" w:ascii="Times New Roman" w:hAnsi="Times New Roman" w:cs="Times New Roman"/>
                <w:b/>
                <w:color w:val="000000"/>
                <w:kern w:val="0"/>
                <w:sz w:val="24"/>
              </w:rPr>
              <w:t>4.</w:t>
            </w:r>
            <w:r>
              <w:rPr>
                <w:rFonts w:hint="default" w:ascii="Times New Roman" w:hAnsi="Times New Roman" w:cs="Times New Roman"/>
                <w:b/>
                <w:color w:val="000000"/>
                <w:kern w:val="0"/>
                <w:sz w:val="24"/>
                <w:lang w:val="en-US" w:eastAsia="zh-CN"/>
              </w:rPr>
              <w:t>2</w:t>
            </w:r>
            <w:r>
              <w:rPr>
                <w:rFonts w:hint="default" w:ascii="Times New Roman" w:hAnsi="Times New Roman" w:cs="Times New Roman"/>
                <w:b/>
                <w:color w:val="000000"/>
                <w:kern w:val="0"/>
                <w:sz w:val="24"/>
              </w:rPr>
              <w:t>.2 非正常排放</w:t>
            </w:r>
          </w:p>
          <w:p w14:paraId="52B5AC0E">
            <w:pPr>
              <w:widowControl/>
              <w:spacing w:line="360" w:lineRule="auto"/>
              <w:ind w:firstLine="480" w:firstLineChars="200"/>
              <w:jc w:val="left"/>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非正常排放情况考虑有组织废气净化设施发生故障，</w:t>
            </w:r>
            <w:r>
              <w:rPr>
                <w:rFonts w:hint="default" w:ascii="Times New Roman" w:hAnsi="Times New Roman" w:cs="Times New Roman"/>
                <w:color w:val="000000"/>
                <w:kern w:val="0"/>
                <w:sz w:val="24"/>
                <w:lang w:eastAsia="zh-CN" w:bidi="ar"/>
              </w:rPr>
              <w:t>废气</w:t>
            </w:r>
            <w:r>
              <w:rPr>
                <w:rFonts w:hint="default" w:ascii="Times New Roman" w:hAnsi="Times New Roman" w:cs="Times New Roman"/>
                <w:color w:val="000000"/>
                <w:kern w:val="0"/>
                <w:sz w:val="24"/>
                <w:lang w:bidi="ar"/>
              </w:rPr>
              <w:t>未经处理就直接排放的情景，非正常排放不考虑无组织排放，应立即停产，非正常排放时间按</w:t>
            </w:r>
            <w:r>
              <w:rPr>
                <w:rFonts w:hint="eastAsia" w:cs="Times New Roman"/>
                <w:color w:val="000000"/>
                <w:kern w:val="0"/>
                <w:sz w:val="24"/>
                <w:lang w:val="en-US" w:eastAsia="zh-CN" w:bidi="ar"/>
              </w:rPr>
              <w:t>1</w:t>
            </w:r>
            <w:r>
              <w:rPr>
                <w:rFonts w:hint="default" w:ascii="Times New Roman" w:hAnsi="Times New Roman" w:cs="Times New Roman"/>
                <w:color w:val="000000"/>
                <w:kern w:val="0"/>
                <w:sz w:val="24"/>
                <w:lang w:bidi="ar"/>
              </w:rPr>
              <w:t>h计算，非正常排放量核算见表4.</w:t>
            </w:r>
            <w:r>
              <w:rPr>
                <w:rFonts w:hint="default" w:ascii="Times New Roman" w:hAnsi="Times New Roman" w:cs="Times New Roman"/>
                <w:color w:val="000000"/>
                <w:kern w:val="0"/>
                <w:sz w:val="24"/>
                <w:lang w:val="en-US" w:eastAsia="zh-CN" w:bidi="ar"/>
              </w:rPr>
              <w:t>2</w:t>
            </w:r>
            <w:r>
              <w:rPr>
                <w:rFonts w:hint="default" w:ascii="Times New Roman" w:hAnsi="Times New Roman" w:cs="Times New Roman"/>
                <w:color w:val="000000"/>
                <w:kern w:val="0"/>
                <w:sz w:val="24"/>
                <w:lang w:bidi="ar"/>
              </w:rPr>
              <w:t>-</w:t>
            </w:r>
            <w:r>
              <w:rPr>
                <w:rFonts w:hint="eastAsia" w:cs="Times New Roman"/>
                <w:color w:val="000000"/>
                <w:kern w:val="0"/>
                <w:sz w:val="24"/>
                <w:lang w:val="en-US" w:eastAsia="zh-CN" w:bidi="ar"/>
              </w:rPr>
              <w:t>2</w:t>
            </w:r>
            <w:r>
              <w:rPr>
                <w:rFonts w:hint="default" w:ascii="Times New Roman" w:hAnsi="Times New Roman" w:cs="Times New Roman"/>
                <w:color w:val="000000"/>
                <w:kern w:val="0"/>
                <w:sz w:val="24"/>
                <w:lang w:bidi="ar"/>
              </w:rPr>
              <w:t>。</w:t>
            </w:r>
          </w:p>
          <w:p w14:paraId="0F164543">
            <w:pPr>
              <w:pStyle w:val="56"/>
              <w:bidi w:val="0"/>
              <w:rPr>
                <w:rFonts w:hint="default" w:ascii="Times New Roman" w:hAnsi="Times New Roman" w:cs="Times New Roman"/>
                <w:color w:val="000000"/>
                <w:highlight w:val="yellow"/>
              </w:rPr>
            </w:pPr>
            <w:r>
              <w:rPr>
                <w:rFonts w:hint="default" w:ascii="Times New Roman" w:hAnsi="Times New Roman" w:cs="Times New Roman"/>
                <w:color w:val="000000"/>
                <w:highlight w:val="none"/>
              </w:rPr>
              <w:t>表4.</w:t>
            </w:r>
            <w:r>
              <w:rPr>
                <w:rFonts w:hint="default" w:ascii="Times New Roman" w:hAnsi="Times New Roman" w:cs="Times New Roman"/>
                <w:color w:val="000000"/>
                <w:highlight w:val="none"/>
                <w:lang w:val="en-US" w:eastAsia="zh-CN"/>
              </w:rPr>
              <w:t>2</w:t>
            </w:r>
            <w:r>
              <w:rPr>
                <w:rFonts w:hint="default" w:ascii="Times New Roman" w:hAnsi="Times New Roman" w:cs="Times New Roman"/>
                <w:color w:val="000000"/>
                <w:highlight w:val="none"/>
              </w:rPr>
              <w:t>-</w:t>
            </w:r>
            <w:r>
              <w:rPr>
                <w:rFonts w:hint="eastAsia" w:cs="Times New Roman"/>
                <w:color w:val="000000"/>
                <w:highlight w:val="none"/>
                <w:lang w:val="en-US" w:eastAsia="zh-CN"/>
              </w:rPr>
              <w:t>2</w:t>
            </w:r>
            <w:r>
              <w:rPr>
                <w:rFonts w:hint="default" w:ascii="Times New Roman" w:hAnsi="Times New Roman" w:cs="Times New Roman"/>
                <w:color w:val="000000"/>
                <w:highlight w:val="none"/>
              </w:rPr>
              <w:t xml:space="preserve">  </w:t>
            </w:r>
            <w:r>
              <w:rPr>
                <w:rFonts w:hint="default" w:ascii="Times New Roman" w:hAnsi="Times New Roman" w:cs="Times New Roman"/>
                <w:color w:val="000000"/>
                <w:highlight w:val="none"/>
                <w:lang w:val="en-US" w:eastAsia="zh-CN"/>
              </w:rPr>
              <w:t>项目废气污染物非正常排放核算表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102"/>
              <w:gridCol w:w="1077"/>
              <w:gridCol w:w="1231"/>
              <w:gridCol w:w="1076"/>
              <w:gridCol w:w="965"/>
              <w:gridCol w:w="965"/>
              <w:gridCol w:w="897"/>
            </w:tblGrid>
            <w:tr w14:paraId="047BE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noWrap w:val="0"/>
                  <w:vAlign w:val="center"/>
                </w:tcPr>
                <w:p w14:paraId="3F32BFAD">
                  <w:pPr>
                    <w:pStyle w:val="47"/>
                    <w:bidi w:val="0"/>
                    <w:rPr>
                      <w:rFonts w:hint="default" w:ascii="Times New Roman" w:hAnsi="Times New Roman" w:cs="Times New Roman"/>
                      <w:color w:val="000000"/>
                    </w:rPr>
                  </w:pPr>
                  <w:r>
                    <w:rPr>
                      <w:rFonts w:hint="default" w:ascii="Times New Roman" w:hAnsi="Times New Roman" w:cs="Times New Roman"/>
                      <w:color w:val="000000"/>
                    </w:rPr>
                    <w:t>污染源</w:t>
                  </w:r>
                </w:p>
              </w:tc>
              <w:tc>
                <w:tcPr>
                  <w:tcW w:w="666" w:type="pct"/>
                  <w:noWrap w:val="0"/>
                  <w:vAlign w:val="center"/>
                </w:tcPr>
                <w:p w14:paraId="200001D8">
                  <w:pPr>
                    <w:pStyle w:val="47"/>
                    <w:bidi w:val="0"/>
                    <w:rPr>
                      <w:rFonts w:hint="default" w:ascii="Times New Roman" w:hAnsi="Times New Roman" w:cs="Times New Roman"/>
                      <w:color w:val="000000"/>
                    </w:rPr>
                  </w:pPr>
                  <w:r>
                    <w:rPr>
                      <w:rFonts w:hint="default" w:ascii="Times New Roman" w:hAnsi="Times New Roman" w:cs="Times New Roman"/>
                      <w:color w:val="000000"/>
                    </w:rPr>
                    <w:t>非正常排放原因</w:t>
                  </w:r>
                </w:p>
              </w:tc>
              <w:tc>
                <w:tcPr>
                  <w:tcW w:w="651" w:type="pct"/>
                  <w:noWrap w:val="0"/>
                  <w:vAlign w:val="center"/>
                </w:tcPr>
                <w:p w14:paraId="10ABCBA8">
                  <w:pPr>
                    <w:pStyle w:val="47"/>
                    <w:bidi w:val="0"/>
                    <w:rPr>
                      <w:rFonts w:hint="default" w:ascii="Times New Roman" w:hAnsi="Times New Roman" w:cs="Times New Roman"/>
                      <w:color w:val="000000"/>
                    </w:rPr>
                  </w:pPr>
                  <w:r>
                    <w:rPr>
                      <w:rFonts w:hint="default" w:ascii="Times New Roman" w:hAnsi="Times New Roman" w:cs="Times New Roman"/>
                      <w:color w:val="000000"/>
                    </w:rPr>
                    <w:t>污染物</w:t>
                  </w:r>
                </w:p>
              </w:tc>
              <w:tc>
                <w:tcPr>
                  <w:tcW w:w="744" w:type="pct"/>
                  <w:noWrap w:val="0"/>
                  <w:vAlign w:val="center"/>
                </w:tcPr>
                <w:p w14:paraId="777FFB5F">
                  <w:pPr>
                    <w:pStyle w:val="47"/>
                    <w:bidi w:val="0"/>
                    <w:rPr>
                      <w:rFonts w:hint="default" w:ascii="Times New Roman" w:hAnsi="Times New Roman" w:cs="Times New Roman"/>
                      <w:color w:val="000000"/>
                    </w:rPr>
                  </w:pPr>
                  <w:r>
                    <w:rPr>
                      <w:rFonts w:hint="default" w:ascii="Times New Roman" w:hAnsi="Times New Roman" w:cs="Times New Roman"/>
                      <w:color w:val="000000"/>
                    </w:rPr>
                    <w:t>非正常排放浓度/(mg/m</w:t>
                  </w:r>
                  <w:r>
                    <w:rPr>
                      <w:rFonts w:hint="default" w:ascii="Times New Roman" w:hAnsi="Times New Roman" w:cs="Times New Roman"/>
                      <w:color w:val="000000"/>
                      <w:vertAlign w:val="superscript"/>
                    </w:rPr>
                    <w:t>3</w:t>
                  </w:r>
                  <w:r>
                    <w:rPr>
                      <w:rFonts w:hint="default" w:ascii="Times New Roman" w:hAnsi="Times New Roman" w:cs="Times New Roman"/>
                      <w:color w:val="000000"/>
                    </w:rPr>
                    <w:t>)</w:t>
                  </w:r>
                </w:p>
              </w:tc>
              <w:tc>
                <w:tcPr>
                  <w:tcW w:w="650" w:type="pct"/>
                  <w:noWrap w:val="0"/>
                  <w:vAlign w:val="center"/>
                </w:tcPr>
                <w:p w14:paraId="7CE218DB">
                  <w:pPr>
                    <w:pStyle w:val="47"/>
                    <w:bidi w:val="0"/>
                    <w:rPr>
                      <w:rFonts w:hint="default" w:ascii="Times New Roman" w:hAnsi="Times New Roman" w:cs="Times New Roman"/>
                      <w:color w:val="000000"/>
                    </w:rPr>
                  </w:pPr>
                  <w:r>
                    <w:rPr>
                      <w:rFonts w:hint="default" w:ascii="Times New Roman" w:hAnsi="Times New Roman" w:cs="Times New Roman"/>
                      <w:color w:val="000000"/>
                    </w:rPr>
                    <w:t>非正常排放速率/(kg/h)</w:t>
                  </w:r>
                </w:p>
              </w:tc>
              <w:tc>
                <w:tcPr>
                  <w:tcW w:w="583" w:type="pct"/>
                  <w:noWrap w:val="0"/>
                  <w:vAlign w:val="center"/>
                </w:tcPr>
                <w:p w14:paraId="69CBD9DD">
                  <w:pPr>
                    <w:pStyle w:val="47"/>
                    <w:bidi w:val="0"/>
                    <w:rPr>
                      <w:rFonts w:hint="default" w:ascii="Times New Roman" w:hAnsi="Times New Roman" w:cs="Times New Roman"/>
                      <w:color w:val="000000"/>
                    </w:rPr>
                  </w:pPr>
                  <w:r>
                    <w:rPr>
                      <w:rFonts w:hint="default" w:ascii="Times New Roman" w:hAnsi="Times New Roman" w:cs="Times New Roman"/>
                      <w:color w:val="000000"/>
                    </w:rPr>
                    <w:t>单次持续时间/h</w:t>
                  </w:r>
                </w:p>
              </w:tc>
              <w:tc>
                <w:tcPr>
                  <w:tcW w:w="583" w:type="pct"/>
                  <w:noWrap w:val="0"/>
                  <w:vAlign w:val="center"/>
                </w:tcPr>
                <w:p w14:paraId="335C6984">
                  <w:pPr>
                    <w:pStyle w:val="47"/>
                    <w:bidi w:val="0"/>
                    <w:rPr>
                      <w:rFonts w:hint="default" w:ascii="Times New Roman" w:hAnsi="Times New Roman" w:cs="Times New Roman"/>
                      <w:color w:val="000000"/>
                    </w:rPr>
                  </w:pPr>
                  <w:r>
                    <w:rPr>
                      <w:rFonts w:hint="default" w:ascii="Times New Roman" w:hAnsi="Times New Roman" w:cs="Times New Roman"/>
                      <w:color w:val="000000"/>
                    </w:rPr>
                    <w:t>排放量kg</w:t>
                  </w:r>
                </w:p>
              </w:tc>
              <w:tc>
                <w:tcPr>
                  <w:tcW w:w="542" w:type="pct"/>
                  <w:noWrap w:val="0"/>
                  <w:vAlign w:val="center"/>
                </w:tcPr>
                <w:p w14:paraId="6FC19C8C">
                  <w:pPr>
                    <w:pStyle w:val="47"/>
                    <w:bidi w:val="0"/>
                    <w:rPr>
                      <w:rFonts w:hint="default" w:ascii="Times New Roman" w:hAnsi="Times New Roman" w:eastAsia="宋体" w:cs="Times New Roman"/>
                      <w:color w:val="000000"/>
                      <w:lang w:val="en-US" w:eastAsia="zh-CN"/>
                    </w:rPr>
                  </w:pPr>
                  <w:r>
                    <w:rPr>
                      <w:rFonts w:hint="default" w:ascii="Times New Roman" w:hAnsi="Times New Roman" w:cs="Times New Roman"/>
                      <w:color w:val="000000"/>
                    </w:rPr>
                    <w:t>年发生频次</w:t>
                  </w:r>
                  <w:r>
                    <w:rPr>
                      <w:rFonts w:hint="eastAsia" w:cs="Times New Roman"/>
                      <w:color w:val="000000"/>
                      <w:lang w:val="en-US" w:eastAsia="zh-CN"/>
                    </w:rPr>
                    <w:t>/次</w:t>
                  </w:r>
                </w:p>
              </w:tc>
            </w:tr>
            <w:tr w14:paraId="65204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vMerge w:val="restart"/>
                  <w:noWrap w:val="0"/>
                  <w:vAlign w:val="center"/>
                </w:tcPr>
                <w:p w14:paraId="4832DE93">
                  <w:pPr>
                    <w:pStyle w:val="47"/>
                    <w:bidi w:val="0"/>
                    <w:rPr>
                      <w:rFonts w:hint="default" w:ascii="Times New Roman" w:hAnsi="Times New Roman" w:cs="Times New Roman"/>
                      <w:color w:val="000000"/>
                      <w:lang w:val="en-US"/>
                    </w:rPr>
                  </w:pPr>
                  <w:r>
                    <w:rPr>
                      <w:rFonts w:hint="default" w:ascii="Times New Roman" w:hAnsi="Times New Roman" w:cs="Times New Roman"/>
                      <w:color w:val="000000"/>
                      <w:lang w:val="en-US" w:eastAsia="zh-CN"/>
                    </w:rPr>
                    <w:t>DA001</w:t>
                  </w:r>
                </w:p>
              </w:tc>
              <w:tc>
                <w:tcPr>
                  <w:tcW w:w="666" w:type="pct"/>
                  <w:vMerge w:val="restart"/>
                  <w:noWrap w:val="0"/>
                  <w:vAlign w:val="center"/>
                </w:tcPr>
                <w:p w14:paraId="590D9EDF">
                  <w:pPr>
                    <w:pStyle w:val="47"/>
                    <w:bidi w:val="0"/>
                    <w:rPr>
                      <w:rFonts w:hint="default" w:ascii="Times New Roman" w:hAnsi="Times New Roman" w:cs="Times New Roman"/>
                      <w:color w:val="000000"/>
                      <w:lang w:eastAsia="zh-CN"/>
                    </w:rPr>
                  </w:pPr>
                  <w:r>
                    <w:rPr>
                      <w:rFonts w:hint="eastAsia" w:cs="Times New Roman"/>
                      <w:color w:val="000000"/>
                      <w:lang w:val="en-US" w:eastAsia="zh-CN"/>
                    </w:rPr>
                    <w:t>废气治理设施故障</w:t>
                  </w:r>
                </w:p>
              </w:tc>
              <w:tc>
                <w:tcPr>
                  <w:tcW w:w="651" w:type="pct"/>
                  <w:noWrap w:val="0"/>
                  <w:vAlign w:val="center"/>
                </w:tcPr>
                <w:p w14:paraId="767A269A">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颗粒物</w:t>
                  </w:r>
                </w:p>
              </w:tc>
              <w:tc>
                <w:tcPr>
                  <w:tcW w:w="1231" w:type="dxa"/>
                  <w:noWrap w:val="0"/>
                  <w:vAlign w:val="center"/>
                </w:tcPr>
                <w:p w14:paraId="78D8D23F">
                  <w:pPr>
                    <w:keepNext w:val="0"/>
                    <w:keepLines w:val="0"/>
                    <w:widowControl/>
                    <w:suppressLineNumbers w:val="0"/>
                    <w:jc w:val="center"/>
                    <w:textAlignment w:val="center"/>
                    <w:rPr>
                      <w:rFonts w:hint="default" w:ascii="Times New Roman" w:hAnsi="Times New Roman" w:cs="Times New Roman"/>
                      <w:color w:val="000000"/>
                    </w:rPr>
                  </w:pPr>
                  <w:r>
                    <w:rPr>
                      <w:rFonts w:hint="eastAsia" w:cs="Times New Roman"/>
                      <w:i w:val="0"/>
                      <w:iCs w:val="0"/>
                      <w:color w:val="000000"/>
                      <w:kern w:val="0"/>
                      <w:sz w:val="21"/>
                      <w:szCs w:val="21"/>
                      <w:u w:val="none"/>
                      <w:lang w:val="en-US" w:eastAsia="zh-CN" w:bidi="ar"/>
                    </w:rPr>
                    <w:t>17.26</w:t>
                  </w:r>
                </w:p>
              </w:tc>
              <w:tc>
                <w:tcPr>
                  <w:tcW w:w="1076" w:type="dxa"/>
                  <w:noWrap w:val="0"/>
                  <w:vAlign w:val="center"/>
                </w:tcPr>
                <w:p w14:paraId="74639E29">
                  <w:pPr>
                    <w:keepNext w:val="0"/>
                    <w:keepLines w:val="0"/>
                    <w:widowControl/>
                    <w:suppressLineNumbers w:val="0"/>
                    <w:jc w:val="center"/>
                    <w:textAlignment w:val="center"/>
                    <w:rPr>
                      <w:rFonts w:hint="default" w:ascii="Times New Roman" w:hAnsi="Times New Roman" w:cs="Times New Roman"/>
                      <w:color w:val="000000"/>
                      <w:lang w:val="en-US"/>
                    </w:rPr>
                  </w:pPr>
                  <w:r>
                    <w:rPr>
                      <w:rFonts w:hint="eastAsia" w:cs="Times New Roman"/>
                      <w:i w:val="0"/>
                      <w:iCs w:val="0"/>
                      <w:color w:val="000000"/>
                      <w:kern w:val="0"/>
                      <w:sz w:val="21"/>
                      <w:szCs w:val="21"/>
                      <w:u w:val="none"/>
                      <w:lang w:val="en-US" w:eastAsia="zh-CN" w:bidi="ar"/>
                    </w:rPr>
                    <w:t>0.604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83" w:type="pct"/>
                  <w:noWrap w:val="0"/>
                  <w:vAlign w:val="center"/>
                </w:tcPr>
                <w:p w14:paraId="09E37DA9">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1</w:t>
                  </w:r>
                </w:p>
              </w:tc>
              <w:tc>
                <w:tcPr>
                  <w:tcW w:w="965" w:type="dxa"/>
                  <w:noWrap w:val="0"/>
                  <w:vAlign w:val="center"/>
                </w:tcPr>
                <w:p w14:paraId="0F95C9C7">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cs="Times New Roman"/>
                      <w:i w:val="0"/>
                      <w:iCs w:val="0"/>
                      <w:color w:val="000000"/>
                      <w:kern w:val="0"/>
                      <w:sz w:val="21"/>
                      <w:szCs w:val="21"/>
                      <w:u w:val="none"/>
                      <w:lang w:val="en-US" w:eastAsia="zh-CN" w:bidi="ar"/>
                    </w:rPr>
                    <w:t>0.604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42" w:type="pct"/>
                  <w:noWrap w:val="0"/>
                  <w:vAlign w:val="center"/>
                </w:tcPr>
                <w:p w14:paraId="000158A1">
                  <w:pPr>
                    <w:pStyle w:val="47"/>
                    <w:bidi w:val="0"/>
                    <w:rPr>
                      <w:rFonts w:hint="eastAsia" w:ascii="Times New Roman" w:hAnsi="Times New Roman" w:eastAsia="宋体" w:cs="Times New Roman"/>
                      <w:color w:val="000000"/>
                      <w:lang w:val="en-US" w:eastAsia="zh-CN"/>
                    </w:rPr>
                  </w:pPr>
                  <w:r>
                    <w:rPr>
                      <w:rFonts w:hint="eastAsia" w:cs="Times New Roman"/>
                      <w:color w:val="000000"/>
                      <w:lang w:val="en-US" w:eastAsia="zh-CN"/>
                    </w:rPr>
                    <w:t>1</w:t>
                  </w:r>
                </w:p>
              </w:tc>
            </w:tr>
            <w:tr w14:paraId="746B6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pct"/>
                  <w:vMerge w:val="continue"/>
                  <w:noWrap w:val="0"/>
                  <w:vAlign w:val="center"/>
                </w:tcPr>
                <w:p w14:paraId="1B7D7C33">
                  <w:pPr>
                    <w:pStyle w:val="47"/>
                    <w:bidi w:val="0"/>
                    <w:rPr>
                      <w:rFonts w:hint="default" w:ascii="Times New Roman" w:hAnsi="Times New Roman" w:cs="Times New Roman"/>
                      <w:color w:val="000000"/>
                      <w:lang w:val="en-US" w:eastAsia="zh-CN"/>
                    </w:rPr>
                  </w:pPr>
                </w:p>
              </w:tc>
              <w:tc>
                <w:tcPr>
                  <w:tcW w:w="666" w:type="pct"/>
                  <w:vMerge w:val="continue"/>
                  <w:noWrap w:val="0"/>
                  <w:vAlign w:val="center"/>
                </w:tcPr>
                <w:p w14:paraId="6AC85461">
                  <w:pPr>
                    <w:pStyle w:val="47"/>
                    <w:bidi w:val="0"/>
                    <w:rPr>
                      <w:rFonts w:hint="eastAsia" w:cs="Times New Roman"/>
                      <w:color w:val="000000"/>
                      <w:lang w:val="en-US" w:eastAsia="zh-CN"/>
                    </w:rPr>
                  </w:pPr>
                </w:p>
              </w:tc>
              <w:tc>
                <w:tcPr>
                  <w:tcW w:w="651" w:type="pct"/>
                  <w:noWrap w:val="0"/>
                  <w:vAlign w:val="center"/>
                </w:tcPr>
                <w:p w14:paraId="1783C602">
                  <w:pPr>
                    <w:pStyle w:val="47"/>
                    <w:bidi w:val="0"/>
                    <w:ind w:left="0" w:leftChars="0" w:firstLine="0" w:firstLineChars="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NMHC</w:t>
                  </w:r>
                </w:p>
              </w:tc>
              <w:tc>
                <w:tcPr>
                  <w:tcW w:w="1231" w:type="dxa"/>
                  <w:noWrap w:val="0"/>
                  <w:vAlign w:val="center"/>
                </w:tcPr>
                <w:p w14:paraId="0BAFA24E">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cs="Times New Roman"/>
                      <w:color w:val="000000"/>
                      <w:sz w:val="21"/>
                      <w:szCs w:val="21"/>
                      <w:lang w:val="en-US" w:eastAsia="zh-CN"/>
                    </w:rPr>
                    <w:t>5.43</w:t>
                  </w:r>
                </w:p>
              </w:tc>
              <w:tc>
                <w:tcPr>
                  <w:tcW w:w="1076" w:type="dxa"/>
                  <w:noWrap w:val="0"/>
                  <w:vAlign w:val="center"/>
                </w:tcPr>
                <w:p w14:paraId="3BE4EAE0">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cs="Times New Roman"/>
                      <w:i w:val="0"/>
                      <w:iCs w:val="0"/>
                      <w:color w:val="000000"/>
                      <w:kern w:val="0"/>
                      <w:sz w:val="21"/>
                      <w:szCs w:val="21"/>
                      <w:u w:val="none"/>
                      <w:lang w:val="en-US" w:eastAsia="zh-CN" w:bidi="ar"/>
                    </w:rPr>
                    <w:t>0.19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83" w:type="pct"/>
                  <w:noWrap w:val="0"/>
                  <w:vAlign w:val="center"/>
                </w:tcPr>
                <w:p w14:paraId="5E7DB9AA">
                  <w:pPr>
                    <w:pStyle w:val="47"/>
                    <w:bidi w:val="0"/>
                    <w:ind w:left="0" w:leftChars="0" w:firstLine="0" w:firstLineChars="0"/>
                    <w:rPr>
                      <w:rFonts w:hint="default" w:ascii="Times New Roman" w:hAnsi="Times New Roman" w:cs="Times New Roman"/>
                      <w:color w:val="000000"/>
                      <w:lang w:val="en-US" w:eastAsia="zh-CN"/>
                    </w:rPr>
                  </w:pPr>
                  <w:r>
                    <w:rPr>
                      <w:rFonts w:hint="eastAsia" w:cs="Times New Roman"/>
                      <w:color w:val="000000"/>
                      <w:lang w:val="en-US" w:eastAsia="zh-CN"/>
                    </w:rPr>
                    <w:t>1</w:t>
                  </w:r>
                </w:p>
              </w:tc>
              <w:tc>
                <w:tcPr>
                  <w:tcW w:w="965" w:type="dxa"/>
                  <w:noWrap w:val="0"/>
                  <w:vAlign w:val="center"/>
                </w:tcPr>
                <w:p w14:paraId="00F1AA99">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cs="Times New Roman"/>
                      <w:i w:val="0"/>
                      <w:iCs w:val="0"/>
                      <w:color w:val="000000"/>
                      <w:kern w:val="0"/>
                      <w:sz w:val="21"/>
                      <w:szCs w:val="21"/>
                      <w:u w:val="none"/>
                      <w:lang w:val="en-US" w:eastAsia="zh-CN" w:bidi="ar"/>
                    </w:rPr>
                    <w:t>0.19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42" w:type="pct"/>
                  <w:noWrap w:val="0"/>
                  <w:vAlign w:val="center"/>
                </w:tcPr>
                <w:p w14:paraId="2BC09836">
                  <w:pPr>
                    <w:pStyle w:val="47"/>
                    <w:bidi w:val="0"/>
                    <w:ind w:left="0" w:leftChars="0" w:firstLine="0" w:firstLineChars="0"/>
                    <w:rPr>
                      <w:rFonts w:hint="default" w:ascii="Times New Roman" w:hAnsi="Times New Roman" w:cs="Times New Roman"/>
                      <w:color w:val="000000"/>
                    </w:rPr>
                  </w:pPr>
                  <w:r>
                    <w:rPr>
                      <w:rFonts w:hint="default" w:ascii="Times New Roman" w:hAnsi="Times New Roman" w:cs="Times New Roman"/>
                      <w:color w:val="000000"/>
                    </w:rPr>
                    <w:t>1</w:t>
                  </w:r>
                </w:p>
              </w:tc>
            </w:tr>
          </w:tbl>
          <w:p w14:paraId="5D6E4ECF">
            <w:pPr>
              <w:pStyle w:val="4"/>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4.2.</w:t>
            </w:r>
            <w:r>
              <w:rPr>
                <w:rFonts w:hint="eastAsia" w:cs="Times New Roman"/>
                <w:color w:val="000000"/>
                <w:lang w:val="en-US" w:eastAsia="zh-CN"/>
              </w:rPr>
              <w:t>3</w:t>
            </w:r>
            <w:r>
              <w:rPr>
                <w:rFonts w:hint="default" w:ascii="Times New Roman" w:hAnsi="Times New Roman" w:cs="Times New Roman"/>
                <w:color w:val="000000"/>
                <w:lang w:val="en-US" w:eastAsia="zh-CN"/>
              </w:rPr>
              <w:t xml:space="preserve"> 运营期大气影响和污染防治措施可行性分析</w:t>
            </w:r>
          </w:p>
          <w:p w14:paraId="51C187CE">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（1）有组织废气污染防治可行性分析</w:t>
            </w:r>
          </w:p>
          <w:p w14:paraId="39364833">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①</w:t>
            </w:r>
            <w:r>
              <w:rPr>
                <w:rFonts w:hint="eastAsia" w:cs="Times New Roman"/>
                <w:color w:val="000000"/>
                <w:lang w:val="en-US" w:eastAsia="zh-CN"/>
              </w:rPr>
              <w:t>废气治理工艺</w:t>
            </w:r>
          </w:p>
          <w:p w14:paraId="17D991F3">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w:t>
            </w:r>
            <w:r>
              <w:rPr>
                <w:rFonts w:hint="eastAsia" w:cs="Times New Roman"/>
                <w:color w:val="000000"/>
                <w:lang w:val="en-US" w:eastAsia="zh-CN"/>
              </w:rPr>
              <w:t>调胶、喷胶、辊胶、烘干、热铆焊接产生</w:t>
            </w:r>
            <w:r>
              <w:rPr>
                <w:rFonts w:hint="default" w:ascii="Times New Roman" w:hAnsi="Times New Roman" w:cs="Times New Roman"/>
                <w:color w:val="000000"/>
                <w:lang w:val="en-US" w:eastAsia="zh-CN"/>
              </w:rPr>
              <w:t>非甲烷总烃经集气罩收集汇总后通过</w:t>
            </w:r>
            <w:r>
              <w:rPr>
                <w:rFonts w:hint="eastAsia" w:cs="Times New Roman"/>
                <w:color w:val="000000"/>
                <w:lang w:val="en-US" w:eastAsia="zh-CN"/>
              </w:rPr>
              <w:t>干式过滤器+二级活性炭吸附装置</w:t>
            </w:r>
            <w:r>
              <w:rPr>
                <w:rFonts w:hint="default" w:ascii="Times New Roman" w:hAnsi="Times New Roman" w:cs="Times New Roman"/>
                <w:color w:val="000000"/>
                <w:lang w:val="en-US" w:eastAsia="zh-CN"/>
              </w:rPr>
              <w:t>处理达标后高空排放</w:t>
            </w:r>
            <w:r>
              <w:rPr>
                <w:rFonts w:hint="eastAsia" w:cs="Times New Roman"/>
                <w:color w:val="000000"/>
                <w:lang w:val="en-US" w:eastAsia="zh-CN"/>
              </w:rPr>
              <w:t>(</w:t>
            </w:r>
            <w:r>
              <w:rPr>
                <w:rFonts w:hint="default" w:ascii="Times New Roman" w:hAnsi="Times New Roman" w:cs="Times New Roman"/>
                <w:color w:val="000000"/>
                <w:lang w:val="en-US" w:eastAsia="zh-CN"/>
              </w:rPr>
              <w:t>DA001</w:t>
            </w:r>
            <w:r>
              <w:rPr>
                <w:rFonts w:hint="eastAsia" w:cs="Times New Roman"/>
                <w:color w:val="000000"/>
                <w:lang w:val="en-US" w:eastAsia="zh-CN"/>
              </w:rPr>
              <w:t>，</w:t>
            </w:r>
            <w:r>
              <w:rPr>
                <w:rFonts w:hint="default" w:ascii="Times New Roman" w:hAnsi="Times New Roman" w:cs="Times New Roman"/>
                <w:color w:val="000000"/>
                <w:lang w:val="en-US" w:eastAsia="zh-CN"/>
              </w:rPr>
              <w:t>H=27m</w:t>
            </w:r>
            <w:r>
              <w:rPr>
                <w:rFonts w:hint="eastAsia" w:cs="Times New Roman"/>
                <w:color w:val="000000"/>
                <w:lang w:val="en-US" w:eastAsia="zh-CN"/>
              </w:rPr>
              <w:t>)</w:t>
            </w:r>
            <w:r>
              <w:rPr>
                <w:rFonts w:hint="default" w:ascii="Times New Roman" w:hAnsi="Times New Roman" w:cs="Times New Roman"/>
                <w:color w:val="000000"/>
                <w:lang w:val="en-US" w:eastAsia="zh-CN"/>
              </w:rPr>
              <w:t>。</w:t>
            </w:r>
          </w:p>
          <w:p w14:paraId="23C4C0B2">
            <w:pPr>
              <w:pStyle w:val="43"/>
              <w:bidi w:val="0"/>
              <w:rPr>
                <w:rFonts w:hint="eastAsia"/>
                <w:lang w:val="en-US" w:eastAsia="zh-CN"/>
              </w:rPr>
            </w:pPr>
            <w:r>
              <w:rPr>
                <w:rFonts w:hint="eastAsia"/>
                <w:lang w:val="en-US" w:eastAsia="zh-CN"/>
              </w:rPr>
              <w:t>②干式过滤器工艺原理</w:t>
            </w:r>
          </w:p>
          <w:p w14:paraId="1DDC54C4">
            <w:pPr>
              <w:pStyle w:val="43"/>
              <w:bidi w:val="0"/>
              <w:rPr>
                <w:rFonts w:hint="default"/>
                <w:lang w:val="en-US" w:eastAsia="zh-CN"/>
              </w:rPr>
            </w:pPr>
            <w:r>
              <w:rPr>
                <w:rFonts w:hint="default"/>
                <w:lang w:val="en-US" w:eastAsia="zh-CN"/>
              </w:rPr>
              <w:t>干式过滤器中一般会有三级过滤，初效、中效、高效三种空气过滤器，净化效率可以达到99%以上。干式过滤器使用的是惯性分离技术，通过过滤器的纤维改变颗粒物的惯性力方向，或者说是强制过喷气流多次改变方向流动，使得颗粒物可以被</w:t>
            </w:r>
            <w:r>
              <w:rPr>
                <w:rFonts w:hint="eastAsia"/>
                <w:lang w:val="en-US" w:eastAsia="zh-CN"/>
              </w:rPr>
              <w:t>黏附</w:t>
            </w:r>
            <w:r>
              <w:rPr>
                <w:rFonts w:hint="default"/>
                <w:lang w:val="en-US" w:eastAsia="zh-CN"/>
              </w:rPr>
              <w:t>在折流板壁上，从而达到过滤颗粒物的效果。不同性能的过滤器安装在干式过滤器中可以有效</w:t>
            </w:r>
            <w:r>
              <w:rPr>
                <w:rFonts w:hint="eastAsia"/>
                <w:lang w:val="en-US" w:eastAsia="zh-CN"/>
              </w:rPr>
              <w:t>地</w:t>
            </w:r>
            <w:r>
              <w:rPr>
                <w:rFonts w:hint="default"/>
                <w:lang w:val="en-US" w:eastAsia="zh-CN"/>
              </w:rPr>
              <w:t>去除废气中的粉尘和水雾，颗粒物和水雾会被滤料有效</w:t>
            </w:r>
            <w:r>
              <w:rPr>
                <w:rFonts w:hint="eastAsia"/>
                <w:lang w:val="en-US" w:eastAsia="zh-CN"/>
              </w:rPr>
              <w:t>地</w:t>
            </w:r>
            <w:r>
              <w:rPr>
                <w:rFonts w:hint="default"/>
                <w:lang w:val="en-US" w:eastAsia="zh-CN"/>
              </w:rPr>
              <w:t>截留下来，以保证送入风量的洁净。</w:t>
            </w:r>
          </w:p>
          <w:p w14:paraId="190D67F7">
            <w:pPr>
              <w:pStyle w:val="43"/>
              <w:bidi w:val="0"/>
              <w:rPr>
                <w:rFonts w:hint="default"/>
                <w:lang w:val="en-US" w:eastAsia="zh-CN"/>
              </w:rPr>
            </w:pPr>
            <w:r>
              <w:rPr>
                <w:rFonts w:hint="eastAsia"/>
                <w:lang w:val="en-US" w:eastAsia="zh-CN"/>
              </w:rPr>
              <w:t>③</w:t>
            </w:r>
            <w:r>
              <w:rPr>
                <w:rFonts w:hint="default"/>
                <w:lang w:val="en-US" w:eastAsia="zh-CN"/>
              </w:rPr>
              <w:t>活性炭吸附工艺原理</w:t>
            </w:r>
          </w:p>
          <w:p w14:paraId="7489609A">
            <w:pPr>
              <w:pStyle w:val="43"/>
              <w:bidi w:val="0"/>
              <w:rPr>
                <w:rFonts w:hint="default"/>
                <w:lang w:val="en-US" w:eastAsia="zh-CN"/>
              </w:rPr>
            </w:pPr>
            <w:r>
              <w:rPr>
                <w:rFonts w:hint="default"/>
                <w:lang w:val="en-US" w:eastAsia="zh-CN"/>
              </w:rPr>
              <w:t>活性炭，是一种具有多孔结构和大的内部比表面积的材料。由于其大的比表面积、微孔结构、高的吸附能力和很高的表面活性而成为独特的多功能吸附剂</w:t>
            </w:r>
            <w:r>
              <w:rPr>
                <w:rFonts w:hint="eastAsia"/>
                <w:lang w:val="en-US" w:eastAsia="zh-CN"/>
              </w:rPr>
              <w:t>且</w:t>
            </w:r>
            <w:r>
              <w:rPr>
                <w:rFonts w:hint="default"/>
                <w:lang w:val="en-US" w:eastAsia="zh-CN"/>
              </w:rPr>
              <w:t>其价廉易得，可再生活化，同时它可有效去除废水、废气中的大部分有机物和某些无机物，所以它被世界各国广泛地应用于污水及废气的处理、空气净化、回收溶剂等环境保护和资源回收等领域。</w:t>
            </w:r>
          </w:p>
          <w:p w14:paraId="6835EC95">
            <w:pPr>
              <w:pStyle w:val="43"/>
              <w:bidi w:val="0"/>
              <w:rPr>
                <w:rFonts w:hint="default"/>
                <w:lang w:val="en-US" w:eastAsia="zh-CN"/>
              </w:rPr>
            </w:pPr>
            <w:r>
              <w:rPr>
                <w:rFonts w:hint="default" w:ascii="Times New Roman" w:hAnsi="Times New Roman" w:cs="Times New Roman"/>
                <w:color w:val="000000" w:themeColor="text1"/>
                <w:sz w:val="24"/>
                <w:szCs w:val="24"/>
                <w:highlight w:val="none"/>
                <w14:textFill>
                  <w14:solidFill>
                    <w14:schemeClr w14:val="tx1"/>
                  </w14:solidFill>
                </w14:textFill>
              </w:rPr>
              <w:t>根据</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14:textFill>
                  <w14:solidFill>
                    <w14:schemeClr w14:val="tx1"/>
                  </w14:solidFill>
                </w14:textFill>
              </w:rPr>
              <w:instrText xml:space="preserve"> HYPERLINK "https://www.mee.gov.cn/ywgz/fgbz/bz/bzwb/other/hjbhgc/201304/W020130403524790033785.pdf" </w:instrText>
            </w:r>
            <w:r>
              <w:rPr>
                <w:rFonts w:hint="default" w:ascii="Times New Roman" w:hAnsi="Times New Roman"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吸附法工业有机废气治理工程技术规范</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(HJ 2026—2013)</w:t>
            </w:r>
            <w:r>
              <w:rPr>
                <w:rFonts w:hint="default" w:ascii="Times New Roman" w:hAnsi="Times New Roman" w:cs="Times New Roman"/>
                <w:color w:val="000000" w:themeColor="text1"/>
                <w:sz w:val="24"/>
                <w:szCs w:val="24"/>
                <w:highlight w:val="none"/>
                <w14:textFill>
                  <w14:solidFill>
                    <w14:schemeClr w14:val="tx1"/>
                  </w14:solidFill>
                </w14:textFill>
              </w:rPr>
              <w:fldChar w:fldCharType="end"/>
            </w:r>
            <w:r>
              <w:rPr>
                <w:rFonts w:hint="default" w:ascii="Times New Roman" w:hAnsi="Times New Roman" w:cs="Times New Roman"/>
                <w:color w:val="000000" w:themeColor="text1"/>
                <w:sz w:val="24"/>
                <w:szCs w:val="24"/>
                <w:highlight w:val="none"/>
                <w14:textFill>
                  <w14:solidFill>
                    <w14:schemeClr w14:val="tx1"/>
                  </w14:solidFill>
                </w14:textFill>
              </w:rPr>
              <w:t>要求，</w:t>
            </w:r>
            <w:r>
              <w:rPr>
                <w:rFonts w:hint="default" w:ascii="Times New Roman" w:hAnsi="Times New Roman" w:cs="Times New Roman"/>
                <w:color w:val="000000" w:themeColor="text1"/>
                <w:sz w:val="24"/>
                <w:szCs w:val="24"/>
                <w:highlight w:val="none"/>
                <w:lang w:eastAsia="zh-CN"/>
                <w14:textFill>
                  <w14:solidFill>
                    <w14:schemeClr w14:val="tx1"/>
                  </w14:solidFill>
                </w14:textFill>
              </w:rPr>
              <w:t>为保证废气与活性炭的接触时间和吸附效果，要求控制</w:t>
            </w:r>
            <w:r>
              <w:rPr>
                <w:rFonts w:hint="default" w:ascii="Times New Roman" w:hAnsi="Times New Roman" w:cs="Times New Roman"/>
                <w:color w:val="000000" w:themeColor="text1"/>
                <w:sz w:val="24"/>
                <w:szCs w:val="24"/>
                <w:highlight w:val="none"/>
                <w14:textFill>
                  <w14:solidFill>
                    <w14:schemeClr w14:val="tx1"/>
                  </w14:solidFill>
                </w14:textFill>
              </w:rPr>
              <w:t>吸附</w:t>
            </w:r>
            <w:r>
              <w:rPr>
                <w:rFonts w:hint="eastAsia" w:cs="Times New Roman"/>
                <w:color w:val="000000" w:themeColor="text1"/>
                <w:sz w:val="24"/>
                <w:szCs w:val="24"/>
                <w:highlight w:val="none"/>
                <w:lang w:eastAsia="zh-CN"/>
                <w14:textFill>
                  <w14:solidFill>
                    <w14:schemeClr w14:val="tx1"/>
                  </w14:solidFill>
                </w14:textFill>
              </w:rPr>
              <w:t>装</w:t>
            </w:r>
            <w:r>
              <w:rPr>
                <w:rFonts w:hint="default" w:ascii="Times New Roman" w:hAnsi="Times New Roman" w:cs="Times New Roman"/>
                <w:color w:val="000000" w:themeColor="text1"/>
                <w:sz w:val="24"/>
                <w:szCs w:val="24"/>
                <w:highlight w:val="none"/>
                <w14:textFill>
                  <w14:solidFill>
                    <w14:schemeClr w14:val="tx1"/>
                  </w14:solidFill>
                </w14:textFill>
              </w:rPr>
              <w:t>置吸附层的风速</w:t>
            </w:r>
            <w:r>
              <w:rPr>
                <w:rFonts w:hint="default" w:ascii="Times New Roman" w:hAnsi="Times New Roman" w:cs="Times New Roman"/>
                <w:color w:val="000000" w:themeColor="text1"/>
                <w:sz w:val="24"/>
                <w:szCs w:val="24"/>
                <w:highlight w:val="none"/>
                <w:lang w:eastAsia="zh-CN"/>
                <w14:textFill>
                  <w14:solidFill>
                    <w14:schemeClr w14:val="tx1"/>
                  </w14:solidFill>
                </w14:textFill>
              </w:rPr>
              <w:t>，一般取</w:t>
            </w: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10m</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s～0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15m</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s</w:t>
            </w:r>
            <w:r>
              <w:rPr>
                <w:rFonts w:hint="default" w:ascii="Times New Roman" w:hAnsi="Times New Roman" w:cs="Times New Roman"/>
                <w:color w:val="000000" w:themeColor="text1"/>
                <w:sz w:val="24"/>
                <w:szCs w:val="24"/>
                <w:highlight w:val="none"/>
                <w:lang w:eastAsia="zh-CN"/>
                <w14:textFill>
                  <w14:solidFill>
                    <w14:schemeClr w14:val="tx1"/>
                  </w14:solidFill>
                </w14:textFill>
              </w:rPr>
              <w:t>之间</w:t>
            </w:r>
            <w:r>
              <w:rPr>
                <w:rFonts w:hint="default" w:ascii="Times New Roman" w:hAnsi="Times New Roman" w:cs="Times New Roman"/>
                <w:color w:val="000000" w:themeColor="text1"/>
                <w:sz w:val="24"/>
                <w:szCs w:val="24"/>
                <w:highlight w:val="none"/>
                <w14:textFill>
                  <w14:solidFill>
                    <w14:schemeClr w14:val="tx1"/>
                  </w14:solidFill>
                </w14:textFill>
              </w:rPr>
              <w:t>；吸附剂和气体的接触时间宜</w:t>
            </w:r>
            <w:r>
              <w:rPr>
                <w:rFonts w:hint="default" w:ascii="Times New Roman" w:hAnsi="Times New Roman" w:cs="Times New Roman"/>
                <w:color w:val="000000" w:themeColor="text1"/>
                <w:sz w:val="24"/>
                <w:szCs w:val="24"/>
                <w:highlight w:val="none"/>
                <w:lang w:eastAsia="zh-CN"/>
                <w14:textFill>
                  <w14:solidFill>
                    <w14:schemeClr w14:val="tx1"/>
                  </w14:solidFill>
                </w14:textFill>
              </w:rPr>
              <w:t>按不低于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s</w:t>
            </w:r>
            <w:r>
              <w:rPr>
                <w:rFonts w:hint="default" w:ascii="Times New Roman" w:hAnsi="Times New Roman" w:cs="Times New Roman"/>
                <w:color w:val="000000" w:themeColor="text1"/>
                <w:sz w:val="24"/>
                <w:szCs w:val="24"/>
                <w:highlight w:val="none"/>
                <w:lang w:eastAsia="zh-CN"/>
                <w14:textFill>
                  <w14:solidFill>
                    <w14:schemeClr w14:val="tx1"/>
                  </w14:solidFill>
                </w14:textFill>
              </w:rPr>
              <w:t>计；同时确保项目</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活性炭吸附装置一次性装置量，定期更换</w:t>
            </w:r>
            <w:r>
              <w:rPr>
                <w:rFonts w:hint="eastAsia" w:cs="Times New Roman"/>
                <w:color w:val="000000" w:themeColor="text1"/>
                <w:sz w:val="24"/>
                <w:szCs w:val="24"/>
                <w:highlight w:val="none"/>
                <w:vertAlign w:val="baseline"/>
                <w:lang w:val="en-US" w:eastAsia="zh-CN"/>
                <w14:textFill>
                  <w14:solidFill>
                    <w14:schemeClr w14:val="tx1"/>
                  </w14:solidFill>
                </w14:textFill>
              </w:rPr>
              <w:t>活性炭。</w:t>
            </w:r>
            <w:r>
              <w:rPr>
                <w:rFonts w:hint="eastAsia"/>
                <w:lang w:val="en-US" w:eastAsia="zh-CN"/>
              </w:rPr>
              <w:t>项目采用蜂窝活性炭，碘吸附值≥800mg/g</w:t>
            </w:r>
            <w:r>
              <w:rPr>
                <w:rFonts w:hint="default"/>
                <w:lang w:val="en-US" w:eastAsia="zh-CN"/>
              </w:rPr>
              <w:t>。</w:t>
            </w:r>
          </w:p>
          <w:p w14:paraId="37DF10E6">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(2)</w:t>
            </w:r>
            <w:r>
              <w:t>无组织废气环境影响分析及污染防治措施</w:t>
            </w:r>
          </w:p>
          <w:p w14:paraId="56D4CCB1">
            <w:pPr>
              <w:pStyle w:val="40"/>
              <w:bidi w:val="0"/>
              <w:rPr>
                <w:rFonts w:hint="default" w:ascii="Times New Roman" w:hAnsi="Times New Roman" w:cs="Times New Roman"/>
                <w:color w:val="000000"/>
                <w:lang w:eastAsia="zh-CN"/>
              </w:rPr>
            </w:pPr>
            <w:r>
              <w:rPr>
                <w:rFonts w:hint="eastAsia" w:cs="Times New Roman"/>
                <w:color w:val="000000"/>
                <w:lang w:eastAsia="zh-CN"/>
              </w:rPr>
              <w:t>本评价对</w:t>
            </w:r>
            <w:r>
              <w:rPr>
                <w:rFonts w:hint="default" w:ascii="Times New Roman" w:hAnsi="Times New Roman" w:cs="Times New Roman"/>
                <w:color w:val="000000"/>
                <w:lang w:eastAsia="zh-CN"/>
              </w:rPr>
              <w:t>本项目无组织排放废气控制提出以下要求：</w:t>
            </w:r>
          </w:p>
          <w:p w14:paraId="3D986106">
            <w:pPr>
              <w:pStyle w:val="43"/>
              <w:numPr>
                <w:ilvl w:val="0"/>
                <w:numId w:val="0"/>
              </w:numPr>
              <w:bidi w:val="0"/>
              <w:ind w:firstLine="480" w:firstLineChars="200"/>
              <w:rPr>
                <w:rFonts w:hint="eastAsia" w:cs="Times New Roman"/>
                <w:color w:val="000000"/>
                <w:lang w:eastAsia="zh-CN"/>
              </w:rPr>
            </w:pPr>
            <w:r>
              <w:rPr>
                <w:rFonts w:hint="eastAsia" w:cs="Times New Roman"/>
                <w:color w:val="000000"/>
                <w:lang w:eastAsia="zh-CN"/>
              </w:rPr>
              <w:t>①</w:t>
            </w:r>
            <w:r>
              <w:t>盛装VOCs物料的容器或包装袋存放于室内。盛装VOCs物料的容器或包装袋在非取用状态时加盖、封口，保持密闭。转移VOCs物料时，采用密闭容器。</w:t>
            </w:r>
          </w:p>
          <w:p w14:paraId="08E96466">
            <w:pPr>
              <w:pStyle w:val="43"/>
              <w:numPr>
                <w:ilvl w:val="0"/>
                <w:numId w:val="0"/>
              </w:numPr>
              <w:bidi w:val="0"/>
              <w:ind w:firstLine="480" w:firstLineChars="200"/>
              <w:rPr>
                <w:rFonts w:hint="eastAsia" w:cs="Times New Roman"/>
                <w:color w:val="auto"/>
                <w:lang w:val="en-US" w:eastAsia="zh-CN"/>
              </w:rPr>
            </w:pPr>
            <w:r>
              <w:rPr>
                <w:rFonts w:hint="eastAsia" w:cs="Times New Roman"/>
                <w:color w:val="000000"/>
                <w:lang w:eastAsia="zh-CN"/>
              </w:rPr>
              <w:t>②</w:t>
            </w:r>
            <w:r>
              <w:rPr>
                <w:rFonts w:hint="eastAsia" w:cs="Times New Roman"/>
                <w:color w:val="auto"/>
                <w:lang w:val="en-US" w:eastAsia="zh-CN"/>
              </w:rPr>
              <w:t>项目安装的集气罩</w:t>
            </w:r>
            <w:r>
              <w:rPr>
                <w:rFonts w:hint="default" w:cs="Times New Roman"/>
                <w:color w:val="auto"/>
                <w:lang w:val="en-US" w:eastAsia="zh-CN"/>
              </w:rPr>
              <w:t>开放侧在不影响生产操作情况下可加装软帘，降低废气无组织排放</w:t>
            </w:r>
            <w:r>
              <w:rPr>
                <w:rFonts w:hint="eastAsia" w:cs="Times New Roman"/>
                <w:color w:val="auto"/>
                <w:lang w:val="en-US" w:eastAsia="zh-CN"/>
              </w:rPr>
              <w:t>。</w:t>
            </w:r>
          </w:p>
          <w:p w14:paraId="4E6713F0">
            <w:pPr>
              <w:pStyle w:val="40"/>
              <w:bidi w:val="0"/>
              <w:rPr>
                <w:rFonts w:hint="default" w:ascii="Times New Roman" w:hAnsi="Times New Roman" w:cs="Times New Roman"/>
                <w:color w:val="000000"/>
                <w:lang w:eastAsia="zh-CN"/>
              </w:rPr>
            </w:pPr>
            <w:r>
              <w:rPr>
                <w:rFonts w:hint="eastAsia" w:cs="Times New Roman"/>
                <w:color w:val="000000"/>
                <w:lang w:eastAsia="zh-CN"/>
              </w:rPr>
              <w:t>②</w:t>
            </w:r>
            <w:r>
              <w:rPr>
                <w:rFonts w:hint="default" w:ascii="Times New Roman" w:hAnsi="Times New Roman" w:cs="Times New Roman"/>
                <w:color w:val="000000"/>
                <w:lang w:eastAsia="zh-CN"/>
              </w:rPr>
              <w:t>优化生产周期</w:t>
            </w:r>
            <w:r>
              <w:rPr>
                <w:rFonts w:hint="eastAsia" w:cs="Times New Roman"/>
                <w:color w:val="000000"/>
                <w:lang w:eastAsia="zh-CN"/>
              </w:rPr>
              <w:t>，</w:t>
            </w:r>
            <w:r>
              <w:rPr>
                <w:rFonts w:hint="default" w:ascii="Times New Roman" w:hAnsi="Times New Roman" w:cs="Times New Roman"/>
                <w:color w:val="000000"/>
                <w:lang w:eastAsia="zh-CN"/>
              </w:rPr>
              <w:t>减少原辅料、产品等的转运次数和周转量。</w:t>
            </w:r>
          </w:p>
          <w:p w14:paraId="507B1CE3">
            <w:pPr>
              <w:pStyle w:val="40"/>
              <w:bidi w:val="0"/>
              <w:rPr>
                <w:rFonts w:hint="default" w:ascii="Times New Roman" w:hAnsi="Times New Roman" w:cs="Times New Roman"/>
                <w:color w:val="000000"/>
                <w:lang w:val="en-US" w:eastAsia="zh-CN"/>
              </w:rPr>
            </w:pPr>
            <w:r>
              <w:rPr>
                <w:rFonts w:hint="default" w:ascii="Times New Roman" w:hAnsi="Times New Roman" w:cs="Times New Roman"/>
                <w:color w:val="000000"/>
                <w:lang w:eastAsia="zh-CN"/>
              </w:rPr>
              <w:t>通过上述无组织排放控制措施后，项目的无组织排放的</w:t>
            </w:r>
            <w:r>
              <w:rPr>
                <w:rFonts w:hint="eastAsia" w:cs="Times New Roman"/>
                <w:color w:val="000000"/>
                <w:lang w:eastAsia="zh-CN"/>
              </w:rPr>
              <w:t>颗粒物、</w:t>
            </w:r>
            <w:r>
              <w:rPr>
                <w:rFonts w:hint="default" w:ascii="Times New Roman" w:hAnsi="Times New Roman" w:cs="Times New Roman"/>
                <w:color w:val="000000"/>
                <w:lang w:eastAsia="zh-CN"/>
              </w:rPr>
              <w:t>非甲烷总烃</w:t>
            </w:r>
            <w:r>
              <w:rPr>
                <w:rFonts w:hint="default" w:ascii="Times New Roman" w:hAnsi="Times New Roman" w:cs="Times New Roman"/>
                <w:color w:val="000000"/>
                <w:lang w:val="en-US" w:eastAsia="zh-CN"/>
              </w:rPr>
              <w:t>对外环境的影响较小。</w:t>
            </w:r>
          </w:p>
          <w:p w14:paraId="0132289A">
            <w:pPr>
              <w:spacing w:line="360" w:lineRule="auto"/>
              <w:ind w:firstLine="480" w:firstLineChars="200"/>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(3)运营期大气环境影响分析结论</w:t>
            </w:r>
          </w:p>
          <w:p w14:paraId="551FF929">
            <w:pPr>
              <w:pStyle w:val="43"/>
              <w:bidi w:val="0"/>
              <w:rPr>
                <w:rFonts w:hint="eastAsia"/>
                <w:lang w:val="en-US" w:eastAsia="zh-CN"/>
              </w:rPr>
            </w:pPr>
            <w:r>
              <w:rPr>
                <w:rFonts w:hint="eastAsia"/>
                <w:lang w:val="en-US" w:eastAsia="zh-CN"/>
              </w:rPr>
              <w:t>根据前文预测分析，</w:t>
            </w:r>
            <w:r>
              <w:rPr>
                <w:rFonts w:hint="default"/>
                <w:lang w:val="en-US" w:eastAsia="zh-CN"/>
              </w:rPr>
              <w:t>本项目</w:t>
            </w:r>
            <w:r>
              <w:rPr>
                <w:rFonts w:hint="eastAsia"/>
                <w:lang w:val="en-US" w:eastAsia="zh-CN"/>
              </w:rPr>
              <w:t>颗粒物、</w:t>
            </w:r>
            <w:r>
              <w:rPr>
                <w:rFonts w:hint="default"/>
                <w:lang w:val="en-US" w:eastAsia="zh-CN"/>
              </w:rPr>
              <w:t>非甲烷总烃经收集</w:t>
            </w:r>
            <w:r>
              <w:rPr>
                <w:rFonts w:hint="eastAsia"/>
                <w:lang w:val="en-US" w:eastAsia="zh-CN"/>
              </w:rPr>
              <w:t>治理</w:t>
            </w:r>
            <w:r>
              <w:rPr>
                <w:rFonts w:hint="default"/>
                <w:lang w:val="en-US" w:eastAsia="zh-CN"/>
              </w:rPr>
              <w:t>后通过“</w:t>
            </w:r>
            <w:r>
              <w:rPr>
                <w:rFonts w:hint="eastAsia"/>
                <w:lang w:val="en-US" w:eastAsia="zh-CN"/>
              </w:rPr>
              <w:t>干式过滤器+二级活性炭吸附装置处理后</w:t>
            </w:r>
            <w:r>
              <w:rPr>
                <w:rFonts w:hint="default"/>
                <w:lang w:val="en-US" w:eastAsia="zh-CN"/>
              </w:rPr>
              <w:t>引至27m高排气筒DA001排放，</w:t>
            </w:r>
            <w:r>
              <w:rPr>
                <w:rFonts w:hint="eastAsia"/>
                <w:lang w:val="en-US" w:eastAsia="zh-CN"/>
              </w:rPr>
              <w:t>颗粒物排放浓度为0.91mg/m³，非甲烷总烃排放浓度为1.14mg/m³，</w:t>
            </w:r>
            <w:r>
              <w:rPr>
                <w:rFonts w:hint="eastAsia"/>
                <w:lang w:eastAsia="zh-CN"/>
              </w:rPr>
              <w:t>有组织排放的</w:t>
            </w:r>
            <w:r>
              <w:rPr>
                <w:rFonts w:hint="default"/>
              </w:rPr>
              <w:t>颗粒物</w:t>
            </w:r>
            <w:r>
              <w:rPr>
                <w:rFonts w:hint="eastAsia"/>
                <w:lang w:eastAsia="zh-CN"/>
              </w:rPr>
              <w:t>满足</w:t>
            </w:r>
            <w:r>
              <w:rPr>
                <w:rFonts w:hint="default"/>
              </w:rPr>
              <w:t>《大气污染物综合排放标准》(GB16297-1996)中表2二级标准</w:t>
            </w:r>
            <w:r>
              <w:rPr>
                <w:rFonts w:hint="eastAsia"/>
                <w:lang w:eastAsia="zh-CN"/>
              </w:rPr>
              <w:t>，有组织排放的</w:t>
            </w:r>
            <w:r>
              <w:rPr>
                <w:rFonts w:hint="eastAsia"/>
                <w:lang w:val="en-US" w:eastAsia="zh-CN"/>
              </w:rPr>
              <w:t>非甲烷总烃满足《工业企业挥发性有机物排放标准》（DB35/1782-2018)表1其他行业标准，</w:t>
            </w:r>
            <w:r>
              <w:rPr>
                <w:rFonts w:hint="default" w:ascii="Times New Roman" w:hAnsi="Times New Roman" w:cs="Times New Roman"/>
                <w:color w:val="000000" w:themeColor="text1"/>
                <w:szCs w:val="24"/>
                <w:lang w:bidi="ar"/>
                <w14:textFill>
                  <w14:solidFill>
                    <w14:schemeClr w14:val="tx1"/>
                  </w14:solidFill>
                </w14:textFill>
              </w:rPr>
              <w:t>厂界无组织排放的</w:t>
            </w:r>
            <w:r>
              <w:rPr>
                <w:rFonts w:hint="default" w:ascii="Times New Roman" w:hAnsi="Times New Roman" w:eastAsia="宋体" w:cs="Times New Roman"/>
                <w:color w:val="000000" w:themeColor="text1"/>
                <w14:textFill>
                  <w14:solidFill>
                    <w14:schemeClr w14:val="tx1"/>
                  </w14:solidFill>
                </w14:textFill>
              </w:rPr>
              <w:t>颗粒物</w:t>
            </w:r>
            <w:r>
              <w:rPr>
                <w:rFonts w:hint="eastAsia" w:ascii="Times New Roman" w:hAnsi="Times New Roman" w:eastAsia="宋体" w:cs="Times New Roman"/>
                <w:color w:val="000000" w:themeColor="text1"/>
                <w:lang w:eastAsia="zh-CN"/>
                <w14:textFill>
                  <w14:solidFill>
                    <w14:schemeClr w14:val="tx1"/>
                  </w14:solidFill>
                </w14:textFill>
              </w:rPr>
              <w:t>满足</w:t>
            </w:r>
            <w:r>
              <w:rPr>
                <w:rFonts w:hint="default" w:ascii="Times New Roman" w:hAnsi="Times New Roman" w:eastAsia="宋体" w:cs="Times New Roman"/>
                <w:color w:val="000000" w:themeColor="text1"/>
                <w14:textFill>
                  <w14:solidFill>
                    <w14:schemeClr w14:val="tx1"/>
                  </w14:solidFill>
                </w14:textFill>
              </w:rPr>
              <w:t>《大气污染物综合排放标准》(GB16297-1996)中表2无组织排放监控浓度限值</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厂界无组织排放的</w:t>
            </w:r>
            <w:r>
              <w:rPr>
                <w:rFonts w:hint="eastAsia" w:cs="Times New Roman"/>
                <w:color w:val="000000" w:themeColor="text1"/>
                <w:lang w:eastAsia="zh-CN"/>
                <w14:textFill>
                  <w14:solidFill>
                    <w14:schemeClr w14:val="tx1"/>
                  </w14:solidFill>
                </w14:textFill>
              </w:rPr>
              <w:t>有机废气</w:t>
            </w:r>
            <w:r>
              <w:rPr>
                <w:rFonts w:hint="eastAsia" w:ascii="Times New Roman" w:hAnsi="Times New Roman" w:cs="Times New Roman"/>
                <w:color w:val="000000" w:themeColor="text1"/>
                <w:lang w:val="en-US" w:eastAsia="zh-CN"/>
                <w14:textFill>
                  <w14:solidFill>
                    <w14:schemeClr w14:val="tx1"/>
                  </w14:solidFill>
                </w14:textFill>
              </w:rPr>
              <w:t>满足</w:t>
            </w:r>
            <w:r>
              <w:rPr>
                <w:rFonts w:hint="eastAsia" w:cs="Times New Roman"/>
                <w:color w:val="000000" w:themeColor="text1"/>
                <w:lang w:val="en-US" w:eastAsia="zh-CN"/>
                <w14:textFill>
                  <w14:solidFill>
                    <w14:schemeClr w14:val="tx1"/>
                  </w14:solidFill>
                </w14:textFill>
              </w:rPr>
              <w:t>《工业企业挥发性有机物排放标准》（DB35/1782-2018)表3</w:t>
            </w:r>
            <w:r>
              <w:rPr>
                <w:rFonts w:hint="default" w:ascii="Times New Roman" w:hAnsi="Times New Roman" w:cs="Times New Roman"/>
                <w:color w:val="000000" w:themeColor="text1"/>
                <w:lang w:val="en-US" w:eastAsia="zh-CN"/>
                <w14:textFill>
                  <w14:solidFill>
                    <w14:schemeClr w14:val="tx1"/>
                  </w14:solidFill>
                </w14:textFill>
              </w:rPr>
              <w:t>标准</w:t>
            </w:r>
            <w:r>
              <w:rPr>
                <w:rFonts w:hint="eastAsia" w:ascii="Times New Roman" w:hAnsi="Times New Roman" w:cs="Times New Roman"/>
                <w:color w:val="000000" w:themeColor="text1"/>
                <w:lang w:val="en-US" w:eastAsia="zh-CN"/>
                <w14:textFill>
                  <w14:solidFill>
                    <w14:schemeClr w14:val="tx1"/>
                  </w14:solidFill>
                </w14:textFill>
              </w:rPr>
              <w:t>限值。</w:t>
            </w:r>
          </w:p>
          <w:p w14:paraId="13A45E16">
            <w:pPr>
              <w:pStyle w:val="43"/>
              <w:bidi w:val="0"/>
              <w:rPr>
                <w:rFonts w:hint="default" w:ascii="Times New Roman" w:hAnsi="Times New Roman" w:eastAsia="宋体" w:cs="Times New Roman"/>
                <w:b w:val="0"/>
                <w:bCs w:val="0"/>
                <w:color w:val="000000"/>
              </w:rPr>
            </w:pPr>
            <w:r>
              <w:rPr>
                <w:rFonts w:hint="eastAsia"/>
                <w:lang w:val="en-US" w:eastAsia="zh-CN"/>
              </w:rPr>
              <w:t>因此，项目采取的废气治理措施属于</w:t>
            </w:r>
            <w:r>
              <w:rPr>
                <w:rFonts w:hint="default"/>
                <w:lang w:val="en-US" w:eastAsia="zh-CN"/>
              </w:rPr>
              <w:t>可行技术。</w:t>
            </w:r>
          </w:p>
          <w:p w14:paraId="47931F63">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000000"/>
                <w:kern w:val="0"/>
                <w:sz w:val="24"/>
                <w:lang w:val="en-US" w:eastAsia="zh-CN"/>
              </w:rPr>
            </w:pPr>
          </w:p>
          <w:p w14:paraId="42DDB66D">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000000"/>
                <w:kern w:val="0"/>
                <w:sz w:val="24"/>
                <w:lang w:val="en-US" w:eastAsia="zh-CN"/>
              </w:rPr>
            </w:pPr>
            <w:r>
              <w:rPr>
                <w:rFonts w:hint="default" w:ascii="Times New Roman" w:hAnsi="Times New Roman" w:eastAsia="宋体" w:cs="Times New Roman"/>
                <w:b/>
                <w:color w:val="000000"/>
                <w:kern w:val="0"/>
                <w:sz w:val="24"/>
                <w:lang w:val="en-US" w:eastAsia="zh-CN"/>
              </w:rPr>
              <w:t>4.2.</w:t>
            </w:r>
            <w:r>
              <w:rPr>
                <w:rFonts w:hint="eastAsia" w:ascii="Times New Roman" w:hAnsi="Times New Roman" w:eastAsia="宋体" w:cs="Times New Roman"/>
                <w:b/>
                <w:color w:val="000000"/>
                <w:kern w:val="0"/>
                <w:sz w:val="24"/>
                <w:lang w:val="en-US" w:eastAsia="zh-CN"/>
              </w:rPr>
              <w:t>4</w:t>
            </w:r>
            <w:r>
              <w:rPr>
                <w:rFonts w:hint="default" w:ascii="Times New Roman" w:hAnsi="Times New Roman" w:eastAsia="宋体" w:cs="Times New Roman"/>
                <w:b/>
                <w:color w:val="000000"/>
                <w:kern w:val="0"/>
                <w:sz w:val="24"/>
                <w:lang w:val="en-US" w:eastAsia="zh-CN"/>
              </w:rPr>
              <w:t xml:space="preserve"> 大气环境影响与环境防护距离分析</w:t>
            </w:r>
          </w:p>
          <w:p w14:paraId="4E46C829">
            <w:pPr>
              <w:pStyle w:val="43"/>
              <w:bidi w:val="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根据《建设项目环境影响报告表编制技术指南(污染影响类)(试行)》(环办环评〔2020〕33号)要求可知，目前不对项目大气环境防护距离及卫生防护距离进行要求。根据环境影响评价网(生态环境部环境工程评估中心)关于《建设项目环境影响报告表》内容、格式及编制技术指南常见问题解答：“《建设项目环境影响评价技术导则 总纲》(HJ2.1-2016)未对卫生防护距离提出评价要求，建设项目环境影响报告表编制技术指南(以下简称技术指南)不作要求。对于判定为需要开展大气专项评价的建设项目，根据《环境影响评价技术导则 大气环境》(HJ2.2-2018)需要计算大气环境防护距离的，应按要求计算”。本项目不涉及大气专项评价，因此，本项目不设置大气环境防护距离。</w:t>
            </w:r>
          </w:p>
          <w:p w14:paraId="12B5F723">
            <w:pPr>
              <w:pStyle w:val="43"/>
              <w:bidi w:val="0"/>
              <w:rPr>
                <w:rFonts w:hint="default" w:ascii="Times New Roman" w:hAnsi="Times New Roman" w:eastAsia="宋体" w:cs="Times New Roman"/>
                <w:b w:val="0"/>
                <w:bCs w:val="0"/>
                <w:color w:val="000000"/>
              </w:rPr>
            </w:pPr>
            <w:r>
              <w:rPr>
                <w:rFonts w:hint="default" w:ascii="Times New Roman" w:hAnsi="Times New Roman" w:eastAsia="宋体" w:cs="Times New Roman"/>
                <w:color w:val="000000"/>
                <w:lang w:val="en-US" w:eastAsia="zh-CN"/>
              </w:rPr>
              <w:t>综上所述，在企业落实有效的废气收集、处理措施的前提下，本项目不设置大气环境防护距离及卫生防护距离。</w:t>
            </w:r>
          </w:p>
          <w:p w14:paraId="2B8EF1E9">
            <w:pPr>
              <w:pStyle w:val="4"/>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4.2.5 自行监测计划</w:t>
            </w:r>
          </w:p>
          <w:p w14:paraId="42664C4B">
            <w:pPr>
              <w:pStyle w:val="43"/>
              <w:bidi w:val="0"/>
              <w:rPr>
                <w:rFonts w:hint="default" w:ascii="Times New Roman" w:hAnsi="Times New Roman" w:cs="Times New Roman"/>
                <w:color w:val="000000"/>
              </w:rPr>
            </w:pPr>
            <w:r>
              <w:rPr>
                <w:rFonts w:hint="default" w:ascii="Times New Roman" w:hAnsi="Times New Roman" w:cs="Times New Roman"/>
                <w:color w:val="000000"/>
              </w:rPr>
              <w:t>对照《固定污染源排污许可分类管理名录(2019年版)》(生态环境部</w:t>
            </w:r>
            <w:r>
              <w:rPr>
                <w:rFonts w:hint="default" w:ascii="Times New Roman" w:hAnsi="Times New Roman" w:cs="Times New Roman"/>
                <w:color w:val="000000"/>
                <w:lang w:val="en-US" w:eastAsia="zh-CN"/>
              </w:rPr>
              <w:t xml:space="preserve"> </w:t>
            </w:r>
            <w:r>
              <w:rPr>
                <w:rFonts w:hint="default" w:ascii="Times New Roman" w:hAnsi="Times New Roman" w:cs="Times New Roman"/>
                <w:color w:val="000000"/>
              </w:rPr>
              <w:t>第11号)，</w:t>
            </w:r>
            <w:r>
              <w:rPr>
                <w:rFonts w:hint="default" w:ascii="Times New Roman" w:hAnsi="Times New Roman" w:cs="Times New Roman"/>
                <w:color w:val="000000"/>
                <w:lang w:eastAsia="zh-CN"/>
              </w:rPr>
              <w:t>本项目</w:t>
            </w:r>
            <w:r>
              <w:rPr>
                <w:rFonts w:hint="default" w:ascii="Times New Roman" w:hAnsi="Times New Roman" w:cs="Times New Roman"/>
                <w:color w:val="000000"/>
              </w:rPr>
              <w:t>实行排污许可</w:t>
            </w:r>
            <w:r>
              <w:rPr>
                <w:rFonts w:hint="default" w:ascii="Times New Roman" w:hAnsi="Times New Roman" w:cs="Times New Roman"/>
                <w:color w:val="000000"/>
                <w:lang w:eastAsia="zh-CN"/>
              </w:rPr>
              <w:t>登记</w:t>
            </w:r>
            <w:r>
              <w:rPr>
                <w:rFonts w:hint="default" w:ascii="Times New Roman" w:hAnsi="Times New Roman" w:cs="Times New Roman"/>
                <w:color w:val="000000"/>
              </w:rPr>
              <w:t>管理；本评价参照</w:t>
            </w:r>
            <w:r>
              <w:rPr>
                <w:rFonts w:hint="eastAsia" w:cs="Times New Roman"/>
                <w:color w:val="000000"/>
                <w:lang w:eastAsia="zh-CN"/>
              </w:rPr>
              <w:t>《排污许可证申请与核发技术规范 汽车制造业》(HJ 971-2018)</w:t>
            </w:r>
            <w:r>
              <w:rPr>
                <w:rFonts w:hint="default" w:ascii="Times New Roman" w:hAnsi="Times New Roman" w:cs="Times New Roman"/>
                <w:color w:val="000000"/>
              </w:rPr>
              <w:t>要求，提出项目运营期废气自行监测计划，具体详见表</w:t>
            </w:r>
            <w:r>
              <w:rPr>
                <w:rFonts w:hint="default" w:ascii="Times New Roman" w:hAnsi="Times New Roman" w:cs="Times New Roman"/>
                <w:color w:val="000000"/>
                <w:lang w:val="en-US" w:eastAsia="zh-CN"/>
              </w:rPr>
              <w:t>4.2-</w:t>
            </w:r>
            <w:r>
              <w:rPr>
                <w:rFonts w:hint="eastAsia" w:cs="Times New Roman"/>
                <w:color w:val="000000"/>
                <w:lang w:val="en-US" w:eastAsia="zh-CN"/>
              </w:rPr>
              <w:t>3</w:t>
            </w:r>
            <w:r>
              <w:rPr>
                <w:rFonts w:hint="default" w:ascii="Times New Roman" w:hAnsi="Times New Roman" w:cs="Times New Roman"/>
                <w:color w:val="000000"/>
              </w:rPr>
              <w:t>。</w:t>
            </w:r>
          </w:p>
          <w:p w14:paraId="64C27FEC">
            <w:pPr>
              <w:pStyle w:val="56"/>
              <w:bidi w:val="0"/>
              <w:rPr>
                <w:rFonts w:hint="default" w:ascii="Times New Roman" w:hAnsi="Times New Roman" w:cs="Times New Roman"/>
                <w:color w:val="000000"/>
              </w:rPr>
            </w:pPr>
            <w:r>
              <w:rPr>
                <w:rFonts w:hint="default" w:ascii="Times New Roman" w:hAnsi="Times New Roman" w:cs="Times New Roman"/>
                <w:color w:val="000000"/>
              </w:rPr>
              <w:t>表</w:t>
            </w:r>
            <w:r>
              <w:rPr>
                <w:rFonts w:hint="default" w:ascii="Times New Roman" w:hAnsi="Times New Roman" w:cs="Times New Roman"/>
                <w:color w:val="000000"/>
                <w:lang w:val="en-US" w:eastAsia="zh-CN"/>
              </w:rPr>
              <w:t>4.2-</w:t>
            </w:r>
            <w:r>
              <w:rPr>
                <w:rFonts w:hint="eastAsia" w:cs="Times New Roman"/>
                <w:color w:val="000000"/>
                <w:lang w:val="en-US" w:eastAsia="zh-CN"/>
              </w:rPr>
              <w:t>3</w:t>
            </w:r>
            <w:r>
              <w:rPr>
                <w:rFonts w:hint="default" w:ascii="Times New Roman" w:hAnsi="Times New Roman" w:cs="Times New Roman"/>
                <w:color w:val="000000"/>
              </w:rPr>
              <w:t xml:space="preserve">  项目废气自行监测计划</w:t>
            </w:r>
          </w:p>
          <w:tbl>
            <w:tblPr>
              <w:tblStyle w:val="26"/>
              <w:tblW w:w="499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3222"/>
              <w:gridCol w:w="2938"/>
              <w:gridCol w:w="1385"/>
            </w:tblGrid>
            <w:tr w14:paraId="3A889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14:paraId="33592E3F">
                  <w:pPr>
                    <w:pStyle w:val="47"/>
                    <w:bidi w:val="0"/>
                    <w:rPr>
                      <w:rFonts w:hint="default" w:ascii="Times New Roman" w:hAnsi="Times New Roman" w:cs="Times New Roman"/>
                      <w:color w:val="000000"/>
                    </w:rPr>
                  </w:pPr>
                  <w:r>
                    <w:rPr>
                      <w:rFonts w:hint="default" w:ascii="Times New Roman" w:hAnsi="Times New Roman" w:cs="Times New Roman"/>
                      <w:color w:val="000000"/>
                    </w:rPr>
                    <w:t>序号</w:t>
                  </w:r>
                </w:p>
              </w:tc>
              <w:tc>
                <w:tcPr>
                  <w:tcW w:w="1950" w:type="pct"/>
                  <w:noWrap w:val="0"/>
                  <w:vAlign w:val="center"/>
                </w:tcPr>
                <w:p w14:paraId="4645533B">
                  <w:pPr>
                    <w:pStyle w:val="47"/>
                    <w:bidi w:val="0"/>
                    <w:rPr>
                      <w:rFonts w:hint="default" w:ascii="Times New Roman" w:hAnsi="Times New Roman" w:cs="Times New Roman"/>
                      <w:color w:val="000000"/>
                    </w:rPr>
                  </w:pPr>
                  <w:r>
                    <w:rPr>
                      <w:rFonts w:hint="default" w:ascii="Times New Roman" w:hAnsi="Times New Roman" w:cs="Times New Roman"/>
                      <w:color w:val="000000"/>
                    </w:rPr>
                    <w:t>监测点位</w:t>
                  </w:r>
                </w:p>
              </w:tc>
              <w:tc>
                <w:tcPr>
                  <w:tcW w:w="1778" w:type="pct"/>
                  <w:noWrap w:val="0"/>
                  <w:vAlign w:val="center"/>
                </w:tcPr>
                <w:p w14:paraId="4F2B2E53">
                  <w:pPr>
                    <w:pStyle w:val="47"/>
                    <w:bidi w:val="0"/>
                    <w:rPr>
                      <w:rFonts w:hint="default" w:ascii="Times New Roman" w:hAnsi="Times New Roman" w:cs="Times New Roman"/>
                      <w:color w:val="000000"/>
                    </w:rPr>
                  </w:pPr>
                  <w:r>
                    <w:rPr>
                      <w:rFonts w:hint="default" w:ascii="Times New Roman" w:hAnsi="Times New Roman" w:cs="Times New Roman"/>
                      <w:color w:val="000000"/>
                    </w:rPr>
                    <w:t>监测因子</w:t>
                  </w:r>
                </w:p>
              </w:tc>
              <w:tc>
                <w:tcPr>
                  <w:tcW w:w="838" w:type="pct"/>
                  <w:noWrap w:val="0"/>
                  <w:vAlign w:val="center"/>
                </w:tcPr>
                <w:p w14:paraId="5EFFB4CF">
                  <w:pPr>
                    <w:pStyle w:val="47"/>
                    <w:bidi w:val="0"/>
                    <w:rPr>
                      <w:rFonts w:hint="default" w:ascii="Times New Roman" w:hAnsi="Times New Roman" w:cs="Times New Roman"/>
                      <w:color w:val="000000"/>
                    </w:rPr>
                  </w:pPr>
                  <w:r>
                    <w:rPr>
                      <w:rFonts w:hint="default" w:ascii="Times New Roman" w:hAnsi="Times New Roman" w:cs="Times New Roman"/>
                      <w:color w:val="000000"/>
                    </w:rPr>
                    <w:t>监测频次</w:t>
                  </w:r>
                </w:p>
              </w:tc>
            </w:tr>
            <w:tr w14:paraId="40491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31" w:type="pct"/>
                  <w:noWrap w:val="0"/>
                  <w:vAlign w:val="center"/>
                </w:tcPr>
                <w:p w14:paraId="5DCCCDD8">
                  <w:pPr>
                    <w:pStyle w:val="47"/>
                    <w:bidi w:val="0"/>
                    <w:rPr>
                      <w:rFonts w:hint="default" w:ascii="Times New Roman" w:hAnsi="Times New Roman" w:cs="Times New Roman"/>
                      <w:color w:val="000000"/>
                    </w:rPr>
                  </w:pPr>
                  <w:r>
                    <w:rPr>
                      <w:rFonts w:hint="default" w:ascii="Times New Roman" w:hAnsi="Times New Roman" w:cs="Times New Roman"/>
                      <w:color w:val="000000"/>
                    </w:rPr>
                    <w:t>1</w:t>
                  </w:r>
                </w:p>
              </w:tc>
              <w:tc>
                <w:tcPr>
                  <w:tcW w:w="1950" w:type="pct"/>
                  <w:noWrap w:val="0"/>
                  <w:vAlign w:val="center"/>
                </w:tcPr>
                <w:p w14:paraId="40616791">
                  <w:pPr>
                    <w:pStyle w:val="47"/>
                    <w:bidi w:val="0"/>
                    <w:rPr>
                      <w:rFonts w:hint="default" w:ascii="Times New Roman" w:hAnsi="Times New Roman" w:eastAsia="宋体" w:cs="Times New Roman"/>
                      <w:color w:val="000000"/>
                      <w:lang w:val="en-US" w:eastAsia="zh-CN"/>
                    </w:rPr>
                  </w:pPr>
                  <w:r>
                    <w:rPr>
                      <w:rFonts w:hint="eastAsia" w:cs="Times New Roman"/>
                      <w:color w:val="000000"/>
                      <w:lang w:eastAsia="zh-CN"/>
                    </w:rPr>
                    <w:t>调胶、喷胶、辊胶、烘干、热铆焊接废气排放口</w:t>
                  </w:r>
                  <w:r>
                    <w:rPr>
                      <w:rFonts w:hint="eastAsia" w:cs="Times New Roman"/>
                      <w:color w:val="000000"/>
                      <w:lang w:val="en-US" w:eastAsia="zh-CN"/>
                    </w:rPr>
                    <w:t>DA001</w:t>
                  </w:r>
                </w:p>
              </w:tc>
              <w:tc>
                <w:tcPr>
                  <w:tcW w:w="1778" w:type="pct"/>
                  <w:noWrap w:val="0"/>
                  <w:vAlign w:val="center"/>
                </w:tcPr>
                <w:p w14:paraId="05CB4BA3">
                  <w:pPr>
                    <w:pStyle w:val="47"/>
                    <w:bidi w:val="0"/>
                    <w:rPr>
                      <w:rFonts w:hint="default" w:ascii="Times New Roman" w:hAnsi="Times New Roman" w:cs="Times New Roman"/>
                      <w:color w:val="000000"/>
                    </w:rPr>
                  </w:pPr>
                  <w:r>
                    <w:rPr>
                      <w:rFonts w:hint="eastAsia" w:cs="Times New Roman"/>
                      <w:color w:val="000000"/>
                      <w:lang w:eastAsia="zh-CN"/>
                    </w:rPr>
                    <w:t>颗粒物、</w:t>
                  </w:r>
                  <w:r>
                    <w:rPr>
                      <w:rFonts w:hint="default" w:ascii="Times New Roman" w:hAnsi="Times New Roman" w:cs="Times New Roman"/>
                      <w:color w:val="000000"/>
                    </w:rPr>
                    <w:t>非甲烷总烃</w:t>
                  </w:r>
                </w:p>
              </w:tc>
              <w:tc>
                <w:tcPr>
                  <w:tcW w:w="838" w:type="pct"/>
                  <w:noWrap w:val="0"/>
                  <w:vAlign w:val="center"/>
                </w:tcPr>
                <w:p w14:paraId="17EDF551">
                  <w:pPr>
                    <w:pStyle w:val="47"/>
                    <w:bidi w:val="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1次/年</w:t>
                  </w:r>
                </w:p>
              </w:tc>
            </w:tr>
            <w:tr w14:paraId="627BB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431" w:type="pct"/>
                  <w:noWrap w:val="0"/>
                  <w:vAlign w:val="center"/>
                </w:tcPr>
                <w:p w14:paraId="4B5A6257">
                  <w:pPr>
                    <w:pStyle w:val="47"/>
                    <w:bidi w:val="0"/>
                    <w:rPr>
                      <w:rFonts w:hint="default" w:ascii="Times New Roman" w:hAnsi="Times New Roman" w:cs="Times New Roman"/>
                      <w:color w:val="000000"/>
                      <w:lang w:val="en-US" w:eastAsia="zh-CN"/>
                    </w:rPr>
                  </w:pPr>
                  <w:r>
                    <w:rPr>
                      <w:rFonts w:hint="eastAsia" w:cs="Times New Roman"/>
                      <w:color w:val="000000"/>
                      <w:lang w:val="en-US" w:eastAsia="zh-CN"/>
                    </w:rPr>
                    <w:t>2</w:t>
                  </w:r>
                </w:p>
              </w:tc>
              <w:tc>
                <w:tcPr>
                  <w:tcW w:w="1950" w:type="pct"/>
                  <w:noWrap w:val="0"/>
                  <w:vAlign w:val="center"/>
                </w:tcPr>
                <w:p w14:paraId="418050E8">
                  <w:pPr>
                    <w:pStyle w:val="47"/>
                    <w:bidi w:val="0"/>
                    <w:ind w:left="0" w:leftChars="0" w:firstLine="0" w:firstLineChars="0"/>
                    <w:rPr>
                      <w:rFonts w:hint="default" w:ascii="Times New Roman" w:hAnsi="Times New Roman" w:cs="Times New Roman"/>
                      <w:color w:val="000000"/>
                    </w:rPr>
                  </w:pPr>
                  <w:r>
                    <w:rPr>
                      <w:rFonts w:hint="default" w:ascii="Times New Roman" w:hAnsi="Times New Roman" w:cs="Times New Roman"/>
                      <w:color w:val="000000"/>
                    </w:rPr>
                    <w:t>厂界上风向1个点位、下风向3个点位</w:t>
                  </w:r>
                </w:p>
              </w:tc>
              <w:tc>
                <w:tcPr>
                  <w:tcW w:w="1778" w:type="pct"/>
                  <w:noWrap w:val="0"/>
                  <w:vAlign w:val="center"/>
                </w:tcPr>
                <w:p w14:paraId="222ADE55">
                  <w:pPr>
                    <w:pStyle w:val="47"/>
                    <w:bidi w:val="0"/>
                    <w:ind w:left="0" w:leftChars="0" w:firstLine="0" w:firstLineChars="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颗粒物</w:t>
                  </w:r>
                  <w:r>
                    <w:rPr>
                      <w:rFonts w:hint="eastAsia" w:ascii="Times New Roman" w:hAnsi="Times New Roman" w:cs="Times New Roman"/>
                      <w:color w:val="000000"/>
                      <w:lang w:val="en-US" w:eastAsia="zh-CN"/>
                    </w:rPr>
                    <w:t>、</w:t>
                  </w:r>
                  <w:r>
                    <w:rPr>
                      <w:rFonts w:hint="default" w:ascii="Times New Roman" w:hAnsi="Times New Roman" w:cs="Times New Roman"/>
                      <w:color w:val="000000"/>
                      <w:lang w:val="en-US" w:eastAsia="zh-CN"/>
                    </w:rPr>
                    <w:t>非甲烷总烃</w:t>
                  </w:r>
                </w:p>
              </w:tc>
              <w:tc>
                <w:tcPr>
                  <w:tcW w:w="838" w:type="pct"/>
                  <w:noWrap w:val="0"/>
                  <w:vAlign w:val="center"/>
                </w:tcPr>
                <w:p w14:paraId="4D40EA81">
                  <w:pPr>
                    <w:pStyle w:val="47"/>
                    <w:bidi w:val="0"/>
                    <w:ind w:left="0" w:leftChars="0" w:firstLine="0" w:firstLineChars="0"/>
                    <w:rPr>
                      <w:rFonts w:hint="default" w:ascii="Times New Roman" w:hAnsi="Times New Roman" w:cs="Times New Roman"/>
                      <w:color w:val="000000"/>
                    </w:rPr>
                  </w:pPr>
                  <w:r>
                    <w:rPr>
                      <w:rFonts w:hint="default" w:ascii="Times New Roman" w:hAnsi="Times New Roman" w:eastAsia="宋体" w:cs="Times New Roman"/>
                      <w:color w:val="000000"/>
                      <w:lang w:val="en-US" w:eastAsia="zh-CN"/>
                    </w:rPr>
                    <w:t>1次/年</w:t>
                  </w:r>
                </w:p>
              </w:tc>
            </w:tr>
          </w:tbl>
          <w:p w14:paraId="183FF834">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4.3运营期水环境影响分析和污染防治措施</w:t>
            </w:r>
          </w:p>
          <w:p w14:paraId="348A7C06">
            <w:pPr>
              <w:pStyle w:val="4"/>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4.3.1运营期废水源强核算</w:t>
            </w:r>
          </w:p>
          <w:p w14:paraId="24BE0AC6">
            <w:pPr>
              <w:pStyle w:val="43"/>
              <w:bidi w:val="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(1)生产废水</w:t>
            </w:r>
          </w:p>
          <w:p w14:paraId="5E209D43">
            <w:pPr>
              <w:pStyle w:val="43"/>
              <w:bidi w:val="0"/>
              <w:rPr>
                <w:rFonts w:hint="eastAsia" w:cs="Times New Roman"/>
                <w:color w:val="000000"/>
                <w:lang w:eastAsia="zh-CN"/>
              </w:rPr>
            </w:pPr>
            <w:r>
              <w:rPr>
                <w:rFonts w:hint="default" w:ascii="Times New Roman" w:hAnsi="Times New Roman" w:cs="Times New Roman"/>
                <w:color w:val="000000"/>
                <w:lang w:eastAsia="zh-CN"/>
              </w:rPr>
              <w:t>本项目</w:t>
            </w:r>
            <w:r>
              <w:rPr>
                <w:rFonts w:hint="eastAsia" w:cs="Times New Roman"/>
                <w:color w:val="000000"/>
                <w:lang w:eastAsia="zh-CN"/>
              </w:rPr>
              <w:t>无生产废水外排，设备清洗水作为危险废物委托有资质单位处置</w:t>
            </w:r>
          </w:p>
          <w:p w14:paraId="60510433">
            <w:pPr>
              <w:pStyle w:val="43"/>
              <w:bidi w:val="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(2)生活污水</w:t>
            </w:r>
          </w:p>
          <w:p w14:paraId="2F070F19">
            <w:pPr>
              <w:pStyle w:val="43"/>
              <w:bidi w:val="0"/>
              <w:rPr>
                <w:rFonts w:hint="default" w:ascii="Times New Roman" w:hAnsi="Times New Roman" w:cs="Times New Roman"/>
                <w:color w:val="000000"/>
              </w:rPr>
            </w:pPr>
            <w:r>
              <w:rPr>
                <w:rFonts w:hint="default" w:ascii="Times New Roman" w:hAnsi="Times New Roman" w:cs="Times New Roman"/>
                <w:color w:val="000000"/>
              </w:rPr>
              <w:t>据</w:t>
            </w:r>
            <w:r>
              <w:rPr>
                <w:rFonts w:hint="default" w:ascii="Times New Roman" w:hAnsi="Times New Roman" w:cs="Times New Roman"/>
                <w:color w:val="000000"/>
                <w:lang w:val="en-US" w:eastAsia="zh-CN"/>
              </w:rPr>
              <w:t>前文表2.2-7</w:t>
            </w:r>
            <w:r>
              <w:rPr>
                <w:rFonts w:hint="default" w:ascii="Times New Roman" w:hAnsi="Times New Roman" w:cs="Times New Roman"/>
                <w:color w:val="000000"/>
              </w:rPr>
              <w:t>可知，项目生活污水产生量为</w:t>
            </w:r>
            <w:r>
              <w:rPr>
                <w:rFonts w:hint="eastAsia" w:cs="Times New Roman"/>
                <w:color w:val="000000"/>
                <w:lang w:val="en-US" w:eastAsia="zh-CN"/>
              </w:rPr>
              <w:t>3.105</w:t>
            </w:r>
            <w:r>
              <w:rPr>
                <w:rFonts w:hint="default" w:ascii="Times New Roman" w:hAnsi="Times New Roman" w:cs="Times New Roman"/>
                <w:color w:val="000000"/>
              </w:rPr>
              <w:t>t/d(</w:t>
            </w:r>
            <w:r>
              <w:rPr>
                <w:rFonts w:hint="eastAsia" w:cs="Times New Roman"/>
                <w:color w:val="000000"/>
                <w:lang w:val="en-US" w:eastAsia="zh-CN"/>
              </w:rPr>
              <w:t>931.5</w:t>
            </w:r>
            <w:r>
              <w:rPr>
                <w:rFonts w:hint="default" w:ascii="Times New Roman" w:hAnsi="Times New Roman" w:cs="Times New Roman"/>
                <w:color w:val="000000"/>
              </w:rPr>
              <w:t>t/a)，参考《排放源统计调查产排污核算方法和系数手册》(公告2021年第24号)中“生活污染源产排污系数手册”可知，职工产生的生活污水中各主要污染物浓度按CODcr：340mg/L，BOD</w:t>
            </w:r>
            <w:r>
              <w:rPr>
                <w:rFonts w:hint="default" w:ascii="Times New Roman" w:hAnsi="Times New Roman" w:cs="Times New Roman"/>
                <w:color w:val="000000"/>
                <w:vertAlign w:val="subscript"/>
              </w:rPr>
              <w:t>5</w:t>
            </w:r>
            <w:r>
              <w:rPr>
                <w:rFonts w:hint="eastAsia" w:cs="Times New Roman"/>
                <w:color w:val="000000"/>
                <w:vertAlign w:val="subscript"/>
                <w:lang w:eastAsia="zh-CN"/>
              </w:rPr>
              <w:t>:</w:t>
            </w:r>
            <w:r>
              <w:rPr>
                <w:rFonts w:hint="default" w:ascii="Times New Roman" w:hAnsi="Times New Roman" w:cs="Times New Roman"/>
                <w:color w:val="000000"/>
              </w:rPr>
              <w:t>200mg/L，SS：220mg/L，NH</w:t>
            </w:r>
            <w:r>
              <w:rPr>
                <w:rFonts w:hint="default" w:ascii="Times New Roman" w:hAnsi="Times New Roman" w:cs="Times New Roman"/>
                <w:color w:val="000000"/>
                <w:vertAlign w:val="subscript"/>
              </w:rPr>
              <w:t>3</w:t>
            </w:r>
            <w:r>
              <w:rPr>
                <w:rFonts w:hint="default" w:ascii="Times New Roman" w:hAnsi="Times New Roman" w:cs="Times New Roman"/>
                <w:color w:val="000000"/>
              </w:rPr>
              <w:t>-N：32.6mg/L计算。</w:t>
            </w:r>
          </w:p>
          <w:p w14:paraId="1A3DA791">
            <w:pPr>
              <w:pStyle w:val="43"/>
              <w:bidi w:val="0"/>
              <w:rPr>
                <w:rFonts w:hint="default" w:ascii="Times New Roman" w:hAnsi="Times New Roman" w:cs="Times New Roman"/>
                <w:color w:val="000000"/>
                <w:lang w:val="en-US" w:eastAsia="zh-CN"/>
              </w:rPr>
            </w:pPr>
            <w:r>
              <w:rPr>
                <w:rFonts w:hint="default" w:ascii="Times New Roman" w:hAnsi="Times New Roman" w:cs="Times New Roman"/>
                <w:color w:val="000000"/>
              </w:rPr>
              <w:t>COD</w:t>
            </w:r>
            <w:r>
              <w:rPr>
                <w:rFonts w:hint="default" w:ascii="Times New Roman" w:hAnsi="Times New Roman" w:cs="Times New Roman"/>
                <w:color w:val="000000"/>
                <w:vertAlign w:val="subscript"/>
              </w:rPr>
              <w:t>Cr</w:t>
            </w:r>
            <w:r>
              <w:rPr>
                <w:rFonts w:hint="default" w:ascii="Times New Roman" w:hAnsi="Times New Roman" w:cs="Times New Roman"/>
                <w:color w:val="000000"/>
              </w:rPr>
              <w:t>、BOD</w:t>
            </w:r>
            <w:r>
              <w:rPr>
                <w:rFonts w:hint="default" w:ascii="Times New Roman" w:hAnsi="Times New Roman" w:cs="Times New Roman"/>
                <w:color w:val="000000"/>
                <w:vertAlign w:val="subscript"/>
              </w:rPr>
              <w:t>5</w:t>
            </w:r>
            <w:r>
              <w:rPr>
                <w:rFonts w:hint="default" w:ascii="Times New Roman" w:hAnsi="Times New Roman" w:cs="Times New Roman"/>
                <w:color w:val="000000"/>
              </w:rPr>
              <w:t>、氨氮的去除率参照《第</w:t>
            </w:r>
            <w:r>
              <w:rPr>
                <w:rFonts w:hint="default" w:ascii="Times New Roman" w:hAnsi="Times New Roman" w:cs="Times New Roman"/>
                <w:color w:val="000000"/>
                <w:lang w:val="en-US" w:eastAsia="zh-CN"/>
              </w:rPr>
              <w:t>二</w:t>
            </w:r>
            <w:r>
              <w:rPr>
                <w:rFonts w:hint="default" w:ascii="Times New Roman" w:hAnsi="Times New Roman" w:cs="Times New Roman"/>
                <w:color w:val="000000"/>
              </w:rPr>
              <w:t>次全国污染源普查城镇生活污染源产排污系数手册》</w:t>
            </w:r>
            <w:r>
              <w:rPr>
                <w:rFonts w:hint="default" w:ascii="Times New Roman" w:hAnsi="Times New Roman" w:cs="Times New Roman"/>
                <w:color w:val="000000"/>
                <w:lang w:val="en-US" w:eastAsia="zh-CN"/>
              </w:rPr>
              <w:t>表6-4</w:t>
            </w:r>
            <w:r>
              <w:rPr>
                <w:rFonts w:hint="default" w:ascii="Times New Roman" w:hAnsi="Times New Roman" w:cs="Times New Roman"/>
                <w:color w:val="000000"/>
              </w:rPr>
              <w:t>中“</w:t>
            </w:r>
            <w:r>
              <w:rPr>
                <w:rFonts w:hint="default" w:ascii="Times New Roman" w:hAnsi="Times New Roman" w:cs="Times New Roman"/>
                <w:color w:val="000000"/>
                <w:lang w:val="en-US" w:eastAsia="zh-CN"/>
              </w:rPr>
              <w:t>四区二</w:t>
            </w:r>
            <w:r>
              <w:rPr>
                <w:rFonts w:hint="default" w:ascii="Times New Roman" w:hAnsi="Times New Roman" w:cs="Times New Roman"/>
                <w:color w:val="000000"/>
              </w:rPr>
              <w:t>类区生活污水”经化粪池预处理后的推荐数据，去除效率分别为</w:t>
            </w:r>
            <w:r>
              <w:rPr>
                <w:rFonts w:hint="default" w:ascii="Times New Roman" w:hAnsi="Times New Roman" w:cs="Times New Roman"/>
                <w:color w:val="000000"/>
                <w:lang w:val="en-US" w:eastAsia="zh-CN"/>
              </w:rPr>
              <w:t>19.3</w:t>
            </w:r>
            <w:r>
              <w:rPr>
                <w:rFonts w:hint="default" w:ascii="Times New Roman" w:hAnsi="Times New Roman" w:cs="Times New Roman"/>
                <w:color w:val="000000"/>
              </w:rPr>
              <w:t>%、</w:t>
            </w:r>
            <w:r>
              <w:rPr>
                <w:rFonts w:hint="default" w:ascii="Times New Roman" w:hAnsi="Times New Roman" w:cs="Times New Roman"/>
                <w:color w:val="000000"/>
                <w:lang w:val="en-US" w:eastAsia="zh-CN"/>
              </w:rPr>
              <w:t>12.7</w:t>
            </w:r>
            <w:r>
              <w:rPr>
                <w:rFonts w:hint="default" w:ascii="Times New Roman" w:hAnsi="Times New Roman" w:cs="Times New Roman"/>
                <w:color w:val="000000"/>
              </w:rPr>
              <w:t>%、</w:t>
            </w:r>
            <w:r>
              <w:rPr>
                <w:rFonts w:hint="default" w:ascii="Times New Roman" w:hAnsi="Times New Roman" w:cs="Times New Roman"/>
                <w:color w:val="000000"/>
                <w:lang w:val="en-US" w:eastAsia="zh-CN"/>
              </w:rPr>
              <w:t>0</w:t>
            </w:r>
            <w:r>
              <w:rPr>
                <w:rFonts w:hint="default" w:ascii="Times New Roman" w:hAnsi="Times New Roman" w:cs="Times New Roman"/>
                <w:color w:val="000000"/>
              </w:rPr>
              <w:t>%</w:t>
            </w:r>
            <w:r>
              <w:rPr>
                <w:rFonts w:hint="default" w:ascii="Times New Roman" w:hAnsi="Times New Roman" w:cs="Times New Roman"/>
                <w:color w:val="000000"/>
                <w:lang w:val="en-US" w:eastAsia="zh-CN"/>
              </w:rPr>
              <w:t>，</w:t>
            </w:r>
            <w:r>
              <w:rPr>
                <w:rFonts w:hint="default" w:ascii="Times New Roman" w:hAnsi="Times New Roman" w:cs="Times New Roman"/>
                <w:color w:val="000000"/>
              </w:rPr>
              <w:t>SS</w:t>
            </w:r>
            <w:r>
              <w:rPr>
                <w:rFonts w:hint="eastAsia" w:cs="Times New Roman"/>
                <w:color w:val="000000"/>
                <w:lang w:eastAsia="zh-CN"/>
              </w:rPr>
              <w:t>去除率</w:t>
            </w:r>
            <w:r>
              <w:rPr>
                <w:rFonts w:hint="default" w:ascii="Times New Roman" w:hAnsi="Times New Roman" w:cs="Times New Roman"/>
                <w:color w:val="000000"/>
              </w:rPr>
              <w:t>参照</w:t>
            </w:r>
            <w:r>
              <w:rPr>
                <w:rFonts w:hint="default" w:ascii="Times New Roman" w:hAnsi="Times New Roman" w:cs="Times New Roman"/>
                <w:color w:val="000000"/>
                <w:lang w:val="en-US" w:eastAsia="zh-CN"/>
              </w:rPr>
              <w:t>原环境保护发布的文件</w:t>
            </w:r>
            <w:r>
              <w:rPr>
                <w:rFonts w:hint="default" w:ascii="Times New Roman" w:hAnsi="Times New Roman" w:cs="Times New Roman"/>
                <w:color w:val="000000"/>
                <w:lang w:eastAsia="zh-CN"/>
              </w:rPr>
              <w:t>《</w:t>
            </w:r>
            <w:r>
              <w:rPr>
                <w:rFonts w:hint="default" w:ascii="Times New Roman" w:hAnsi="Times New Roman" w:cs="Times New Roman"/>
                <w:color w:val="000000"/>
              </w:rPr>
              <w:t>村镇生活污染防治最佳可行技术指南</w:t>
            </w:r>
            <w:r>
              <w:rPr>
                <w:rFonts w:hint="default" w:ascii="Times New Roman" w:hAnsi="Times New Roman" w:cs="Times New Roman"/>
                <w:color w:val="000000"/>
                <w:lang w:val="en-US" w:eastAsia="zh-CN"/>
              </w:rPr>
              <w:t>(</w:t>
            </w:r>
            <w:r>
              <w:rPr>
                <w:rFonts w:hint="default" w:ascii="Times New Roman" w:hAnsi="Times New Roman" w:cs="Times New Roman"/>
                <w:color w:val="000000"/>
              </w:rPr>
              <w:t>试行</w:t>
            </w:r>
            <w:r>
              <w:rPr>
                <w:rFonts w:hint="default" w:ascii="Times New Roman" w:hAnsi="Times New Roman" w:cs="Times New Roman"/>
                <w:color w:val="000000"/>
                <w:lang w:val="en-US" w:eastAsia="zh-CN"/>
              </w:rPr>
              <w:t>)</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w:t>
            </w:r>
            <w:r>
              <w:rPr>
                <w:rFonts w:hint="default" w:ascii="Times New Roman" w:hAnsi="Times New Roman" w:cs="Times New Roman"/>
                <w:color w:val="000000"/>
              </w:rPr>
              <w:t>HJ-BAT-9</w:t>
            </w:r>
            <w:r>
              <w:rPr>
                <w:rFonts w:hint="default" w:ascii="Times New Roman" w:hAnsi="Times New Roman" w:cs="Times New Roman"/>
                <w:color w:val="000000"/>
                <w:lang w:val="en-US" w:eastAsia="zh-CN"/>
              </w:rPr>
              <w:t>)中化粪池对</w:t>
            </w:r>
            <w:r>
              <w:rPr>
                <w:rFonts w:hint="default" w:ascii="Times New Roman" w:hAnsi="Times New Roman" w:cs="Times New Roman"/>
                <w:color w:val="000000"/>
              </w:rPr>
              <w:t>SS的去除率为</w:t>
            </w:r>
            <w:r>
              <w:rPr>
                <w:rFonts w:hint="default" w:ascii="Times New Roman" w:hAnsi="Times New Roman" w:cs="Times New Roman"/>
                <w:color w:val="000000"/>
                <w:lang w:val="en-US" w:eastAsia="zh-CN"/>
              </w:rPr>
              <w:t>60%</w:t>
            </w:r>
            <w:r>
              <w:rPr>
                <w:rFonts w:hint="eastAsia" w:cs="Times New Roman"/>
                <w:color w:val="000000"/>
                <w:lang w:val="en-US" w:eastAsia="zh-CN"/>
              </w:rPr>
              <w:t>～</w:t>
            </w:r>
            <w:r>
              <w:rPr>
                <w:rFonts w:hint="default" w:ascii="Times New Roman" w:hAnsi="Times New Roman" w:cs="Times New Roman"/>
                <w:color w:val="000000"/>
                <w:lang w:val="en-US" w:eastAsia="zh-CN"/>
              </w:rPr>
              <w:t>70</w:t>
            </w:r>
            <w:r>
              <w:rPr>
                <w:rFonts w:hint="default" w:ascii="Times New Roman" w:hAnsi="Times New Roman" w:cs="Times New Roman"/>
                <w:color w:val="000000"/>
              </w:rPr>
              <w:t>%</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本评价按60%计算。</w:t>
            </w:r>
          </w:p>
          <w:p w14:paraId="5B173F90">
            <w:pPr>
              <w:pStyle w:val="40"/>
              <w:bidi w:val="0"/>
              <w:rPr>
                <w:rFonts w:hint="default" w:ascii="Times New Roman" w:hAnsi="Times New Roman" w:cs="Times New Roman"/>
                <w:color w:val="000000"/>
              </w:rPr>
            </w:pPr>
            <w:r>
              <w:rPr>
                <w:rFonts w:hint="default" w:ascii="Times New Roman" w:hAnsi="Times New Roman" w:cs="Times New Roman"/>
                <w:color w:val="000000"/>
              </w:rPr>
              <w:t>项目属于</w:t>
            </w:r>
            <w:r>
              <w:rPr>
                <w:rFonts w:hint="default" w:ascii="Times New Roman" w:hAnsi="Times New Roman" w:cs="Times New Roman"/>
                <w:color w:val="000000"/>
                <w:lang w:eastAsia="zh-CN"/>
              </w:rPr>
              <w:t>福清市第二污水处理厂</w:t>
            </w:r>
            <w:r>
              <w:rPr>
                <w:rFonts w:hint="default" w:ascii="Times New Roman" w:hAnsi="Times New Roman" w:cs="Times New Roman"/>
                <w:color w:val="000000"/>
              </w:rPr>
              <w:t>服务范围，本项目生活污水经预处理后通过厂区总排放口排入市政污水管网，排放源强情况见表4.</w:t>
            </w:r>
            <w:r>
              <w:rPr>
                <w:rFonts w:hint="default" w:ascii="Times New Roman" w:hAnsi="Times New Roman" w:cs="Times New Roman"/>
                <w:color w:val="000000"/>
                <w:lang w:val="en-US" w:eastAsia="zh-CN"/>
              </w:rPr>
              <w:t>3</w:t>
            </w:r>
            <w:r>
              <w:rPr>
                <w:rFonts w:hint="default" w:ascii="Times New Roman" w:hAnsi="Times New Roman" w:cs="Times New Roman"/>
                <w:color w:val="000000"/>
              </w:rPr>
              <w:t>-1。</w:t>
            </w:r>
          </w:p>
          <w:p w14:paraId="2C7F59ED">
            <w:pPr>
              <w:pStyle w:val="12"/>
              <w:rPr>
                <w:rFonts w:hint="default" w:ascii="Times New Roman" w:hAnsi="Times New Roman" w:cs="Times New Roman"/>
                <w:color w:val="000000"/>
                <w:vertAlign w:val="baseline"/>
              </w:rPr>
            </w:pPr>
          </w:p>
        </w:tc>
      </w:tr>
    </w:tbl>
    <w:p w14:paraId="1F8C7A8D">
      <w:pPr>
        <w:pStyle w:val="12"/>
        <w:rPr>
          <w:rFonts w:hint="default" w:ascii="Times New Roman" w:hAnsi="Times New Roman" w:cs="Times New Roma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399"/>
        <w:gridCol w:w="12829"/>
      </w:tblGrid>
      <w:tr w14:paraId="2D227579">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c>
          <w:tcPr>
            <w:tcW w:w="399" w:type="dxa"/>
            <w:tcBorders>
              <w:tl2br w:val="nil"/>
              <w:tr2bl w:val="nil"/>
            </w:tcBorders>
            <w:noWrap w:val="0"/>
            <w:vAlign w:val="center"/>
          </w:tcPr>
          <w:p w14:paraId="64A46D02">
            <w:pPr>
              <w:rPr>
                <w:rFonts w:hint="default" w:ascii="Times New Roman" w:hAnsi="Times New Roman" w:cs="Times New Roman"/>
                <w:vertAlign w:val="baseline"/>
              </w:rPr>
            </w:pPr>
            <w:r>
              <w:rPr>
                <w:rFonts w:hint="default" w:ascii="Times New Roman" w:hAnsi="Times New Roman" w:cs="Times New Roman"/>
                <w:vertAlign w:val="baseline"/>
              </w:rPr>
              <w:t>运营</w:t>
            </w:r>
          </w:p>
          <w:p w14:paraId="0601E899">
            <w:pPr>
              <w:rPr>
                <w:rFonts w:hint="default" w:ascii="Times New Roman" w:hAnsi="Times New Roman" w:cs="Times New Roman"/>
                <w:vertAlign w:val="baseline"/>
              </w:rPr>
            </w:pPr>
            <w:r>
              <w:rPr>
                <w:rFonts w:hint="default" w:ascii="Times New Roman" w:hAnsi="Times New Roman" w:cs="Times New Roman"/>
                <w:vertAlign w:val="baseline"/>
              </w:rPr>
              <w:t>期环</w:t>
            </w:r>
          </w:p>
          <w:p w14:paraId="3D2666ED">
            <w:pPr>
              <w:rPr>
                <w:rFonts w:hint="default" w:ascii="Times New Roman" w:hAnsi="Times New Roman" w:cs="Times New Roman"/>
                <w:vertAlign w:val="baseline"/>
              </w:rPr>
            </w:pPr>
            <w:r>
              <w:rPr>
                <w:rFonts w:hint="default" w:ascii="Times New Roman" w:hAnsi="Times New Roman" w:cs="Times New Roman"/>
                <w:vertAlign w:val="baseline"/>
              </w:rPr>
              <w:t>境影</w:t>
            </w:r>
          </w:p>
          <w:p w14:paraId="46E57922">
            <w:pPr>
              <w:rPr>
                <w:rFonts w:hint="default" w:ascii="Times New Roman" w:hAnsi="Times New Roman" w:cs="Times New Roman"/>
                <w:vertAlign w:val="baseline"/>
              </w:rPr>
            </w:pPr>
            <w:r>
              <w:rPr>
                <w:rFonts w:hint="default" w:ascii="Times New Roman" w:hAnsi="Times New Roman" w:cs="Times New Roman"/>
                <w:vertAlign w:val="baseline"/>
              </w:rPr>
              <w:t>响和</w:t>
            </w:r>
          </w:p>
          <w:p w14:paraId="3717A924">
            <w:pPr>
              <w:rPr>
                <w:rFonts w:hint="default" w:ascii="Times New Roman" w:hAnsi="Times New Roman" w:cs="Times New Roman"/>
                <w:vertAlign w:val="baseline"/>
              </w:rPr>
            </w:pPr>
            <w:r>
              <w:rPr>
                <w:rFonts w:hint="default" w:ascii="Times New Roman" w:hAnsi="Times New Roman" w:cs="Times New Roman"/>
                <w:vertAlign w:val="baseline"/>
              </w:rPr>
              <w:t>保护</w:t>
            </w:r>
          </w:p>
          <w:p w14:paraId="2E9CED96">
            <w:pPr>
              <w:rPr>
                <w:rFonts w:hint="default" w:ascii="Times New Roman" w:hAnsi="Times New Roman" w:cs="Times New Roman"/>
                <w:vertAlign w:val="baseline"/>
              </w:rPr>
            </w:pPr>
            <w:r>
              <w:rPr>
                <w:rFonts w:hint="default" w:ascii="Times New Roman" w:hAnsi="Times New Roman" w:cs="Times New Roman"/>
                <w:vertAlign w:val="baseline"/>
              </w:rPr>
              <w:t>措施</w:t>
            </w:r>
          </w:p>
        </w:tc>
        <w:tc>
          <w:tcPr>
            <w:tcW w:w="12829" w:type="dxa"/>
            <w:tcBorders>
              <w:tl2br w:val="nil"/>
              <w:tr2bl w:val="nil"/>
            </w:tcBorders>
            <w:noWrap w:val="0"/>
            <w:vAlign w:val="top"/>
          </w:tcPr>
          <w:p w14:paraId="724B8CFB">
            <w:pPr>
              <w:pStyle w:val="56"/>
              <w:bidi w:val="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3</w:t>
            </w:r>
            <w:r>
              <w:rPr>
                <w:rFonts w:hint="default" w:ascii="Times New Roman" w:hAnsi="Times New Roman" w:cs="Times New Roman"/>
              </w:rPr>
              <w:t>-1 项目污水污染源源强核算结果及相关参数一览表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28" w:type="dxa"/>
                <w:bottom w:w="0" w:type="dxa"/>
                <w:right w:w="28" w:type="dxa"/>
              </w:tblCellMar>
            </w:tblPr>
            <w:tblGrid>
              <w:gridCol w:w="239"/>
              <w:gridCol w:w="239"/>
              <w:gridCol w:w="676"/>
              <w:gridCol w:w="326"/>
              <w:gridCol w:w="628"/>
              <w:gridCol w:w="505"/>
              <w:gridCol w:w="606"/>
              <w:gridCol w:w="457"/>
              <w:gridCol w:w="530"/>
              <w:gridCol w:w="363"/>
              <w:gridCol w:w="563"/>
              <w:gridCol w:w="563"/>
              <w:gridCol w:w="649"/>
              <w:gridCol w:w="366"/>
              <w:gridCol w:w="1017"/>
              <w:gridCol w:w="421"/>
              <w:gridCol w:w="823"/>
              <w:gridCol w:w="555"/>
              <w:gridCol w:w="1517"/>
              <w:gridCol w:w="573"/>
              <w:gridCol w:w="989"/>
            </w:tblGrid>
            <w:tr w14:paraId="14620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restart"/>
                  <w:shd w:val="clear" w:color="auto" w:fill="auto"/>
                  <w:noWrap w:val="0"/>
                  <w:vAlign w:val="center"/>
                </w:tcPr>
                <w:p w14:paraId="00C4DD8D">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产排污环节</w:t>
                  </w:r>
                </w:p>
              </w:tc>
              <w:tc>
                <w:tcPr>
                  <w:tcW w:w="95" w:type="pct"/>
                  <w:vMerge w:val="restart"/>
                  <w:shd w:val="clear" w:color="auto" w:fill="auto"/>
                  <w:noWrap w:val="0"/>
                  <w:vAlign w:val="center"/>
                </w:tcPr>
                <w:p w14:paraId="74690061">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类别</w:t>
                  </w:r>
                </w:p>
              </w:tc>
              <w:tc>
                <w:tcPr>
                  <w:tcW w:w="268" w:type="pct"/>
                  <w:vMerge w:val="restart"/>
                  <w:shd w:val="clear" w:color="auto" w:fill="auto"/>
                  <w:noWrap w:val="0"/>
                  <w:vAlign w:val="center"/>
                </w:tcPr>
                <w:p w14:paraId="107C3FA9">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污染物种类</w:t>
                  </w:r>
                </w:p>
              </w:tc>
              <w:tc>
                <w:tcPr>
                  <w:tcW w:w="818" w:type="pct"/>
                  <w:gridSpan w:val="4"/>
                  <w:shd w:val="clear" w:color="auto" w:fill="auto"/>
                  <w:noWrap w:val="0"/>
                  <w:vAlign w:val="center"/>
                </w:tcPr>
                <w:p w14:paraId="1B9A447E">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污染源产生</w:t>
                  </w:r>
                </w:p>
              </w:tc>
              <w:tc>
                <w:tcPr>
                  <w:tcW w:w="535" w:type="pct"/>
                  <w:gridSpan w:val="3"/>
                  <w:shd w:val="clear" w:color="auto" w:fill="auto"/>
                  <w:noWrap w:val="0"/>
                  <w:vAlign w:val="center"/>
                </w:tcPr>
                <w:p w14:paraId="438A1FE5">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治理措施</w:t>
                  </w:r>
                </w:p>
              </w:tc>
              <w:tc>
                <w:tcPr>
                  <w:tcW w:w="703" w:type="pct"/>
                  <w:gridSpan w:val="3"/>
                  <w:shd w:val="clear" w:color="auto" w:fill="auto"/>
                  <w:noWrap w:val="0"/>
                  <w:vAlign w:val="center"/>
                </w:tcPr>
                <w:p w14:paraId="538A0D39">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污染物排放</w:t>
                  </w:r>
                </w:p>
              </w:tc>
              <w:tc>
                <w:tcPr>
                  <w:tcW w:w="145" w:type="pct"/>
                  <w:vMerge w:val="restart"/>
                  <w:shd w:val="clear" w:color="auto" w:fill="auto"/>
                  <w:noWrap w:val="0"/>
                  <w:vAlign w:val="center"/>
                </w:tcPr>
                <w:p w14:paraId="47889828">
                  <w:pPr>
                    <w:pStyle w:val="75"/>
                    <w:spacing w:line="240" w:lineRule="exact"/>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排放</w:t>
                  </w:r>
                </w:p>
                <w:p w14:paraId="4AD80E53">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方式</w:t>
                  </w:r>
                </w:p>
              </w:tc>
              <w:tc>
                <w:tcPr>
                  <w:tcW w:w="403" w:type="pct"/>
                  <w:vMerge w:val="restart"/>
                  <w:shd w:val="clear" w:color="auto" w:fill="auto"/>
                  <w:noWrap w:val="0"/>
                  <w:vAlign w:val="center"/>
                </w:tcPr>
                <w:p w14:paraId="189D3627">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排放去向</w:t>
                  </w:r>
                </w:p>
              </w:tc>
              <w:tc>
                <w:tcPr>
                  <w:tcW w:w="167" w:type="pct"/>
                  <w:vMerge w:val="restart"/>
                  <w:shd w:val="clear" w:color="auto" w:fill="auto"/>
                  <w:noWrap w:val="0"/>
                  <w:vAlign w:val="center"/>
                </w:tcPr>
                <w:p w14:paraId="54CE14D4">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排放规律</w:t>
                  </w:r>
                </w:p>
              </w:tc>
              <w:tc>
                <w:tcPr>
                  <w:tcW w:w="1147" w:type="pct"/>
                  <w:gridSpan w:val="3"/>
                  <w:shd w:val="clear" w:color="auto" w:fill="auto"/>
                  <w:noWrap w:val="0"/>
                  <w:vAlign w:val="center"/>
                </w:tcPr>
                <w:p w14:paraId="2B26EA4F">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排放口基本情况</w:t>
                  </w:r>
                </w:p>
              </w:tc>
              <w:tc>
                <w:tcPr>
                  <w:tcW w:w="227" w:type="pct"/>
                  <w:vMerge w:val="restart"/>
                  <w:shd w:val="clear" w:color="auto" w:fill="auto"/>
                  <w:noWrap w:val="0"/>
                  <w:vAlign w:val="center"/>
                </w:tcPr>
                <w:p w14:paraId="0E5CA3F7">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w:t>
                  </w:r>
                </w:p>
                <w:p w14:paraId="521959AD">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时间</w:t>
                  </w:r>
                </w:p>
                <w:p w14:paraId="2B83AC33">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h</w:t>
                  </w:r>
                </w:p>
              </w:tc>
              <w:tc>
                <w:tcPr>
                  <w:tcW w:w="392" w:type="pct"/>
                  <w:shd w:val="clear" w:color="auto" w:fill="auto"/>
                  <w:noWrap w:val="0"/>
                  <w:vAlign w:val="center"/>
                </w:tcPr>
                <w:p w14:paraId="3A8439B0">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排放标准</w:t>
                  </w:r>
                </w:p>
              </w:tc>
            </w:tr>
            <w:tr w14:paraId="22A5E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continue"/>
                  <w:shd w:val="clear" w:color="auto" w:fill="auto"/>
                  <w:noWrap w:val="0"/>
                  <w:vAlign w:val="center"/>
                </w:tcPr>
                <w:p w14:paraId="2A75CA2F">
                  <w:pPr>
                    <w:pStyle w:val="75"/>
                    <w:spacing w:line="240" w:lineRule="exact"/>
                    <w:rPr>
                      <w:rFonts w:hint="default" w:ascii="Times New Roman" w:hAnsi="Times New Roman" w:cs="Times New Roman"/>
                      <w:color w:val="000000"/>
                      <w:sz w:val="21"/>
                      <w:szCs w:val="21"/>
                    </w:rPr>
                  </w:pPr>
                </w:p>
              </w:tc>
              <w:tc>
                <w:tcPr>
                  <w:tcW w:w="95" w:type="pct"/>
                  <w:vMerge w:val="continue"/>
                  <w:shd w:val="clear" w:color="auto" w:fill="auto"/>
                  <w:noWrap w:val="0"/>
                  <w:vAlign w:val="center"/>
                </w:tcPr>
                <w:p w14:paraId="5E9EF6BE">
                  <w:pPr>
                    <w:pStyle w:val="75"/>
                    <w:spacing w:line="240" w:lineRule="exact"/>
                    <w:rPr>
                      <w:rFonts w:hint="default" w:ascii="Times New Roman" w:hAnsi="Times New Roman" w:cs="Times New Roman"/>
                      <w:color w:val="000000"/>
                      <w:sz w:val="21"/>
                      <w:szCs w:val="21"/>
                    </w:rPr>
                  </w:pPr>
                </w:p>
              </w:tc>
              <w:tc>
                <w:tcPr>
                  <w:tcW w:w="268" w:type="pct"/>
                  <w:vMerge w:val="continue"/>
                  <w:shd w:val="clear" w:color="auto" w:fill="auto"/>
                  <w:noWrap w:val="0"/>
                  <w:vAlign w:val="center"/>
                </w:tcPr>
                <w:p w14:paraId="3F4E5572">
                  <w:pPr>
                    <w:pStyle w:val="75"/>
                    <w:spacing w:line="240" w:lineRule="exact"/>
                    <w:rPr>
                      <w:rFonts w:hint="default" w:ascii="Times New Roman" w:hAnsi="Times New Roman" w:cs="Times New Roman"/>
                      <w:color w:val="000000"/>
                      <w:sz w:val="21"/>
                      <w:szCs w:val="21"/>
                    </w:rPr>
                  </w:pPr>
                </w:p>
              </w:tc>
              <w:tc>
                <w:tcPr>
                  <w:tcW w:w="129" w:type="pct"/>
                  <w:shd w:val="clear" w:color="auto" w:fill="auto"/>
                  <w:noWrap w:val="0"/>
                  <w:vAlign w:val="center"/>
                </w:tcPr>
                <w:p w14:paraId="6E7533F5">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核算</w:t>
                  </w:r>
                </w:p>
                <w:p w14:paraId="5FF4D45A">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方法</w:t>
                  </w:r>
                </w:p>
              </w:tc>
              <w:tc>
                <w:tcPr>
                  <w:tcW w:w="249" w:type="pct"/>
                  <w:shd w:val="clear" w:color="auto" w:fill="auto"/>
                  <w:noWrap w:val="0"/>
                  <w:vAlign w:val="center"/>
                </w:tcPr>
                <w:p w14:paraId="0417BE97">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产生废水量/m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/a</w:t>
                  </w:r>
                </w:p>
              </w:tc>
              <w:tc>
                <w:tcPr>
                  <w:tcW w:w="200" w:type="pct"/>
                  <w:shd w:val="clear" w:color="auto" w:fill="auto"/>
                  <w:noWrap w:val="0"/>
                  <w:vAlign w:val="center"/>
                </w:tcPr>
                <w:p w14:paraId="5B1E93EE">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产生浓度</w:t>
                  </w:r>
                </w:p>
                <w:p w14:paraId="0693D605">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/mg/L</w:t>
                  </w:r>
                </w:p>
              </w:tc>
              <w:tc>
                <w:tcPr>
                  <w:tcW w:w="237" w:type="pct"/>
                  <w:shd w:val="clear" w:color="auto" w:fill="auto"/>
                  <w:noWrap w:val="0"/>
                  <w:vAlign w:val="center"/>
                </w:tcPr>
                <w:p w14:paraId="3B7A8C53">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产生量</w:t>
                  </w:r>
                </w:p>
                <w:p w14:paraId="3AD0A6DE">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/t/a</w:t>
                  </w:r>
                </w:p>
              </w:tc>
              <w:tc>
                <w:tcPr>
                  <w:tcW w:w="181" w:type="pct"/>
                  <w:shd w:val="clear" w:color="auto" w:fill="auto"/>
                  <w:noWrap w:val="0"/>
                  <w:vAlign w:val="center"/>
                </w:tcPr>
                <w:p w14:paraId="27985306">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处理能力</w:t>
                  </w:r>
                </w:p>
              </w:tc>
              <w:tc>
                <w:tcPr>
                  <w:tcW w:w="210" w:type="pct"/>
                  <w:shd w:val="clear" w:color="auto" w:fill="auto"/>
                  <w:noWrap w:val="0"/>
                  <w:vAlign w:val="center"/>
                </w:tcPr>
                <w:p w14:paraId="78EAABC2">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治理效率</w:t>
                  </w:r>
                </w:p>
              </w:tc>
              <w:tc>
                <w:tcPr>
                  <w:tcW w:w="142" w:type="pct"/>
                  <w:shd w:val="clear" w:color="auto" w:fill="auto"/>
                  <w:noWrap w:val="0"/>
                  <w:vAlign w:val="center"/>
                </w:tcPr>
                <w:p w14:paraId="512CA5C7">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是否为可行技术</w:t>
                  </w:r>
                </w:p>
              </w:tc>
              <w:tc>
                <w:tcPr>
                  <w:tcW w:w="223" w:type="pct"/>
                  <w:shd w:val="clear" w:color="auto" w:fill="auto"/>
                  <w:noWrap w:val="0"/>
                  <w:vAlign w:val="center"/>
                </w:tcPr>
                <w:p w14:paraId="7F3B3AF7">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排放废水量/m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/a</w:t>
                  </w:r>
                </w:p>
              </w:tc>
              <w:tc>
                <w:tcPr>
                  <w:tcW w:w="223" w:type="pct"/>
                  <w:shd w:val="clear" w:color="auto" w:fill="auto"/>
                  <w:noWrap w:val="0"/>
                  <w:vAlign w:val="center"/>
                </w:tcPr>
                <w:p w14:paraId="299EC6CE">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排放浓度/mg/L</w:t>
                  </w:r>
                </w:p>
              </w:tc>
              <w:tc>
                <w:tcPr>
                  <w:tcW w:w="257" w:type="pct"/>
                  <w:shd w:val="clear" w:color="auto" w:fill="auto"/>
                  <w:noWrap w:val="0"/>
                  <w:vAlign w:val="center"/>
                </w:tcPr>
                <w:p w14:paraId="4AE941AC">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排放量</w:t>
                  </w:r>
                </w:p>
                <w:p w14:paraId="18E4BF8A">
                  <w:pPr>
                    <w:pStyle w:val="7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/t/a</w:t>
                  </w:r>
                </w:p>
              </w:tc>
              <w:tc>
                <w:tcPr>
                  <w:tcW w:w="145" w:type="pct"/>
                  <w:vMerge w:val="continue"/>
                  <w:shd w:val="clear" w:color="auto" w:fill="auto"/>
                  <w:noWrap w:val="0"/>
                  <w:vAlign w:val="center"/>
                </w:tcPr>
                <w:p w14:paraId="457A612E">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29F582A3">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2C1A31D3">
                  <w:pPr>
                    <w:pStyle w:val="75"/>
                    <w:spacing w:line="240" w:lineRule="exact"/>
                    <w:rPr>
                      <w:rFonts w:hint="default" w:ascii="Times New Roman" w:hAnsi="Times New Roman" w:cs="Times New Roman"/>
                      <w:color w:val="000000"/>
                      <w:sz w:val="21"/>
                      <w:szCs w:val="21"/>
                    </w:rPr>
                  </w:pPr>
                </w:p>
              </w:tc>
              <w:tc>
                <w:tcPr>
                  <w:tcW w:w="326" w:type="pct"/>
                  <w:shd w:val="clear" w:color="auto" w:fill="auto"/>
                  <w:noWrap w:val="0"/>
                  <w:vAlign w:val="center"/>
                </w:tcPr>
                <w:p w14:paraId="0676BF35">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编号及名称</w:t>
                  </w:r>
                </w:p>
              </w:tc>
              <w:tc>
                <w:tcPr>
                  <w:tcW w:w="220" w:type="pct"/>
                  <w:shd w:val="clear" w:color="auto" w:fill="auto"/>
                  <w:noWrap w:val="0"/>
                  <w:vAlign w:val="center"/>
                </w:tcPr>
                <w:p w14:paraId="03C1430B">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类型</w:t>
                  </w:r>
                </w:p>
              </w:tc>
              <w:tc>
                <w:tcPr>
                  <w:tcW w:w="601" w:type="pct"/>
                  <w:shd w:val="clear" w:color="auto" w:fill="auto"/>
                  <w:noWrap w:val="0"/>
                  <w:vAlign w:val="center"/>
                </w:tcPr>
                <w:p w14:paraId="2FD93B4D">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地理</w:t>
                  </w:r>
                </w:p>
                <w:p w14:paraId="50ED09EF">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坐标</w:t>
                  </w:r>
                </w:p>
              </w:tc>
              <w:tc>
                <w:tcPr>
                  <w:tcW w:w="227" w:type="pct"/>
                  <w:vMerge w:val="continue"/>
                  <w:shd w:val="clear" w:color="auto" w:fill="auto"/>
                  <w:noWrap w:val="0"/>
                  <w:vAlign w:val="center"/>
                </w:tcPr>
                <w:p w14:paraId="2A741A0E">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6AA2EA63">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浓度</w:t>
                  </w:r>
                </w:p>
                <w:p w14:paraId="4E02DCCF">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/mg/L</w:t>
                  </w:r>
                </w:p>
              </w:tc>
            </w:tr>
            <w:tr w14:paraId="0743C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restart"/>
                  <w:shd w:val="clear" w:color="auto" w:fill="auto"/>
                  <w:noWrap w:val="0"/>
                  <w:vAlign w:val="center"/>
                </w:tcPr>
                <w:p w14:paraId="75DDB6B2">
                  <w:pPr>
                    <w:pStyle w:val="75"/>
                    <w:spacing w:line="240" w:lineRule="exact"/>
                    <w:rPr>
                      <w:rFonts w:hint="default" w:ascii="Times New Roman" w:hAnsi="Times New Roman" w:eastAsia="宋体" w:cs="Times New Roman"/>
                      <w:color w:val="000000"/>
                      <w:sz w:val="21"/>
                      <w:szCs w:val="21"/>
                      <w:lang w:eastAsia="zh-CN"/>
                    </w:rPr>
                  </w:pPr>
                  <w:r>
                    <w:rPr>
                      <w:rFonts w:hint="default" w:ascii="Times New Roman" w:hAnsi="Times New Roman" w:cs="Times New Roman"/>
                      <w:bCs/>
                      <w:color w:val="000000"/>
                      <w:sz w:val="21"/>
                      <w:szCs w:val="21"/>
                    </w:rPr>
                    <w:t>职工</w:t>
                  </w:r>
                </w:p>
              </w:tc>
              <w:tc>
                <w:tcPr>
                  <w:tcW w:w="95" w:type="pct"/>
                  <w:vMerge w:val="restart"/>
                  <w:shd w:val="clear" w:color="auto" w:fill="auto"/>
                  <w:noWrap w:val="0"/>
                  <w:vAlign w:val="center"/>
                </w:tcPr>
                <w:p w14:paraId="396BDF7D">
                  <w:pPr>
                    <w:pStyle w:val="75"/>
                    <w:spacing w:line="240" w:lineRule="exact"/>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生活</w:t>
                  </w:r>
                </w:p>
                <w:p w14:paraId="7EBE2AE5">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污水</w:t>
                  </w:r>
                </w:p>
              </w:tc>
              <w:tc>
                <w:tcPr>
                  <w:tcW w:w="268" w:type="pct"/>
                  <w:shd w:val="clear" w:color="auto" w:fill="auto"/>
                  <w:noWrap w:val="0"/>
                  <w:vAlign w:val="center"/>
                </w:tcPr>
                <w:p w14:paraId="7C378587">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pH</w:t>
                  </w:r>
                </w:p>
              </w:tc>
              <w:tc>
                <w:tcPr>
                  <w:tcW w:w="129" w:type="pct"/>
                  <w:vMerge w:val="restart"/>
                  <w:shd w:val="clear" w:color="auto" w:fill="auto"/>
                  <w:noWrap w:val="0"/>
                  <w:vAlign w:val="center"/>
                </w:tcPr>
                <w:p w14:paraId="3BABE3C4">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产污系数法</w:t>
                  </w:r>
                </w:p>
              </w:tc>
              <w:tc>
                <w:tcPr>
                  <w:tcW w:w="249" w:type="pct"/>
                  <w:vMerge w:val="restart"/>
                  <w:shd w:val="clear" w:color="auto" w:fill="auto"/>
                  <w:noWrap w:val="0"/>
                  <w:vAlign w:val="center"/>
                </w:tcPr>
                <w:p w14:paraId="3D9CD4C0">
                  <w:pPr>
                    <w:pStyle w:val="75"/>
                    <w:spacing w:line="240" w:lineRule="exact"/>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931.5</w:t>
                  </w:r>
                </w:p>
              </w:tc>
              <w:tc>
                <w:tcPr>
                  <w:tcW w:w="200" w:type="pct"/>
                  <w:shd w:val="clear" w:color="auto" w:fill="auto"/>
                  <w:noWrap w:val="0"/>
                  <w:vAlign w:val="center"/>
                </w:tcPr>
                <w:p w14:paraId="7E3BB6A8">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6-9</w:t>
                  </w:r>
                </w:p>
              </w:tc>
              <w:tc>
                <w:tcPr>
                  <w:tcW w:w="237" w:type="pct"/>
                  <w:shd w:val="clear" w:color="auto" w:fill="auto"/>
                  <w:noWrap w:val="0"/>
                  <w:vAlign w:val="center"/>
                </w:tcPr>
                <w:p w14:paraId="324FEBC5">
                  <w:pPr>
                    <w:widowControl/>
                    <w:jc w:val="center"/>
                    <w:textAlignment w:val="center"/>
                    <w:rPr>
                      <w:rFonts w:hint="default" w:ascii="Times New Roman" w:hAnsi="Times New Roman" w:cs="Times New Roman"/>
                      <w:bCs/>
                      <w:color w:val="000000"/>
                      <w:sz w:val="21"/>
                      <w:szCs w:val="21"/>
                    </w:rPr>
                  </w:pPr>
                  <w:r>
                    <w:rPr>
                      <w:rFonts w:hint="default" w:ascii="Times New Roman" w:hAnsi="Times New Roman" w:cs="Times New Roman"/>
                      <w:color w:val="000000"/>
                      <w:kern w:val="0"/>
                      <w:sz w:val="21"/>
                      <w:szCs w:val="21"/>
                      <w:lang w:bidi="ar"/>
                    </w:rPr>
                    <w:t>/</w:t>
                  </w:r>
                </w:p>
              </w:tc>
              <w:tc>
                <w:tcPr>
                  <w:tcW w:w="181" w:type="pct"/>
                  <w:vMerge w:val="restart"/>
                  <w:shd w:val="clear" w:color="auto" w:fill="auto"/>
                  <w:noWrap w:val="0"/>
                  <w:vAlign w:val="center"/>
                </w:tcPr>
                <w:p w14:paraId="08997FEE">
                  <w:pPr>
                    <w:pStyle w:val="75"/>
                    <w:spacing w:line="240" w:lineRule="exact"/>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bCs/>
                      <w:color w:val="000000"/>
                      <w:sz w:val="21"/>
                      <w:szCs w:val="21"/>
                    </w:rPr>
                    <w:t>化粪池</w:t>
                  </w:r>
                </w:p>
              </w:tc>
              <w:tc>
                <w:tcPr>
                  <w:tcW w:w="210" w:type="pct"/>
                  <w:shd w:val="clear" w:color="auto" w:fill="auto"/>
                  <w:noWrap w:val="0"/>
                  <w:vAlign w:val="center"/>
                </w:tcPr>
                <w:p w14:paraId="1ACAC483">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w:t>
                  </w:r>
                </w:p>
              </w:tc>
              <w:tc>
                <w:tcPr>
                  <w:tcW w:w="142" w:type="pct"/>
                  <w:vMerge w:val="restart"/>
                  <w:shd w:val="clear" w:color="auto" w:fill="auto"/>
                  <w:noWrap w:val="0"/>
                  <w:vAlign w:val="center"/>
                </w:tcPr>
                <w:p w14:paraId="53B6E4C0">
                  <w:pPr>
                    <w:pStyle w:val="75"/>
                    <w:spacing w:line="240" w:lineRule="exact"/>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是</w:t>
                  </w:r>
                </w:p>
              </w:tc>
              <w:tc>
                <w:tcPr>
                  <w:tcW w:w="223" w:type="pct"/>
                  <w:vMerge w:val="restart"/>
                  <w:shd w:val="clear" w:color="auto" w:fill="auto"/>
                  <w:noWrap w:val="0"/>
                  <w:vAlign w:val="center"/>
                </w:tcPr>
                <w:p w14:paraId="7BA63181">
                  <w:pPr>
                    <w:pStyle w:val="75"/>
                    <w:spacing w:line="240" w:lineRule="exact"/>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931.5</w:t>
                  </w:r>
                </w:p>
              </w:tc>
              <w:tc>
                <w:tcPr>
                  <w:tcW w:w="223" w:type="pct"/>
                  <w:shd w:val="clear" w:color="auto" w:fill="auto"/>
                  <w:noWrap w:val="0"/>
                  <w:vAlign w:val="center"/>
                </w:tcPr>
                <w:p w14:paraId="78DADDF9">
                  <w:pPr>
                    <w:widowControl/>
                    <w:jc w:val="center"/>
                    <w:textAlignment w:val="center"/>
                    <w:rPr>
                      <w:rFonts w:hint="default" w:ascii="Times New Roman" w:hAnsi="Times New Roman" w:cs="Times New Roman"/>
                      <w:bCs/>
                      <w:color w:val="000000"/>
                      <w:sz w:val="21"/>
                      <w:szCs w:val="21"/>
                    </w:rPr>
                  </w:pPr>
                  <w:r>
                    <w:rPr>
                      <w:rFonts w:hint="default" w:ascii="Times New Roman" w:hAnsi="Times New Roman" w:cs="Times New Roman"/>
                      <w:color w:val="000000"/>
                      <w:kern w:val="0"/>
                      <w:sz w:val="21"/>
                      <w:szCs w:val="21"/>
                      <w:lang w:bidi="ar"/>
                    </w:rPr>
                    <w:t>/</w:t>
                  </w:r>
                </w:p>
              </w:tc>
              <w:tc>
                <w:tcPr>
                  <w:tcW w:w="257" w:type="pct"/>
                  <w:shd w:val="clear" w:color="auto" w:fill="auto"/>
                  <w:noWrap w:val="0"/>
                  <w:vAlign w:val="center"/>
                </w:tcPr>
                <w:p w14:paraId="1DA2645E">
                  <w:pPr>
                    <w:widowControl/>
                    <w:jc w:val="center"/>
                    <w:textAlignment w:val="center"/>
                    <w:rPr>
                      <w:rFonts w:hint="default" w:ascii="Times New Roman" w:hAnsi="Times New Roman" w:cs="Times New Roman"/>
                      <w:bCs/>
                      <w:color w:val="000000"/>
                      <w:sz w:val="21"/>
                      <w:szCs w:val="21"/>
                    </w:rPr>
                  </w:pPr>
                  <w:r>
                    <w:rPr>
                      <w:rFonts w:hint="default" w:ascii="Times New Roman" w:hAnsi="Times New Roman" w:cs="Times New Roman"/>
                      <w:color w:val="000000"/>
                      <w:kern w:val="0"/>
                      <w:sz w:val="21"/>
                      <w:szCs w:val="21"/>
                      <w:lang w:bidi="ar"/>
                    </w:rPr>
                    <w:t>/</w:t>
                  </w:r>
                </w:p>
              </w:tc>
              <w:tc>
                <w:tcPr>
                  <w:tcW w:w="145" w:type="pct"/>
                  <w:vMerge w:val="restart"/>
                  <w:shd w:val="clear" w:color="auto" w:fill="auto"/>
                  <w:noWrap w:val="0"/>
                  <w:vAlign w:val="center"/>
                </w:tcPr>
                <w:p w14:paraId="3CE486F0">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间接排放</w:t>
                  </w:r>
                </w:p>
              </w:tc>
              <w:tc>
                <w:tcPr>
                  <w:tcW w:w="403" w:type="pct"/>
                  <w:vMerge w:val="restart"/>
                  <w:shd w:val="clear" w:color="auto" w:fill="auto"/>
                  <w:noWrap w:val="0"/>
                  <w:vAlign w:val="center"/>
                </w:tcPr>
                <w:p w14:paraId="0C7240A4">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排入市政污水管网，送往</w:t>
                  </w:r>
                  <w:r>
                    <w:rPr>
                      <w:rFonts w:hint="default" w:ascii="Times New Roman" w:hAnsi="Times New Roman" w:cs="Times New Roman"/>
                      <w:bCs/>
                      <w:color w:val="000000"/>
                      <w:sz w:val="21"/>
                      <w:szCs w:val="21"/>
                      <w:lang w:eastAsia="zh-CN"/>
                    </w:rPr>
                    <w:t>福清市第二污水处理厂</w:t>
                  </w:r>
                  <w:r>
                    <w:rPr>
                      <w:rFonts w:hint="default" w:ascii="Times New Roman" w:hAnsi="Times New Roman" w:cs="Times New Roman"/>
                      <w:bCs/>
                      <w:color w:val="000000"/>
                      <w:sz w:val="21"/>
                      <w:szCs w:val="21"/>
                    </w:rPr>
                    <w:t>集中处理</w:t>
                  </w:r>
                </w:p>
              </w:tc>
              <w:tc>
                <w:tcPr>
                  <w:tcW w:w="167" w:type="pct"/>
                  <w:vMerge w:val="restart"/>
                  <w:shd w:val="clear" w:color="auto" w:fill="auto"/>
                  <w:noWrap w:val="0"/>
                  <w:vAlign w:val="center"/>
                </w:tcPr>
                <w:p w14:paraId="17398C65">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间歇排放</w:t>
                  </w:r>
                </w:p>
              </w:tc>
              <w:tc>
                <w:tcPr>
                  <w:tcW w:w="326" w:type="pct"/>
                  <w:vMerge w:val="restart"/>
                  <w:shd w:val="clear" w:color="auto" w:fill="auto"/>
                  <w:noWrap w:val="0"/>
                  <w:vAlign w:val="center"/>
                </w:tcPr>
                <w:p w14:paraId="1BBEA476">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编号DW001，</w:t>
                  </w:r>
                  <w:r>
                    <w:rPr>
                      <w:rFonts w:hint="default" w:ascii="Times New Roman" w:hAnsi="Times New Roman" w:cs="Times New Roman"/>
                      <w:color w:val="000000"/>
                      <w:sz w:val="21"/>
                      <w:szCs w:val="21"/>
                    </w:rPr>
                    <w:t>厂区污水总排口</w:t>
                  </w:r>
                </w:p>
              </w:tc>
              <w:tc>
                <w:tcPr>
                  <w:tcW w:w="220" w:type="pct"/>
                  <w:vMerge w:val="restart"/>
                  <w:shd w:val="clear" w:color="auto" w:fill="auto"/>
                  <w:noWrap w:val="0"/>
                  <w:vAlign w:val="center"/>
                </w:tcPr>
                <w:p w14:paraId="119C6F6A">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一般排放口</w:t>
                  </w:r>
                </w:p>
              </w:tc>
              <w:tc>
                <w:tcPr>
                  <w:tcW w:w="601" w:type="pct"/>
                  <w:vMerge w:val="restart"/>
                  <w:shd w:val="clear" w:color="auto" w:fill="auto"/>
                  <w:noWrap w:val="0"/>
                  <w:vAlign w:val="center"/>
                </w:tcPr>
                <w:p w14:paraId="321F59BA">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经度：</w:t>
                  </w:r>
                </w:p>
                <w:p w14:paraId="31118DDC">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119°17′30.743″</w:t>
                  </w:r>
                </w:p>
                <w:p w14:paraId="6611E5D8">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纬度：</w:t>
                  </w:r>
                </w:p>
                <w:p w14:paraId="0FB39033">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25°45′19.478″</w:t>
                  </w:r>
                </w:p>
              </w:tc>
              <w:tc>
                <w:tcPr>
                  <w:tcW w:w="227" w:type="pct"/>
                  <w:vMerge w:val="restart"/>
                  <w:shd w:val="clear" w:color="auto" w:fill="auto"/>
                  <w:noWrap w:val="0"/>
                  <w:vAlign w:val="center"/>
                </w:tcPr>
                <w:p w14:paraId="761AE12A">
                  <w:pPr>
                    <w:pStyle w:val="75"/>
                    <w:spacing w:line="240" w:lineRule="exact"/>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4800</w:t>
                  </w:r>
                </w:p>
              </w:tc>
              <w:tc>
                <w:tcPr>
                  <w:tcW w:w="392" w:type="pct"/>
                  <w:shd w:val="clear" w:color="auto" w:fill="auto"/>
                  <w:noWrap w:val="0"/>
                  <w:vAlign w:val="center"/>
                </w:tcPr>
                <w:p w14:paraId="4BFD0E4A">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6-9(无量纲)</w:t>
                  </w:r>
                </w:p>
              </w:tc>
            </w:tr>
            <w:tr w14:paraId="1466A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425" w:hRule="atLeast"/>
                <w:jc w:val="center"/>
              </w:trPr>
              <w:tc>
                <w:tcPr>
                  <w:tcW w:w="95" w:type="pct"/>
                  <w:vMerge w:val="continue"/>
                  <w:shd w:val="clear" w:color="auto" w:fill="auto"/>
                  <w:noWrap w:val="0"/>
                  <w:vAlign w:val="center"/>
                </w:tcPr>
                <w:p w14:paraId="3456F133">
                  <w:pPr>
                    <w:pStyle w:val="75"/>
                    <w:spacing w:line="240" w:lineRule="exact"/>
                    <w:rPr>
                      <w:rFonts w:hint="default" w:ascii="Times New Roman" w:hAnsi="Times New Roman" w:cs="Times New Roman"/>
                      <w:bCs/>
                      <w:color w:val="000000"/>
                      <w:sz w:val="21"/>
                      <w:szCs w:val="21"/>
                    </w:rPr>
                  </w:pPr>
                </w:p>
              </w:tc>
              <w:tc>
                <w:tcPr>
                  <w:tcW w:w="95" w:type="pct"/>
                  <w:vMerge w:val="continue"/>
                  <w:shd w:val="clear" w:color="auto" w:fill="auto"/>
                  <w:noWrap w:val="0"/>
                  <w:vAlign w:val="center"/>
                </w:tcPr>
                <w:p w14:paraId="1BCF8EC8">
                  <w:pPr>
                    <w:pStyle w:val="75"/>
                    <w:spacing w:line="240" w:lineRule="exact"/>
                    <w:rPr>
                      <w:rFonts w:hint="default" w:ascii="Times New Roman" w:hAnsi="Times New Roman" w:cs="Times New Roman"/>
                      <w:bCs/>
                      <w:color w:val="000000"/>
                      <w:sz w:val="21"/>
                      <w:szCs w:val="21"/>
                    </w:rPr>
                  </w:pPr>
                </w:p>
              </w:tc>
              <w:tc>
                <w:tcPr>
                  <w:tcW w:w="268" w:type="pct"/>
                  <w:shd w:val="clear" w:color="auto" w:fill="auto"/>
                  <w:noWrap w:val="0"/>
                  <w:vAlign w:val="center"/>
                </w:tcPr>
                <w:p w14:paraId="536BD7F9">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color w:val="000000"/>
                      <w:sz w:val="21"/>
                      <w:szCs w:val="21"/>
                    </w:rPr>
                    <w:t>COD</w:t>
                  </w:r>
                  <w:r>
                    <w:rPr>
                      <w:rFonts w:hint="eastAsia" w:cs="Times New Roman"/>
                      <w:color w:val="000000"/>
                      <w:sz w:val="21"/>
                      <w:szCs w:val="21"/>
                      <w:vertAlign w:val="subscript"/>
                      <w:lang w:val="en-US" w:eastAsia="zh-CN"/>
                    </w:rPr>
                    <w:t>cr</w:t>
                  </w:r>
                </w:p>
              </w:tc>
              <w:tc>
                <w:tcPr>
                  <w:tcW w:w="129" w:type="pct"/>
                  <w:vMerge w:val="continue"/>
                  <w:shd w:val="clear" w:color="auto" w:fill="auto"/>
                  <w:noWrap w:val="0"/>
                  <w:vAlign w:val="center"/>
                </w:tcPr>
                <w:p w14:paraId="5B4EDFC5">
                  <w:pPr>
                    <w:pStyle w:val="75"/>
                    <w:spacing w:line="240" w:lineRule="exact"/>
                    <w:rPr>
                      <w:rFonts w:hint="default" w:ascii="Times New Roman" w:hAnsi="Times New Roman" w:cs="Times New Roman"/>
                      <w:color w:val="000000"/>
                      <w:sz w:val="21"/>
                      <w:szCs w:val="21"/>
                    </w:rPr>
                  </w:pPr>
                </w:p>
              </w:tc>
              <w:tc>
                <w:tcPr>
                  <w:tcW w:w="249" w:type="pct"/>
                  <w:vMerge w:val="continue"/>
                  <w:shd w:val="clear" w:color="auto" w:fill="auto"/>
                  <w:noWrap w:val="0"/>
                  <w:vAlign w:val="center"/>
                </w:tcPr>
                <w:p w14:paraId="0EC962C3">
                  <w:pPr>
                    <w:pStyle w:val="75"/>
                    <w:spacing w:line="240" w:lineRule="exact"/>
                    <w:rPr>
                      <w:rFonts w:hint="default" w:ascii="Times New Roman" w:hAnsi="Times New Roman" w:cs="Times New Roman"/>
                      <w:color w:val="000000"/>
                      <w:sz w:val="21"/>
                      <w:szCs w:val="21"/>
                    </w:rPr>
                  </w:pPr>
                </w:p>
              </w:tc>
              <w:tc>
                <w:tcPr>
                  <w:tcW w:w="200" w:type="pct"/>
                  <w:shd w:val="clear" w:color="auto" w:fill="auto"/>
                  <w:noWrap w:val="0"/>
                  <w:vAlign w:val="center"/>
                </w:tcPr>
                <w:p w14:paraId="07E09033">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340</w:t>
                  </w:r>
                </w:p>
              </w:tc>
              <w:tc>
                <w:tcPr>
                  <w:tcW w:w="237" w:type="pct"/>
                  <w:shd w:val="clear" w:color="auto" w:fill="auto"/>
                  <w:noWrap w:val="0"/>
                  <w:vAlign w:val="center"/>
                </w:tcPr>
                <w:p w14:paraId="4FC5EE52">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0.317</w:t>
                  </w:r>
                </w:p>
              </w:tc>
              <w:tc>
                <w:tcPr>
                  <w:tcW w:w="181" w:type="pct"/>
                  <w:vMerge w:val="continue"/>
                  <w:shd w:val="clear" w:color="auto" w:fill="auto"/>
                  <w:noWrap w:val="0"/>
                  <w:vAlign w:val="center"/>
                </w:tcPr>
                <w:p w14:paraId="6C775B7C">
                  <w:pPr>
                    <w:pStyle w:val="75"/>
                    <w:spacing w:line="240" w:lineRule="exact"/>
                    <w:rPr>
                      <w:rFonts w:hint="default" w:ascii="Times New Roman" w:hAnsi="Times New Roman" w:cs="Times New Roman"/>
                      <w:color w:val="000000"/>
                      <w:sz w:val="21"/>
                      <w:szCs w:val="21"/>
                    </w:rPr>
                  </w:pPr>
                </w:p>
              </w:tc>
              <w:tc>
                <w:tcPr>
                  <w:tcW w:w="210" w:type="pct"/>
                  <w:shd w:val="clear" w:color="auto" w:fill="auto"/>
                  <w:noWrap w:val="0"/>
                  <w:vAlign w:val="center"/>
                </w:tcPr>
                <w:p w14:paraId="7643D65F">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lang w:val="en-US" w:eastAsia="zh-CN"/>
                    </w:rPr>
                    <w:t>19.3</w:t>
                  </w:r>
                  <w:r>
                    <w:rPr>
                      <w:rFonts w:hint="default" w:ascii="Times New Roman" w:hAnsi="Times New Roman" w:cs="Times New Roman"/>
                      <w:color w:val="000000"/>
                      <w:sz w:val="21"/>
                      <w:szCs w:val="21"/>
                    </w:rPr>
                    <w:t>%</w:t>
                  </w:r>
                </w:p>
              </w:tc>
              <w:tc>
                <w:tcPr>
                  <w:tcW w:w="142" w:type="pct"/>
                  <w:vMerge w:val="continue"/>
                  <w:shd w:val="clear" w:color="auto" w:fill="auto"/>
                  <w:noWrap w:val="0"/>
                  <w:vAlign w:val="center"/>
                </w:tcPr>
                <w:p w14:paraId="0E8D05AC">
                  <w:pPr>
                    <w:pStyle w:val="75"/>
                    <w:spacing w:line="240" w:lineRule="exact"/>
                    <w:rPr>
                      <w:rFonts w:hint="default" w:ascii="Times New Roman" w:hAnsi="Times New Roman" w:cs="Times New Roman"/>
                      <w:color w:val="000000"/>
                      <w:sz w:val="21"/>
                      <w:szCs w:val="21"/>
                    </w:rPr>
                  </w:pPr>
                </w:p>
              </w:tc>
              <w:tc>
                <w:tcPr>
                  <w:tcW w:w="223" w:type="pct"/>
                  <w:vMerge w:val="continue"/>
                  <w:shd w:val="clear" w:color="auto" w:fill="auto"/>
                  <w:noWrap w:val="0"/>
                  <w:vAlign w:val="center"/>
                </w:tcPr>
                <w:p w14:paraId="1420768E">
                  <w:pPr>
                    <w:pStyle w:val="75"/>
                    <w:spacing w:line="240" w:lineRule="exact"/>
                    <w:rPr>
                      <w:rFonts w:hint="default" w:ascii="Times New Roman" w:hAnsi="Times New Roman" w:cs="Times New Roman"/>
                      <w:color w:val="000000"/>
                      <w:sz w:val="21"/>
                      <w:szCs w:val="21"/>
                    </w:rPr>
                  </w:pPr>
                </w:p>
              </w:tc>
              <w:tc>
                <w:tcPr>
                  <w:tcW w:w="223" w:type="pct"/>
                  <w:shd w:val="clear" w:color="auto" w:fill="auto"/>
                  <w:noWrap w:val="0"/>
                  <w:vAlign w:val="center"/>
                </w:tcPr>
                <w:p w14:paraId="7FEA86D3">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274.38</w:t>
                  </w:r>
                </w:p>
              </w:tc>
              <w:tc>
                <w:tcPr>
                  <w:tcW w:w="257" w:type="pct"/>
                  <w:shd w:val="clear" w:color="auto" w:fill="auto"/>
                  <w:noWrap w:val="0"/>
                  <w:vAlign w:val="center"/>
                </w:tcPr>
                <w:p w14:paraId="6ABA4EA9">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0.256</w:t>
                  </w:r>
                  <w:r>
                    <w:rPr>
                      <w:rFonts w:hint="default" w:ascii="Times New Roman" w:hAnsi="Times New Roman" w:eastAsia="宋体" w:cs="Times New Roman"/>
                      <w:color w:val="000000"/>
                      <w:sz w:val="21"/>
                      <w:szCs w:val="21"/>
                      <w:lang w:val="en-US" w:eastAsia="zh-CN"/>
                    </w:rPr>
                    <w:t xml:space="preserve"> </w:t>
                  </w:r>
                </w:p>
              </w:tc>
              <w:tc>
                <w:tcPr>
                  <w:tcW w:w="145" w:type="pct"/>
                  <w:vMerge w:val="continue"/>
                  <w:shd w:val="clear" w:color="auto" w:fill="auto"/>
                  <w:noWrap w:val="0"/>
                  <w:vAlign w:val="center"/>
                </w:tcPr>
                <w:p w14:paraId="1AF447DD">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7E138A74">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347A0CFE">
                  <w:pPr>
                    <w:pStyle w:val="75"/>
                    <w:spacing w:line="240" w:lineRule="exact"/>
                    <w:rPr>
                      <w:rFonts w:hint="default" w:ascii="Times New Roman" w:hAnsi="Times New Roman" w:cs="Times New Roman"/>
                      <w:color w:val="000000"/>
                      <w:sz w:val="21"/>
                      <w:szCs w:val="21"/>
                    </w:rPr>
                  </w:pPr>
                </w:p>
              </w:tc>
              <w:tc>
                <w:tcPr>
                  <w:tcW w:w="326" w:type="pct"/>
                  <w:vMerge w:val="continue"/>
                  <w:shd w:val="clear" w:color="auto" w:fill="auto"/>
                  <w:noWrap w:val="0"/>
                  <w:vAlign w:val="center"/>
                </w:tcPr>
                <w:p w14:paraId="169D81B8">
                  <w:pPr>
                    <w:pStyle w:val="75"/>
                    <w:spacing w:line="240" w:lineRule="exact"/>
                    <w:rPr>
                      <w:rFonts w:hint="default" w:ascii="Times New Roman" w:hAnsi="Times New Roman" w:cs="Times New Roman"/>
                      <w:color w:val="000000"/>
                      <w:sz w:val="21"/>
                      <w:szCs w:val="21"/>
                    </w:rPr>
                  </w:pPr>
                </w:p>
              </w:tc>
              <w:tc>
                <w:tcPr>
                  <w:tcW w:w="220" w:type="pct"/>
                  <w:vMerge w:val="continue"/>
                  <w:shd w:val="clear" w:color="auto" w:fill="auto"/>
                  <w:noWrap w:val="0"/>
                  <w:vAlign w:val="center"/>
                </w:tcPr>
                <w:p w14:paraId="7123BF3A">
                  <w:pPr>
                    <w:pStyle w:val="75"/>
                    <w:spacing w:line="240" w:lineRule="exact"/>
                    <w:rPr>
                      <w:rFonts w:hint="default" w:ascii="Times New Roman" w:hAnsi="Times New Roman" w:cs="Times New Roman"/>
                      <w:color w:val="000000"/>
                      <w:sz w:val="21"/>
                      <w:szCs w:val="21"/>
                    </w:rPr>
                  </w:pPr>
                </w:p>
              </w:tc>
              <w:tc>
                <w:tcPr>
                  <w:tcW w:w="601" w:type="pct"/>
                  <w:vMerge w:val="continue"/>
                  <w:shd w:val="clear" w:color="auto" w:fill="auto"/>
                  <w:noWrap w:val="0"/>
                  <w:vAlign w:val="center"/>
                </w:tcPr>
                <w:p w14:paraId="7505F7DA">
                  <w:pPr>
                    <w:pStyle w:val="75"/>
                    <w:spacing w:line="240" w:lineRule="exact"/>
                    <w:rPr>
                      <w:rFonts w:hint="default" w:ascii="Times New Roman" w:hAnsi="Times New Roman" w:cs="Times New Roman"/>
                      <w:color w:val="000000"/>
                      <w:sz w:val="21"/>
                      <w:szCs w:val="21"/>
                    </w:rPr>
                  </w:pPr>
                </w:p>
              </w:tc>
              <w:tc>
                <w:tcPr>
                  <w:tcW w:w="227" w:type="pct"/>
                  <w:vMerge w:val="continue"/>
                  <w:shd w:val="clear" w:color="auto" w:fill="auto"/>
                  <w:noWrap w:val="0"/>
                  <w:vAlign w:val="center"/>
                </w:tcPr>
                <w:p w14:paraId="45DCB370">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2C98F98F">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500</w:t>
                  </w:r>
                </w:p>
              </w:tc>
            </w:tr>
            <w:tr w14:paraId="4E5B3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continue"/>
                  <w:shd w:val="clear" w:color="auto" w:fill="auto"/>
                  <w:noWrap w:val="0"/>
                  <w:vAlign w:val="center"/>
                </w:tcPr>
                <w:p w14:paraId="353AD6B3">
                  <w:pPr>
                    <w:pStyle w:val="75"/>
                    <w:spacing w:line="240" w:lineRule="exact"/>
                    <w:rPr>
                      <w:rFonts w:hint="default" w:ascii="Times New Roman" w:hAnsi="Times New Roman" w:cs="Times New Roman"/>
                      <w:bCs/>
                      <w:color w:val="000000"/>
                      <w:sz w:val="21"/>
                      <w:szCs w:val="21"/>
                    </w:rPr>
                  </w:pPr>
                </w:p>
              </w:tc>
              <w:tc>
                <w:tcPr>
                  <w:tcW w:w="95" w:type="pct"/>
                  <w:vMerge w:val="continue"/>
                  <w:shd w:val="clear" w:color="auto" w:fill="auto"/>
                  <w:noWrap w:val="0"/>
                  <w:vAlign w:val="center"/>
                </w:tcPr>
                <w:p w14:paraId="4A8FEFB4">
                  <w:pPr>
                    <w:pStyle w:val="75"/>
                    <w:spacing w:line="240" w:lineRule="exact"/>
                    <w:rPr>
                      <w:rFonts w:hint="default" w:ascii="Times New Roman" w:hAnsi="Times New Roman" w:cs="Times New Roman"/>
                      <w:bCs/>
                      <w:color w:val="000000"/>
                      <w:sz w:val="21"/>
                      <w:szCs w:val="21"/>
                    </w:rPr>
                  </w:pPr>
                </w:p>
              </w:tc>
              <w:tc>
                <w:tcPr>
                  <w:tcW w:w="268" w:type="pct"/>
                  <w:shd w:val="clear" w:color="auto" w:fill="auto"/>
                  <w:noWrap w:val="0"/>
                  <w:vAlign w:val="center"/>
                </w:tcPr>
                <w:p w14:paraId="4C5D6D1E">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p>
              </w:tc>
              <w:tc>
                <w:tcPr>
                  <w:tcW w:w="129" w:type="pct"/>
                  <w:vMerge w:val="continue"/>
                  <w:shd w:val="clear" w:color="auto" w:fill="auto"/>
                  <w:noWrap w:val="0"/>
                  <w:vAlign w:val="center"/>
                </w:tcPr>
                <w:p w14:paraId="3B90CE58">
                  <w:pPr>
                    <w:pStyle w:val="75"/>
                    <w:spacing w:line="240" w:lineRule="exact"/>
                    <w:rPr>
                      <w:rFonts w:hint="default" w:ascii="Times New Roman" w:hAnsi="Times New Roman" w:cs="Times New Roman"/>
                      <w:color w:val="000000"/>
                      <w:sz w:val="21"/>
                      <w:szCs w:val="21"/>
                    </w:rPr>
                  </w:pPr>
                </w:p>
              </w:tc>
              <w:tc>
                <w:tcPr>
                  <w:tcW w:w="249" w:type="pct"/>
                  <w:vMerge w:val="continue"/>
                  <w:shd w:val="clear" w:color="auto" w:fill="auto"/>
                  <w:noWrap w:val="0"/>
                  <w:vAlign w:val="center"/>
                </w:tcPr>
                <w:p w14:paraId="5CC22D27">
                  <w:pPr>
                    <w:pStyle w:val="75"/>
                    <w:spacing w:line="240" w:lineRule="exact"/>
                    <w:rPr>
                      <w:rFonts w:hint="default" w:ascii="Times New Roman" w:hAnsi="Times New Roman" w:cs="Times New Roman"/>
                      <w:color w:val="000000"/>
                      <w:sz w:val="21"/>
                      <w:szCs w:val="21"/>
                    </w:rPr>
                  </w:pPr>
                </w:p>
              </w:tc>
              <w:tc>
                <w:tcPr>
                  <w:tcW w:w="200" w:type="pct"/>
                  <w:shd w:val="clear" w:color="auto" w:fill="auto"/>
                  <w:noWrap w:val="0"/>
                  <w:vAlign w:val="center"/>
                </w:tcPr>
                <w:p w14:paraId="74FF77CB">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200</w:t>
                  </w:r>
                </w:p>
              </w:tc>
              <w:tc>
                <w:tcPr>
                  <w:tcW w:w="237" w:type="pct"/>
                  <w:shd w:val="clear" w:color="auto" w:fill="auto"/>
                  <w:noWrap w:val="0"/>
                  <w:vAlign w:val="center"/>
                </w:tcPr>
                <w:p w14:paraId="6DD71089">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0.186</w:t>
                  </w:r>
                </w:p>
              </w:tc>
              <w:tc>
                <w:tcPr>
                  <w:tcW w:w="181" w:type="pct"/>
                  <w:vMerge w:val="continue"/>
                  <w:shd w:val="clear" w:color="auto" w:fill="auto"/>
                  <w:noWrap w:val="0"/>
                  <w:vAlign w:val="center"/>
                </w:tcPr>
                <w:p w14:paraId="5E0A1021">
                  <w:pPr>
                    <w:pStyle w:val="75"/>
                    <w:spacing w:line="240" w:lineRule="exact"/>
                    <w:rPr>
                      <w:rFonts w:hint="default" w:ascii="Times New Roman" w:hAnsi="Times New Roman" w:cs="Times New Roman"/>
                      <w:color w:val="000000"/>
                      <w:sz w:val="21"/>
                      <w:szCs w:val="21"/>
                    </w:rPr>
                  </w:pPr>
                </w:p>
              </w:tc>
              <w:tc>
                <w:tcPr>
                  <w:tcW w:w="210" w:type="pct"/>
                  <w:shd w:val="clear" w:color="auto" w:fill="auto"/>
                  <w:noWrap w:val="0"/>
                  <w:vAlign w:val="center"/>
                </w:tcPr>
                <w:p w14:paraId="701B0E4F">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lang w:val="en-US" w:eastAsia="zh-CN"/>
                    </w:rPr>
                    <w:t>12.7</w:t>
                  </w:r>
                  <w:r>
                    <w:rPr>
                      <w:rFonts w:hint="default" w:ascii="Times New Roman" w:hAnsi="Times New Roman" w:cs="Times New Roman"/>
                      <w:bCs/>
                      <w:color w:val="000000"/>
                      <w:sz w:val="21"/>
                      <w:szCs w:val="21"/>
                    </w:rPr>
                    <w:t>%</w:t>
                  </w:r>
                </w:p>
              </w:tc>
              <w:tc>
                <w:tcPr>
                  <w:tcW w:w="142" w:type="pct"/>
                  <w:vMerge w:val="continue"/>
                  <w:shd w:val="clear" w:color="auto" w:fill="auto"/>
                  <w:noWrap w:val="0"/>
                  <w:vAlign w:val="center"/>
                </w:tcPr>
                <w:p w14:paraId="0ACC49AC">
                  <w:pPr>
                    <w:pStyle w:val="75"/>
                    <w:spacing w:line="240" w:lineRule="exact"/>
                    <w:rPr>
                      <w:rFonts w:hint="default" w:ascii="Times New Roman" w:hAnsi="Times New Roman" w:cs="Times New Roman"/>
                      <w:color w:val="000000"/>
                      <w:sz w:val="21"/>
                      <w:szCs w:val="21"/>
                    </w:rPr>
                  </w:pPr>
                </w:p>
              </w:tc>
              <w:tc>
                <w:tcPr>
                  <w:tcW w:w="223" w:type="pct"/>
                  <w:vMerge w:val="continue"/>
                  <w:shd w:val="clear" w:color="auto" w:fill="auto"/>
                  <w:noWrap w:val="0"/>
                  <w:vAlign w:val="center"/>
                </w:tcPr>
                <w:p w14:paraId="6B19B741">
                  <w:pPr>
                    <w:pStyle w:val="75"/>
                    <w:spacing w:line="240" w:lineRule="exact"/>
                    <w:rPr>
                      <w:rFonts w:hint="default" w:ascii="Times New Roman" w:hAnsi="Times New Roman" w:cs="Times New Roman"/>
                      <w:color w:val="000000"/>
                      <w:sz w:val="21"/>
                      <w:szCs w:val="21"/>
                    </w:rPr>
                  </w:pPr>
                </w:p>
              </w:tc>
              <w:tc>
                <w:tcPr>
                  <w:tcW w:w="223" w:type="pct"/>
                  <w:shd w:val="clear" w:color="auto" w:fill="auto"/>
                  <w:noWrap w:val="0"/>
                  <w:vAlign w:val="center"/>
                </w:tcPr>
                <w:p w14:paraId="3AE00A8B">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174.6</w:t>
                  </w:r>
                </w:p>
              </w:tc>
              <w:tc>
                <w:tcPr>
                  <w:tcW w:w="257" w:type="pct"/>
                  <w:shd w:val="clear" w:color="auto" w:fill="auto"/>
                  <w:noWrap w:val="0"/>
                  <w:vAlign w:val="center"/>
                </w:tcPr>
                <w:p w14:paraId="4725B39C">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w:t>
                  </w:r>
                  <w:r>
                    <w:rPr>
                      <w:rFonts w:hint="eastAsia" w:cs="Times New Roman"/>
                      <w:color w:val="000000"/>
                      <w:sz w:val="21"/>
                      <w:szCs w:val="21"/>
                      <w:lang w:val="en-US" w:eastAsia="zh-CN"/>
                    </w:rPr>
                    <w:t>162</w:t>
                  </w:r>
                  <w:r>
                    <w:rPr>
                      <w:rFonts w:hint="default" w:ascii="Times New Roman" w:hAnsi="Times New Roman" w:eastAsia="宋体" w:cs="Times New Roman"/>
                      <w:color w:val="000000"/>
                      <w:sz w:val="21"/>
                      <w:szCs w:val="21"/>
                      <w:lang w:val="en-US" w:eastAsia="zh-CN"/>
                    </w:rPr>
                    <w:t xml:space="preserve"> </w:t>
                  </w:r>
                </w:p>
              </w:tc>
              <w:tc>
                <w:tcPr>
                  <w:tcW w:w="145" w:type="pct"/>
                  <w:vMerge w:val="continue"/>
                  <w:shd w:val="clear" w:color="auto" w:fill="auto"/>
                  <w:noWrap w:val="0"/>
                  <w:vAlign w:val="center"/>
                </w:tcPr>
                <w:p w14:paraId="7C971A4E">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282762E1">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5E6C8BEE">
                  <w:pPr>
                    <w:pStyle w:val="75"/>
                    <w:spacing w:line="240" w:lineRule="exact"/>
                    <w:rPr>
                      <w:rFonts w:hint="default" w:ascii="Times New Roman" w:hAnsi="Times New Roman" w:cs="Times New Roman"/>
                      <w:color w:val="000000"/>
                      <w:sz w:val="21"/>
                      <w:szCs w:val="21"/>
                    </w:rPr>
                  </w:pPr>
                </w:p>
              </w:tc>
              <w:tc>
                <w:tcPr>
                  <w:tcW w:w="326" w:type="pct"/>
                  <w:vMerge w:val="continue"/>
                  <w:shd w:val="clear" w:color="auto" w:fill="auto"/>
                  <w:noWrap w:val="0"/>
                  <w:vAlign w:val="center"/>
                </w:tcPr>
                <w:p w14:paraId="214F61C4">
                  <w:pPr>
                    <w:pStyle w:val="75"/>
                    <w:spacing w:line="240" w:lineRule="exact"/>
                    <w:rPr>
                      <w:rFonts w:hint="default" w:ascii="Times New Roman" w:hAnsi="Times New Roman" w:cs="Times New Roman"/>
                      <w:color w:val="000000"/>
                      <w:sz w:val="21"/>
                      <w:szCs w:val="21"/>
                    </w:rPr>
                  </w:pPr>
                </w:p>
              </w:tc>
              <w:tc>
                <w:tcPr>
                  <w:tcW w:w="220" w:type="pct"/>
                  <w:vMerge w:val="continue"/>
                  <w:shd w:val="clear" w:color="auto" w:fill="auto"/>
                  <w:noWrap w:val="0"/>
                  <w:vAlign w:val="center"/>
                </w:tcPr>
                <w:p w14:paraId="658CDF2D">
                  <w:pPr>
                    <w:pStyle w:val="75"/>
                    <w:spacing w:line="240" w:lineRule="exact"/>
                    <w:rPr>
                      <w:rFonts w:hint="default" w:ascii="Times New Roman" w:hAnsi="Times New Roman" w:cs="Times New Roman"/>
                      <w:color w:val="000000"/>
                      <w:sz w:val="21"/>
                      <w:szCs w:val="21"/>
                    </w:rPr>
                  </w:pPr>
                </w:p>
              </w:tc>
              <w:tc>
                <w:tcPr>
                  <w:tcW w:w="601" w:type="pct"/>
                  <w:vMerge w:val="continue"/>
                  <w:shd w:val="clear" w:color="auto" w:fill="auto"/>
                  <w:noWrap w:val="0"/>
                  <w:vAlign w:val="center"/>
                </w:tcPr>
                <w:p w14:paraId="01BD3862">
                  <w:pPr>
                    <w:pStyle w:val="75"/>
                    <w:spacing w:line="240" w:lineRule="exact"/>
                    <w:rPr>
                      <w:rFonts w:hint="default" w:ascii="Times New Roman" w:hAnsi="Times New Roman" w:cs="Times New Roman"/>
                      <w:color w:val="000000"/>
                      <w:sz w:val="21"/>
                      <w:szCs w:val="21"/>
                    </w:rPr>
                  </w:pPr>
                </w:p>
              </w:tc>
              <w:tc>
                <w:tcPr>
                  <w:tcW w:w="227" w:type="pct"/>
                  <w:vMerge w:val="continue"/>
                  <w:shd w:val="clear" w:color="auto" w:fill="auto"/>
                  <w:noWrap w:val="0"/>
                  <w:vAlign w:val="center"/>
                </w:tcPr>
                <w:p w14:paraId="4DF8937A">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15172748">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300</w:t>
                  </w:r>
                </w:p>
              </w:tc>
            </w:tr>
            <w:tr w14:paraId="5FE34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74" w:hRule="atLeast"/>
                <w:jc w:val="center"/>
              </w:trPr>
              <w:tc>
                <w:tcPr>
                  <w:tcW w:w="95" w:type="pct"/>
                  <w:vMerge w:val="continue"/>
                  <w:shd w:val="clear" w:color="auto" w:fill="auto"/>
                  <w:noWrap w:val="0"/>
                  <w:vAlign w:val="center"/>
                </w:tcPr>
                <w:p w14:paraId="69D23C1F">
                  <w:pPr>
                    <w:pStyle w:val="75"/>
                    <w:spacing w:line="240" w:lineRule="exact"/>
                    <w:rPr>
                      <w:rFonts w:hint="default" w:ascii="Times New Roman" w:hAnsi="Times New Roman" w:cs="Times New Roman"/>
                      <w:bCs/>
                      <w:color w:val="000000"/>
                      <w:sz w:val="21"/>
                      <w:szCs w:val="21"/>
                    </w:rPr>
                  </w:pPr>
                </w:p>
              </w:tc>
              <w:tc>
                <w:tcPr>
                  <w:tcW w:w="95" w:type="pct"/>
                  <w:vMerge w:val="continue"/>
                  <w:shd w:val="clear" w:color="auto" w:fill="auto"/>
                  <w:noWrap w:val="0"/>
                  <w:vAlign w:val="center"/>
                </w:tcPr>
                <w:p w14:paraId="27563247">
                  <w:pPr>
                    <w:pStyle w:val="75"/>
                    <w:spacing w:line="240" w:lineRule="exact"/>
                    <w:rPr>
                      <w:rFonts w:hint="default" w:ascii="Times New Roman" w:hAnsi="Times New Roman" w:cs="Times New Roman"/>
                      <w:bCs/>
                      <w:color w:val="000000"/>
                      <w:sz w:val="21"/>
                      <w:szCs w:val="21"/>
                    </w:rPr>
                  </w:pPr>
                </w:p>
              </w:tc>
              <w:tc>
                <w:tcPr>
                  <w:tcW w:w="268" w:type="pct"/>
                  <w:shd w:val="clear" w:color="auto" w:fill="auto"/>
                  <w:noWrap w:val="0"/>
                  <w:vAlign w:val="center"/>
                </w:tcPr>
                <w:p w14:paraId="3DF33F99">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SS</w:t>
                  </w:r>
                </w:p>
              </w:tc>
              <w:tc>
                <w:tcPr>
                  <w:tcW w:w="129" w:type="pct"/>
                  <w:vMerge w:val="continue"/>
                  <w:shd w:val="clear" w:color="auto" w:fill="auto"/>
                  <w:noWrap w:val="0"/>
                  <w:vAlign w:val="center"/>
                </w:tcPr>
                <w:p w14:paraId="686B980E">
                  <w:pPr>
                    <w:pStyle w:val="75"/>
                    <w:spacing w:line="240" w:lineRule="exact"/>
                    <w:rPr>
                      <w:rFonts w:hint="default" w:ascii="Times New Roman" w:hAnsi="Times New Roman" w:cs="Times New Roman"/>
                      <w:color w:val="000000"/>
                      <w:sz w:val="21"/>
                      <w:szCs w:val="21"/>
                    </w:rPr>
                  </w:pPr>
                </w:p>
              </w:tc>
              <w:tc>
                <w:tcPr>
                  <w:tcW w:w="249" w:type="pct"/>
                  <w:vMerge w:val="continue"/>
                  <w:shd w:val="clear" w:color="auto" w:fill="auto"/>
                  <w:noWrap w:val="0"/>
                  <w:vAlign w:val="center"/>
                </w:tcPr>
                <w:p w14:paraId="696FB4E4">
                  <w:pPr>
                    <w:pStyle w:val="75"/>
                    <w:spacing w:line="240" w:lineRule="exact"/>
                    <w:rPr>
                      <w:rFonts w:hint="default" w:ascii="Times New Roman" w:hAnsi="Times New Roman" w:cs="Times New Roman"/>
                      <w:color w:val="000000"/>
                      <w:sz w:val="21"/>
                      <w:szCs w:val="21"/>
                    </w:rPr>
                  </w:pPr>
                </w:p>
              </w:tc>
              <w:tc>
                <w:tcPr>
                  <w:tcW w:w="200" w:type="pct"/>
                  <w:shd w:val="clear" w:color="auto" w:fill="auto"/>
                  <w:noWrap w:val="0"/>
                  <w:vAlign w:val="center"/>
                </w:tcPr>
                <w:p w14:paraId="3D75F4E7">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220</w:t>
                  </w:r>
                </w:p>
              </w:tc>
              <w:tc>
                <w:tcPr>
                  <w:tcW w:w="237" w:type="pct"/>
                  <w:shd w:val="clear" w:color="auto" w:fill="auto"/>
                  <w:noWrap w:val="0"/>
                  <w:vAlign w:val="center"/>
                </w:tcPr>
                <w:p w14:paraId="3787F379">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0.205</w:t>
                  </w:r>
                </w:p>
              </w:tc>
              <w:tc>
                <w:tcPr>
                  <w:tcW w:w="181" w:type="pct"/>
                  <w:vMerge w:val="continue"/>
                  <w:shd w:val="clear" w:color="auto" w:fill="auto"/>
                  <w:noWrap w:val="0"/>
                  <w:vAlign w:val="center"/>
                </w:tcPr>
                <w:p w14:paraId="2D88B2D6">
                  <w:pPr>
                    <w:pStyle w:val="75"/>
                    <w:spacing w:line="240" w:lineRule="exact"/>
                    <w:rPr>
                      <w:rFonts w:hint="default" w:ascii="Times New Roman" w:hAnsi="Times New Roman" w:cs="Times New Roman"/>
                      <w:color w:val="000000"/>
                      <w:sz w:val="21"/>
                      <w:szCs w:val="21"/>
                    </w:rPr>
                  </w:pPr>
                </w:p>
              </w:tc>
              <w:tc>
                <w:tcPr>
                  <w:tcW w:w="210" w:type="pct"/>
                  <w:shd w:val="clear" w:color="auto" w:fill="auto"/>
                  <w:noWrap w:val="0"/>
                  <w:vAlign w:val="center"/>
                </w:tcPr>
                <w:p w14:paraId="0CA2A08A">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lang w:val="en-US" w:eastAsia="zh-CN"/>
                    </w:rPr>
                    <w:t>60</w:t>
                  </w:r>
                  <w:r>
                    <w:rPr>
                      <w:rFonts w:hint="default" w:ascii="Times New Roman" w:hAnsi="Times New Roman" w:cs="Times New Roman"/>
                      <w:bCs/>
                      <w:color w:val="000000"/>
                      <w:sz w:val="21"/>
                      <w:szCs w:val="21"/>
                    </w:rPr>
                    <w:t>%</w:t>
                  </w:r>
                </w:p>
              </w:tc>
              <w:tc>
                <w:tcPr>
                  <w:tcW w:w="142" w:type="pct"/>
                  <w:vMerge w:val="continue"/>
                  <w:shd w:val="clear" w:color="auto" w:fill="auto"/>
                  <w:noWrap w:val="0"/>
                  <w:vAlign w:val="center"/>
                </w:tcPr>
                <w:p w14:paraId="74D41690">
                  <w:pPr>
                    <w:pStyle w:val="75"/>
                    <w:spacing w:line="240" w:lineRule="exact"/>
                    <w:rPr>
                      <w:rFonts w:hint="default" w:ascii="Times New Roman" w:hAnsi="Times New Roman" w:cs="Times New Roman"/>
                      <w:color w:val="000000"/>
                      <w:sz w:val="21"/>
                      <w:szCs w:val="21"/>
                    </w:rPr>
                  </w:pPr>
                </w:p>
              </w:tc>
              <w:tc>
                <w:tcPr>
                  <w:tcW w:w="223" w:type="pct"/>
                  <w:vMerge w:val="continue"/>
                  <w:shd w:val="clear" w:color="auto" w:fill="auto"/>
                  <w:noWrap w:val="0"/>
                  <w:vAlign w:val="center"/>
                </w:tcPr>
                <w:p w14:paraId="3143409F">
                  <w:pPr>
                    <w:pStyle w:val="75"/>
                    <w:spacing w:line="240" w:lineRule="exact"/>
                    <w:rPr>
                      <w:rFonts w:hint="default" w:ascii="Times New Roman" w:hAnsi="Times New Roman" w:cs="Times New Roman"/>
                      <w:color w:val="000000"/>
                      <w:sz w:val="21"/>
                      <w:szCs w:val="21"/>
                    </w:rPr>
                  </w:pPr>
                </w:p>
              </w:tc>
              <w:tc>
                <w:tcPr>
                  <w:tcW w:w="223" w:type="pct"/>
                  <w:shd w:val="clear" w:color="auto" w:fill="auto"/>
                  <w:noWrap w:val="0"/>
                  <w:vAlign w:val="center"/>
                </w:tcPr>
                <w:p w14:paraId="4C9241F7">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88</w:t>
                  </w:r>
                </w:p>
              </w:tc>
              <w:tc>
                <w:tcPr>
                  <w:tcW w:w="257" w:type="pct"/>
                  <w:shd w:val="clear" w:color="auto" w:fill="auto"/>
                  <w:noWrap w:val="0"/>
                  <w:vAlign w:val="center"/>
                </w:tcPr>
                <w:p w14:paraId="7FA830B1">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w:t>
                  </w:r>
                  <w:r>
                    <w:rPr>
                      <w:rFonts w:hint="eastAsia" w:cs="Times New Roman"/>
                      <w:color w:val="000000"/>
                      <w:sz w:val="21"/>
                      <w:szCs w:val="21"/>
                      <w:lang w:val="en-US" w:eastAsia="zh-CN"/>
                    </w:rPr>
                    <w:t>082</w:t>
                  </w:r>
                  <w:r>
                    <w:rPr>
                      <w:rFonts w:hint="default" w:ascii="Times New Roman" w:hAnsi="Times New Roman" w:eastAsia="宋体" w:cs="Times New Roman"/>
                      <w:color w:val="000000"/>
                      <w:sz w:val="21"/>
                      <w:szCs w:val="21"/>
                      <w:lang w:val="en-US" w:eastAsia="zh-CN"/>
                    </w:rPr>
                    <w:t xml:space="preserve"> </w:t>
                  </w:r>
                </w:p>
              </w:tc>
              <w:tc>
                <w:tcPr>
                  <w:tcW w:w="145" w:type="pct"/>
                  <w:vMerge w:val="continue"/>
                  <w:shd w:val="clear" w:color="auto" w:fill="auto"/>
                  <w:noWrap w:val="0"/>
                  <w:vAlign w:val="center"/>
                </w:tcPr>
                <w:p w14:paraId="378E532E">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7C18F47F">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3DA7C920">
                  <w:pPr>
                    <w:pStyle w:val="75"/>
                    <w:spacing w:line="240" w:lineRule="exact"/>
                    <w:rPr>
                      <w:rFonts w:hint="default" w:ascii="Times New Roman" w:hAnsi="Times New Roman" w:cs="Times New Roman"/>
                      <w:color w:val="000000"/>
                      <w:sz w:val="21"/>
                      <w:szCs w:val="21"/>
                    </w:rPr>
                  </w:pPr>
                </w:p>
              </w:tc>
              <w:tc>
                <w:tcPr>
                  <w:tcW w:w="326" w:type="pct"/>
                  <w:vMerge w:val="continue"/>
                  <w:shd w:val="clear" w:color="auto" w:fill="auto"/>
                  <w:noWrap w:val="0"/>
                  <w:vAlign w:val="center"/>
                </w:tcPr>
                <w:p w14:paraId="5F335F8A">
                  <w:pPr>
                    <w:pStyle w:val="75"/>
                    <w:spacing w:line="240" w:lineRule="exact"/>
                    <w:rPr>
                      <w:rFonts w:hint="default" w:ascii="Times New Roman" w:hAnsi="Times New Roman" w:cs="Times New Roman"/>
                      <w:color w:val="000000"/>
                      <w:sz w:val="21"/>
                      <w:szCs w:val="21"/>
                    </w:rPr>
                  </w:pPr>
                </w:p>
              </w:tc>
              <w:tc>
                <w:tcPr>
                  <w:tcW w:w="220" w:type="pct"/>
                  <w:vMerge w:val="continue"/>
                  <w:shd w:val="clear" w:color="auto" w:fill="auto"/>
                  <w:noWrap w:val="0"/>
                  <w:vAlign w:val="center"/>
                </w:tcPr>
                <w:p w14:paraId="06900D50">
                  <w:pPr>
                    <w:pStyle w:val="75"/>
                    <w:spacing w:line="240" w:lineRule="exact"/>
                    <w:rPr>
                      <w:rFonts w:hint="default" w:ascii="Times New Roman" w:hAnsi="Times New Roman" w:cs="Times New Roman"/>
                      <w:color w:val="000000"/>
                      <w:sz w:val="21"/>
                      <w:szCs w:val="21"/>
                    </w:rPr>
                  </w:pPr>
                </w:p>
              </w:tc>
              <w:tc>
                <w:tcPr>
                  <w:tcW w:w="601" w:type="pct"/>
                  <w:vMerge w:val="continue"/>
                  <w:shd w:val="clear" w:color="auto" w:fill="auto"/>
                  <w:noWrap w:val="0"/>
                  <w:vAlign w:val="center"/>
                </w:tcPr>
                <w:p w14:paraId="7229D23D">
                  <w:pPr>
                    <w:pStyle w:val="75"/>
                    <w:spacing w:line="240" w:lineRule="exact"/>
                    <w:rPr>
                      <w:rFonts w:hint="default" w:ascii="Times New Roman" w:hAnsi="Times New Roman" w:cs="Times New Roman"/>
                      <w:color w:val="000000"/>
                      <w:sz w:val="21"/>
                      <w:szCs w:val="21"/>
                    </w:rPr>
                  </w:pPr>
                </w:p>
              </w:tc>
              <w:tc>
                <w:tcPr>
                  <w:tcW w:w="227" w:type="pct"/>
                  <w:vMerge w:val="continue"/>
                  <w:shd w:val="clear" w:color="auto" w:fill="auto"/>
                  <w:noWrap w:val="0"/>
                  <w:vAlign w:val="center"/>
                </w:tcPr>
                <w:p w14:paraId="7630D280">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6970BE0E">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400</w:t>
                  </w:r>
                </w:p>
              </w:tc>
            </w:tr>
            <w:tr w14:paraId="3C6C8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95" w:type="pct"/>
                  <w:vMerge w:val="continue"/>
                  <w:shd w:val="clear" w:color="auto" w:fill="auto"/>
                  <w:noWrap w:val="0"/>
                  <w:vAlign w:val="center"/>
                </w:tcPr>
                <w:p w14:paraId="7FEC0296">
                  <w:pPr>
                    <w:pStyle w:val="75"/>
                    <w:spacing w:line="240" w:lineRule="exact"/>
                    <w:rPr>
                      <w:rFonts w:hint="default" w:ascii="Times New Roman" w:hAnsi="Times New Roman" w:cs="Times New Roman"/>
                      <w:bCs/>
                      <w:color w:val="000000"/>
                      <w:sz w:val="21"/>
                      <w:szCs w:val="21"/>
                    </w:rPr>
                  </w:pPr>
                </w:p>
              </w:tc>
              <w:tc>
                <w:tcPr>
                  <w:tcW w:w="95" w:type="pct"/>
                  <w:vMerge w:val="continue"/>
                  <w:shd w:val="clear" w:color="auto" w:fill="auto"/>
                  <w:noWrap w:val="0"/>
                  <w:vAlign w:val="center"/>
                </w:tcPr>
                <w:p w14:paraId="37E03CCD">
                  <w:pPr>
                    <w:pStyle w:val="75"/>
                    <w:spacing w:line="240" w:lineRule="exact"/>
                    <w:rPr>
                      <w:rFonts w:hint="default" w:ascii="Times New Roman" w:hAnsi="Times New Roman" w:cs="Times New Roman"/>
                      <w:bCs/>
                      <w:color w:val="000000"/>
                      <w:sz w:val="21"/>
                      <w:szCs w:val="21"/>
                    </w:rPr>
                  </w:pPr>
                </w:p>
              </w:tc>
              <w:tc>
                <w:tcPr>
                  <w:tcW w:w="268" w:type="pct"/>
                  <w:shd w:val="clear" w:color="auto" w:fill="auto"/>
                  <w:noWrap w:val="0"/>
                  <w:vAlign w:val="center"/>
                </w:tcPr>
                <w:p w14:paraId="2F86C43F">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NH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-N</w:t>
                  </w:r>
                </w:p>
              </w:tc>
              <w:tc>
                <w:tcPr>
                  <w:tcW w:w="129" w:type="pct"/>
                  <w:vMerge w:val="continue"/>
                  <w:shd w:val="clear" w:color="auto" w:fill="auto"/>
                  <w:noWrap w:val="0"/>
                  <w:vAlign w:val="center"/>
                </w:tcPr>
                <w:p w14:paraId="6B5EBAD3">
                  <w:pPr>
                    <w:pStyle w:val="75"/>
                    <w:spacing w:line="240" w:lineRule="exact"/>
                    <w:rPr>
                      <w:rFonts w:hint="default" w:ascii="Times New Roman" w:hAnsi="Times New Roman" w:cs="Times New Roman"/>
                      <w:color w:val="000000"/>
                      <w:sz w:val="21"/>
                      <w:szCs w:val="21"/>
                    </w:rPr>
                  </w:pPr>
                </w:p>
              </w:tc>
              <w:tc>
                <w:tcPr>
                  <w:tcW w:w="249" w:type="pct"/>
                  <w:vMerge w:val="continue"/>
                  <w:shd w:val="clear" w:color="auto" w:fill="auto"/>
                  <w:noWrap w:val="0"/>
                  <w:vAlign w:val="center"/>
                </w:tcPr>
                <w:p w14:paraId="240997D9">
                  <w:pPr>
                    <w:pStyle w:val="75"/>
                    <w:spacing w:line="240" w:lineRule="exact"/>
                    <w:rPr>
                      <w:rFonts w:hint="default" w:ascii="Times New Roman" w:hAnsi="Times New Roman" w:cs="Times New Roman"/>
                      <w:color w:val="000000"/>
                      <w:sz w:val="21"/>
                      <w:szCs w:val="21"/>
                    </w:rPr>
                  </w:pPr>
                </w:p>
              </w:tc>
              <w:tc>
                <w:tcPr>
                  <w:tcW w:w="200" w:type="pct"/>
                  <w:shd w:val="clear" w:color="auto" w:fill="auto"/>
                  <w:noWrap w:val="0"/>
                  <w:vAlign w:val="center"/>
                </w:tcPr>
                <w:p w14:paraId="155AF073">
                  <w:pPr>
                    <w:adjustRightInd w:val="0"/>
                    <w:snapToGrid w:val="0"/>
                    <w:jc w:val="center"/>
                    <w:rPr>
                      <w:rFonts w:hint="default" w:ascii="Times New Roman" w:hAnsi="Times New Roman" w:eastAsia="宋体" w:cs="Times New Roman"/>
                      <w:bCs/>
                      <w:color w:val="000000"/>
                      <w:sz w:val="21"/>
                      <w:szCs w:val="21"/>
                      <w:lang w:eastAsia="zh-CN"/>
                    </w:rPr>
                  </w:pPr>
                  <w:r>
                    <w:rPr>
                      <w:rFonts w:hint="default" w:ascii="Times New Roman" w:hAnsi="Times New Roman" w:cs="Times New Roman"/>
                      <w:bCs/>
                      <w:color w:val="000000"/>
                      <w:sz w:val="21"/>
                      <w:szCs w:val="21"/>
                    </w:rPr>
                    <w:t>32.</w:t>
                  </w:r>
                  <w:r>
                    <w:rPr>
                      <w:rFonts w:hint="default" w:ascii="Times New Roman" w:hAnsi="Times New Roman" w:cs="Times New Roman"/>
                      <w:bCs/>
                      <w:color w:val="000000"/>
                      <w:sz w:val="21"/>
                      <w:szCs w:val="21"/>
                      <w:lang w:val="en-US" w:eastAsia="zh-CN"/>
                    </w:rPr>
                    <w:t>6</w:t>
                  </w:r>
                </w:p>
              </w:tc>
              <w:tc>
                <w:tcPr>
                  <w:tcW w:w="237" w:type="pct"/>
                  <w:shd w:val="clear" w:color="auto" w:fill="auto"/>
                  <w:noWrap w:val="0"/>
                  <w:vAlign w:val="center"/>
                </w:tcPr>
                <w:p w14:paraId="64308C9B">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0.093</w:t>
                  </w:r>
                </w:p>
              </w:tc>
              <w:tc>
                <w:tcPr>
                  <w:tcW w:w="181" w:type="pct"/>
                  <w:vMerge w:val="continue"/>
                  <w:shd w:val="clear" w:color="auto" w:fill="auto"/>
                  <w:noWrap w:val="0"/>
                  <w:vAlign w:val="center"/>
                </w:tcPr>
                <w:p w14:paraId="58129FD4">
                  <w:pPr>
                    <w:pStyle w:val="75"/>
                    <w:spacing w:line="240" w:lineRule="exact"/>
                    <w:rPr>
                      <w:rFonts w:hint="default" w:ascii="Times New Roman" w:hAnsi="Times New Roman" w:cs="Times New Roman"/>
                      <w:color w:val="000000"/>
                      <w:sz w:val="21"/>
                      <w:szCs w:val="21"/>
                    </w:rPr>
                  </w:pPr>
                </w:p>
              </w:tc>
              <w:tc>
                <w:tcPr>
                  <w:tcW w:w="210" w:type="pct"/>
                  <w:shd w:val="clear" w:color="auto" w:fill="auto"/>
                  <w:noWrap w:val="0"/>
                  <w:vAlign w:val="center"/>
                </w:tcPr>
                <w:p w14:paraId="0987270F">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lang w:val="en-US" w:eastAsia="zh-CN"/>
                    </w:rPr>
                    <w:t>0</w:t>
                  </w:r>
                  <w:r>
                    <w:rPr>
                      <w:rFonts w:hint="default" w:ascii="Times New Roman" w:hAnsi="Times New Roman" w:cs="Times New Roman"/>
                      <w:bCs/>
                      <w:color w:val="000000"/>
                      <w:sz w:val="21"/>
                      <w:szCs w:val="21"/>
                    </w:rPr>
                    <w:t>%</w:t>
                  </w:r>
                </w:p>
              </w:tc>
              <w:tc>
                <w:tcPr>
                  <w:tcW w:w="142" w:type="pct"/>
                  <w:vMerge w:val="continue"/>
                  <w:shd w:val="clear" w:color="auto" w:fill="auto"/>
                  <w:noWrap w:val="0"/>
                  <w:vAlign w:val="center"/>
                </w:tcPr>
                <w:p w14:paraId="18D05209">
                  <w:pPr>
                    <w:pStyle w:val="75"/>
                    <w:spacing w:line="240" w:lineRule="exact"/>
                    <w:rPr>
                      <w:rFonts w:hint="default" w:ascii="Times New Roman" w:hAnsi="Times New Roman" w:cs="Times New Roman"/>
                      <w:color w:val="000000"/>
                      <w:sz w:val="21"/>
                      <w:szCs w:val="21"/>
                    </w:rPr>
                  </w:pPr>
                </w:p>
              </w:tc>
              <w:tc>
                <w:tcPr>
                  <w:tcW w:w="223" w:type="pct"/>
                  <w:vMerge w:val="continue"/>
                  <w:shd w:val="clear" w:color="auto" w:fill="auto"/>
                  <w:noWrap w:val="0"/>
                  <w:vAlign w:val="center"/>
                </w:tcPr>
                <w:p w14:paraId="5262B54B">
                  <w:pPr>
                    <w:pStyle w:val="75"/>
                    <w:spacing w:line="240" w:lineRule="exact"/>
                    <w:rPr>
                      <w:rFonts w:hint="default" w:ascii="Times New Roman" w:hAnsi="Times New Roman" w:cs="Times New Roman"/>
                      <w:color w:val="000000"/>
                      <w:sz w:val="21"/>
                      <w:szCs w:val="21"/>
                    </w:rPr>
                  </w:pPr>
                </w:p>
              </w:tc>
              <w:tc>
                <w:tcPr>
                  <w:tcW w:w="223" w:type="pct"/>
                  <w:shd w:val="clear" w:color="auto" w:fill="auto"/>
                  <w:noWrap w:val="0"/>
                  <w:vAlign w:val="center"/>
                </w:tcPr>
                <w:p w14:paraId="5E7ED76C">
                  <w:pPr>
                    <w:adjustRightInd w:val="0"/>
                    <w:snapToGrid w:val="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32.6</w:t>
                  </w:r>
                </w:p>
              </w:tc>
              <w:tc>
                <w:tcPr>
                  <w:tcW w:w="257" w:type="pct"/>
                  <w:shd w:val="clear" w:color="auto" w:fill="auto"/>
                  <w:noWrap w:val="0"/>
                  <w:vAlign w:val="center"/>
                </w:tcPr>
                <w:p w14:paraId="5834FF64">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w:t>
                  </w:r>
                  <w:r>
                    <w:rPr>
                      <w:rFonts w:hint="eastAsia" w:cs="Times New Roman"/>
                      <w:color w:val="000000"/>
                      <w:sz w:val="21"/>
                      <w:szCs w:val="21"/>
                      <w:lang w:val="en-US" w:eastAsia="zh-CN"/>
                    </w:rPr>
                    <w:t>03</w:t>
                  </w:r>
                  <w:r>
                    <w:rPr>
                      <w:rFonts w:hint="default" w:ascii="Times New Roman" w:hAnsi="Times New Roman" w:eastAsia="宋体" w:cs="Times New Roman"/>
                      <w:color w:val="000000"/>
                      <w:sz w:val="21"/>
                      <w:szCs w:val="21"/>
                      <w:lang w:val="en-US" w:eastAsia="zh-CN"/>
                    </w:rPr>
                    <w:t xml:space="preserve"> </w:t>
                  </w:r>
                </w:p>
              </w:tc>
              <w:tc>
                <w:tcPr>
                  <w:tcW w:w="145" w:type="pct"/>
                  <w:vMerge w:val="continue"/>
                  <w:shd w:val="clear" w:color="auto" w:fill="auto"/>
                  <w:noWrap w:val="0"/>
                  <w:vAlign w:val="center"/>
                </w:tcPr>
                <w:p w14:paraId="0C32C475">
                  <w:pPr>
                    <w:pStyle w:val="75"/>
                    <w:spacing w:line="240" w:lineRule="exact"/>
                    <w:rPr>
                      <w:rFonts w:hint="default" w:ascii="Times New Roman" w:hAnsi="Times New Roman" w:cs="Times New Roman"/>
                      <w:color w:val="000000"/>
                      <w:sz w:val="21"/>
                      <w:szCs w:val="21"/>
                    </w:rPr>
                  </w:pPr>
                </w:p>
              </w:tc>
              <w:tc>
                <w:tcPr>
                  <w:tcW w:w="403" w:type="pct"/>
                  <w:vMerge w:val="continue"/>
                  <w:shd w:val="clear" w:color="auto" w:fill="auto"/>
                  <w:noWrap w:val="0"/>
                  <w:vAlign w:val="center"/>
                </w:tcPr>
                <w:p w14:paraId="6721C308">
                  <w:pPr>
                    <w:pStyle w:val="75"/>
                    <w:spacing w:line="240" w:lineRule="exact"/>
                    <w:rPr>
                      <w:rFonts w:hint="default" w:ascii="Times New Roman" w:hAnsi="Times New Roman" w:cs="Times New Roman"/>
                      <w:color w:val="000000"/>
                      <w:sz w:val="21"/>
                      <w:szCs w:val="21"/>
                    </w:rPr>
                  </w:pPr>
                </w:p>
              </w:tc>
              <w:tc>
                <w:tcPr>
                  <w:tcW w:w="167" w:type="pct"/>
                  <w:vMerge w:val="continue"/>
                  <w:shd w:val="clear" w:color="auto" w:fill="auto"/>
                  <w:noWrap w:val="0"/>
                  <w:vAlign w:val="center"/>
                </w:tcPr>
                <w:p w14:paraId="5403354C">
                  <w:pPr>
                    <w:pStyle w:val="75"/>
                    <w:spacing w:line="240" w:lineRule="exact"/>
                    <w:rPr>
                      <w:rFonts w:hint="default" w:ascii="Times New Roman" w:hAnsi="Times New Roman" w:cs="Times New Roman"/>
                      <w:color w:val="000000"/>
                      <w:sz w:val="21"/>
                      <w:szCs w:val="21"/>
                    </w:rPr>
                  </w:pPr>
                </w:p>
              </w:tc>
              <w:tc>
                <w:tcPr>
                  <w:tcW w:w="326" w:type="pct"/>
                  <w:vMerge w:val="continue"/>
                  <w:shd w:val="clear" w:color="auto" w:fill="auto"/>
                  <w:noWrap w:val="0"/>
                  <w:vAlign w:val="center"/>
                </w:tcPr>
                <w:p w14:paraId="7783691C">
                  <w:pPr>
                    <w:pStyle w:val="75"/>
                    <w:spacing w:line="240" w:lineRule="exact"/>
                    <w:rPr>
                      <w:rFonts w:hint="default" w:ascii="Times New Roman" w:hAnsi="Times New Roman" w:cs="Times New Roman"/>
                      <w:color w:val="000000"/>
                      <w:sz w:val="21"/>
                      <w:szCs w:val="21"/>
                    </w:rPr>
                  </w:pPr>
                </w:p>
              </w:tc>
              <w:tc>
                <w:tcPr>
                  <w:tcW w:w="220" w:type="pct"/>
                  <w:vMerge w:val="continue"/>
                  <w:shd w:val="clear" w:color="auto" w:fill="auto"/>
                  <w:noWrap w:val="0"/>
                  <w:vAlign w:val="center"/>
                </w:tcPr>
                <w:p w14:paraId="153667F5">
                  <w:pPr>
                    <w:pStyle w:val="75"/>
                    <w:spacing w:line="240" w:lineRule="exact"/>
                    <w:rPr>
                      <w:rFonts w:hint="default" w:ascii="Times New Roman" w:hAnsi="Times New Roman" w:cs="Times New Roman"/>
                      <w:color w:val="000000"/>
                      <w:sz w:val="21"/>
                      <w:szCs w:val="21"/>
                    </w:rPr>
                  </w:pPr>
                </w:p>
              </w:tc>
              <w:tc>
                <w:tcPr>
                  <w:tcW w:w="601" w:type="pct"/>
                  <w:vMerge w:val="continue"/>
                  <w:shd w:val="clear" w:color="auto" w:fill="auto"/>
                  <w:noWrap w:val="0"/>
                  <w:vAlign w:val="center"/>
                </w:tcPr>
                <w:p w14:paraId="439D6DA7">
                  <w:pPr>
                    <w:pStyle w:val="75"/>
                    <w:spacing w:line="240" w:lineRule="exact"/>
                    <w:rPr>
                      <w:rFonts w:hint="default" w:ascii="Times New Roman" w:hAnsi="Times New Roman" w:cs="Times New Roman"/>
                      <w:color w:val="000000"/>
                      <w:sz w:val="21"/>
                      <w:szCs w:val="21"/>
                    </w:rPr>
                  </w:pPr>
                </w:p>
              </w:tc>
              <w:tc>
                <w:tcPr>
                  <w:tcW w:w="227" w:type="pct"/>
                  <w:vMerge w:val="continue"/>
                  <w:shd w:val="clear" w:color="auto" w:fill="auto"/>
                  <w:noWrap w:val="0"/>
                  <w:vAlign w:val="center"/>
                </w:tcPr>
                <w:p w14:paraId="421232A1">
                  <w:pPr>
                    <w:pStyle w:val="75"/>
                    <w:spacing w:line="240" w:lineRule="exact"/>
                    <w:rPr>
                      <w:rFonts w:hint="default" w:ascii="Times New Roman" w:hAnsi="Times New Roman" w:cs="Times New Roman"/>
                      <w:color w:val="000000"/>
                      <w:sz w:val="21"/>
                      <w:szCs w:val="21"/>
                    </w:rPr>
                  </w:pPr>
                </w:p>
              </w:tc>
              <w:tc>
                <w:tcPr>
                  <w:tcW w:w="392" w:type="pct"/>
                  <w:shd w:val="clear" w:color="auto" w:fill="auto"/>
                  <w:noWrap w:val="0"/>
                  <w:vAlign w:val="center"/>
                </w:tcPr>
                <w:p w14:paraId="0B6C1E97">
                  <w:pPr>
                    <w:pStyle w:val="75"/>
                    <w:spacing w:line="24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45</w:t>
                  </w:r>
                </w:p>
              </w:tc>
            </w:tr>
          </w:tbl>
          <w:p w14:paraId="52E632C5">
            <w:pPr>
              <w:rPr>
                <w:rFonts w:hint="default" w:ascii="Times New Roman" w:hAnsi="Times New Roman" w:cs="Times New Roman"/>
                <w:vertAlign w:val="baseline"/>
              </w:rPr>
            </w:pPr>
          </w:p>
          <w:p w14:paraId="7286C075">
            <w:pPr>
              <w:pStyle w:val="13"/>
              <w:rPr>
                <w:rFonts w:hint="default" w:ascii="Times New Roman" w:hAnsi="Times New Roman" w:cs="Times New Roman"/>
                <w:vertAlign w:val="baseline"/>
              </w:rPr>
            </w:pPr>
          </w:p>
          <w:p w14:paraId="664D7B13">
            <w:pPr>
              <w:pStyle w:val="12"/>
              <w:rPr>
                <w:rFonts w:hint="default" w:ascii="Times New Roman" w:hAnsi="Times New Roman" w:cs="Times New Roman"/>
                <w:vertAlign w:val="baseline"/>
              </w:rPr>
            </w:pPr>
          </w:p>
          <w:p w14:paraId="0E4AFA94">
            <w:pPr>
              <w:rPr>
                <w:rFonts w:hint="default" w:ascii="Times New Roman" w:hAnsi="Times New Roman" w:cs="Times New Roman"/>
                <w:vertAlign w:val="baseline"/>
              </w:rPr>
            </w:pPr>
          </w:p>
          <w:p w14:paraId="72AEDB2F">
            <w:pPr>
              <w:pStyle w:val="13"/>
              <w:rPr>
                <w:rFonts w:hint="default" w:ascii="Times New Roman" w:hAnsi="Times New Roman" w:cs="Times New Roman"/>
                <w:vertAlign w:val="baseline"/>
              </w:rPr>
            </w:pPr>
          </w:p>
          <w:p w14:paraId="65B15D5A">
            <w:pPr>
              <w:pStyle w:val="12"/>
              <w:rPr>
                <w:rFonts w:hint="default" w:ascii="Times New Roman" w:hAnsi="Times New Roman" w:cs="Times New Roman"/>
                <w:vertAlign w:val="baseline"/>
              </w:rPr>
            </w:pPr>
          </w:p>
          <w:p w14:paraId="33F66B20">
            <w:pPr>
              <w:rPr>
                <w:rFonts w:hint="default" w:ascii="Times New Roman" w:hAnsi="Times New Roman" w:cs="Times New Roman"/>
                <w:vertAlign w:val="baseline"/>
              </w:rPr>
            </w:pPr>
          </w:p>
          <w:p w14:paraId="20CF91A5">
            <w:pPr>
              <w:pStyle w:val="13"/>
              <w:rPr>
                <w:rFonts w:hint="default" w:ascii="Times New Roman" w:hAnsi="Times New Roman" w:cs="Times New Roman"/>
                <w:vertAlign w:val="baseline"/>
              </w:rPr>
            </w:pPr>
          </w:p>
          <w:p w14:paraId="272DB434">
            <w:pPr>
              <w:pStyle w:val="12"/>
              <w:rPr>
                <w:rFonts w:hint="default" w:ascii="Times New Roman" w:hAnsi="Times New Roman" w:cs="Times New Roman"/>
                <w:vertAlign w:val="baseline"/>
              </w:rPr>
            </w:pPr>
          </w:p>
          <w:p w14:paraId="616E5DBD">
            <w:pPr>
              <w:pStyle w:val="12"/>
              <w:rPr>
                <w:rFonts w:hint="default" w:ascii="Times New Roman" w:hAnsi="Times New Roman" w:cs="Times New Roman"/>
              </w:rPr>
            </w:pPr>
          </w:p>
        </w:tc>
      </w:tr>
    </w:tbl>
    <w:p w14:paraId="5B650BC9">
      <w:pPr>
        <w:rPr>
          <w:rFonts w:hint="default" w:ascii="Times New Roman" w:hAnsi="Times New Roman" w:cs="Times New Roma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424"/>
        <w:gridCol w:w="8637"/>
      </w:tblGrid>
      <w:tr w14:paraId="30E5822D">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9938" w:hRule="atLeast"/>
        </w:trPr>
        <w:tc>
          <w:tcPr>
            <w:tcW w:w="576" w:type="dxa"/>
            <w:tcBorders>
              <w:bottom w:val="single" w:color="auto" w:sz="4" w:space="0"/>
              <w:tl2br w:val="nil"/>
              <w:tr2bl w:val="nil"/>
            </w:tcBorders>
            <w:noWrap w:val="0"/>
            <w:vAlign w:val="center"/>
          </w:tcPr>
          <w:p w14:paraId="452FE802">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运营</w:t>
            </w:r>
          </w:p>
          <w:p w14:paraId="678C9366">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期环</w:t>
            </w:r>
          </w:p>
          <w:p w14:paraId="2E23B0A1">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境影</w:t>
            </w:r>
          </w:p>
          <w:p w14:paraId="77306D57">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响和</w:t>
            </w:r>
          </w:p>
          <w:p w14:paraId="5935CEC5">
            <w:pP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保护</w:t>
            </w:r>
          </w:p>
          <w:p w14:paraId="15B08681">
            <w:pPr>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eastAsia="宋体" w:cs="Times New Roman"/>
                <w:color w:val="000000" w:themeColor="text1"/>
                <w:vertAlign w:val="baseline"/>
                <w14:textFill>
                  <w14:solidFill>
                    <w14:schemeClr w14:val="tx1"/>
                  </w14:solidFill>
                </w14:textFill>
              </w:rPr>
              <w:t>措施</w:t>
            </w:r>
          </w:p>
        </w:tc>
        <w:tc>
          <w:tcPr>
            <w:tcW w:w="8485" w:type="dxa"/>
            <w:tcBorders>
              <w:bottom w:val="single" w:color="auto" w:sz="4" w:space="0"/>
              <w:tl2br w:val="nil"/>
              <w:tr2bl w:val="nil"/>
            </w:tcBorders>
            <w:noWrap w:val="0"/>
            <w:vAlign w:val="top"/>
          </w:tcPr>
          <w:p w14:paraId="3C0E3E8C">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4.3.2 运营期水环境影响及污染防治措施可行性分析</w:t>
            </w:r>
          </w:p>
          <w:p w14:paraId="33CAAFDC">
            <w:pPr>
              <w:pStyle w:val="76"/>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highlight w:val="none"/>
                <w:lang w:eastAsia="zh-CN"/>
                <w14:textFill>
                  <w14:solidFill>
                    <w14:schemeClr w14:val="tx1"/>
                  </w14:solidFill>
                </w14:textFill>
              </w:rPr>
              <w:t>依托出租方化粪池可行性分析</w:t>
            </w:r>
          </w:p>
          <w:p w14:paraId="15091EF5">
            <w:pPr>
              <w:pStyle w:val="76"/>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项目外排的</w:t>
            </w:r>
            <w:r>
              <w:rPr>
                <w:rFonts w:hint="default" w:ascii="Times New Roman" w:hAnsi="Times New Roman" w:cs="Times New Roman"/>
                <w:color w:val="000000" w:themeColor="text1"/>
                <w:sz w:val="24"/>
                <w:highlight w:val="none"/>
                <w:lang w:val="en-US" w:eastAsia="zh-CN"/>
                <w14:textFill>
                  <w14:solidFill>
                    <w14:schemeClr w14:val="tx1"/>
                  </w14:solidFill>
                </w14:textFill>
              </w:rPr>
              <w:t>职工生活用水</w:t>
            </w:r>
            <w:r>
              <w:rPr>
                <w:rFonts w:hint="default" w:ascii="Times New Roman" w:hAnsi="Times New Roman" w:cs="Times New Roman"/>
                <w:color w:val="000000" w:themeColor="text1"/>
                <w:sz w:val="24"/>
                <w:highlight w:val="none"/>
                <w:lang w:eastAsia="zh-CN"/>
                <w14:textFill>
                  <w14:solidFill>
                    <w14:schemeClr w14:val="tx1"/>
                  </w14:solidFill>
                </w14:textFill>
              </w:rPr>
              <w:t>中污染浓度较低，成分较简单且不含有毒污染物成分。</w:t>
            </w:r>
            <w:r>
              <w:rPr>
                <w:rFonts w:hint="eastAsia" w:ascii="Times New Roman" w:hAnsi="Times New Roman" w:cs="Times New Roman"/>
                <w:color w:val="000000" w:themeColor="text1"/>
                <w:sz w:val="24"/>
                <w:highlight w:val="none"/>
                <w:lang w:eastAsia="zh-CN"/>
                <w14:textFill>
                  <w14:solidFill>
                    <w14:schemeClr w14:val="tx1"/>
                  </w14:solidFill>
                </w14:textFill>
              </w:rPr>
              <w:t>根据调查，厂区内已建设</w:t>
            </w:r>
            <w:r>
              <w:rPr>
                <w:rFonts w:hint="default" w:ascii="Times New Roman" w:hAnsi="Times New Roman" w:cs="Times New Roman"/>
                <w:color w:val="000000" w:themeColor="text1"/>
                <w:sz w:val="24"/>
                <w:highlight w:val="none"/>
                <w:lang w:eastAsia="zh-CN"/>
                <w14:textFill>
                  <w14:solidFill>
                    <w14:schemeClr w14:val="tx1"/>
                  </w14:solidFill>
                </w14:textFill>
              </w:rPr>
              <w:t>化粪池</w:t>
            </w:r>
            <w:r>
              <w:rPr>
                <w:rFonts w:hint="default" w:ascii="Times New Roman" w:hAnsi="Times New Roman" w:cs="Times New Roman"/>
                <w:color w:val="000000" w:themeColor="text1"/>
                <w:sz w:val="24"/>
                <w:highlight w:val="none"/>
                <w:lang w:val="en-US" w:eastAsia="zh-CN"/>
                <w14:textFill>
                  <w14:solidFill>
                    <w14:schemeClr w14:val="tx1"/>
                  </w14:solidFill>
                </w14:textFill>
              </w:rPr>
              <w:t>26m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，出租方已入住职工</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生活污水产生量为16.02t/d(</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4806</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t/a)，</w:t>
            </w:r>
            <w:r>
              <w:rPr>
                <w:rFonts w:hint="default" w:ascii="Times New Roman" w:hAnsi="Times New Roman" w:cs="Times New Roman"/>
                <w:color w:val="000000" w:themeColor="text1"/>
                <w:sz w:val="24"/>
                <w:highlight w:val="none"/>
                <w:lang w:eastAsia="zh-CN"/>
                <w14:textFill>
                  <w14:solidFill>
                    <w14:schemeClr w14:val="tx1"/>
                  </w14:solidFill>
                </w14:textFill>
              </w:rPr>
              <w:t>约占化粪池</w:t>
            </w:r>
            <w:r>
              <w:rPr>
                <w:rFonts w:hint="default" w:ascii="Times New Roman" w:hAnsi="Times New Roman" w:cs="Times New Roman"/>
                <w:color w:val="000000" w:themeColor="text1"/>
                <w:sz w:val="24"/>
                <w:highlight w:val="none"/>
                <w:lang w:val="en-US" w:eastAsia="zh-CN"/>
                <w14:textFill>
                  <w14:solidFill>
                    <w14:schemeClr w14:val="tx1"/>
                  </w14:solidFill>
                </w14:textFill>
              </w:rPr>
              <w:t>处理能力</w:t>
            </w:r>
            <w:r>
              <w:rPr>
                <w:rFonts w:hint="eastAsia" w:ascii="Times New Roman" w:hAnsi="Times New Roman" w:cs="Times New Roman"/>
                <w:color w:val="000000" w:themeColor="text1"/>
                <w:sz w:val="24"/>
                <w:highlight w:val="none"/>
                <w:lang w:val="en-US" w:eastAsia="zh-CN"/>
                <w14:textFill>
                  <w14:solidFill>
                    <w14:schemeClr w14:val="tx1"/>
                  </w14:solidFill>
                </w14:textFill>
              </w:rPr>
              <w:t>61.62</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eastAsia="zh-CN"/>
                <w14:textFill>
                  <w14:solidFill>
                    <w14:schemeClr w14:val="tx1"/>
                  </w14:solidFill>
                </w14:textFill>
              </w:rPr>
              <w:t>化粪池剩余处理能力为</w:t>
            </w:r>
            <w:r>
              <w:rPr>
                <w:rFonts w:hint="eastAsia" w:ascii="Times New Roman" w:hAnsi="Times New Roman" w:cs="Times New Roman"/>
                <w:color w:val="000000" w:themeColor="text1"/>
                <w:sz w:val="24"/>
                <w:highlight w:val="none"/>
                <w:lang w:val="en-US" w:eastAsia="zh-CN"/>
                <w14:textFill>
                  <w14:solidFill>
                    <w14:schemeClr w14:val="tx1"/>
                  </w14:solidFill>
                </w14:textFill>
              </w:rPr>
              <w:t>9.98t/d，本项目拟入驻职工生活污水产生量为</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3.105</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t/d(</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931.5</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t/a)</w:t>
            </w:r>
            <w:r>
              <w:rPr>
                <w:rFonts w:hint="default" w:ascii="Times New Roman" w:hAnsi="Times New Roman" w:cs="Times New Roman"/>
                <w:color w:val="000000" w:themeColor="text1"/>
                <w:sz w:val="24"/>
                <w:highlight w:val="none"/>
                <w:lang w:eastAsia="zh-CN"/>
                <w14:textFill>
                  <w14:solidFill>
                    <w14:schemeClr w14:val="tx1"/>
                  </w14:solidFill>
                </w14:textFill>
              </w:rPr>
              <w:t>未超过该化粪池处理能力，</w:t>
            </w:r>
            <w:r>
              <w:rPr>
                <w:rFonts w:hint="eastAsia" w:ascii="Times New Roman" w:hAnsi="Times New Roman" w:cs="Times New Roman"/>
                <w:color w:val="000000" w:themeColor="text1"/>
                <w:sz w:val="24"/>
                <w:highlight w:val="none"/>
                <w:lang w:eastAsia="zh-CN"/>
                <w14:textFill>
                  <w14:solidFill>
                    <w14:schemeClr w14:val="tx1"/>
                  </w14:solidFill>
                </w14:textFill>
              </w:rPr>
              <w:t>仅占化粪池剩余处理能力的</w:t>
            </w:r>
            <w:r>
              <w:rPr>
                <w:rFonts w:hint="eastAsia" w:ascii="Times New Roman" w:hAnsi="Times New Roman" w:cs="Times New Roman"/>
                <w:color w:val="000000" w:themeColor="text1"/>
                <w:sz w:val="24"/>
                <w:highlight w:val="none"/>
                <w:lang w:val="en-US" w:eastAsia="zh-CN"/>
                <w14:textFill>
                  <w14:solidFill>
                    <w14:schemeClr w14:val="tx1"/>
                  </w14:solidFill>
                </w14:textFill>
              </w:rPr>
              <w:t>31.11%，</w:t>
            </w:r>
            <w:r>
              <w:rPr>
                <w:rFonts w:hint="default" w:ascii="Times New Roman" w:hAnsi="Times New Roman" w:eastAsia="宋体" w:cs="Times New Roman"/>
                <w:color w:val="000000" w:themeColor="text1"/>
                <w:sz w:val="24"/>
                <w:highlight w:val="none"/>
                <w14:textFill>
                  <w14:solidFill>
                    <w14:schemeClr w14:val="tx1"/>
                  </w14:solidFill>
                </w14:textFill>
              </w:rPr>
              <w:t>目前</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城市采用</w:t>
            </w:r>
            <w:r>
              <w:rPr>
                <w:rFonts w:hint="default" w:ascii="Times New Roman" w:hAnsi="Times New Roman" w:eastAsia="宋体" w:cs="Times New Roman"/>
                <w:b w:val="0"/>
                <w:bCs w:val="0"/>
                <w:color w:val="000000" w:themeColor="text1"/>
                <w:kern w:val="2"/>
                <w:sz w:val="24"/>
                <w:szCs w:val="20"/>
                <w:highlight w:val="none"/>
                <w:lang w:val="en-US" w:eastAsia="zh-CN" w:bidi="ar-SA"/>
                <w14:textFill>
                  <w14:solidFill>
                    <w14:schemeClr w14:val="tx1"/>
                  </w14:solidFill>
                </w14:textFill>
              </w:rPr>
              <w:t>化粪池预处理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生活污水为常用技术。</w:t>
            </w:r>
            <w:r>
              <w:rPr>
                <w:rFonts w:hint="default" w:ascii="Times New Roman" w:hAnsi="Times New Roman" w:cs="Times New Roman"/>
                <w:color w:val="000000" w:themeColor="text1"/>
                <w:sz w:val="24"/>
                <w:highlight w:val="none"/>
                <w:lang w:eastAsia="zh-CN"/>
                <w14:textFill>
                  <w14:solidFill>
                    <w14:schemeClr w14:val="tx1"/>
                  </w14:solidFill>
                </w14:textFill>
              </w:rPr>
              <w:t>因此，</w:t>
            </w:r>
            <w:r>
              <w:rPr>
                <w:rFonts w:hint="eastAsia" w:ascii="Times New Roman" w:hAnsi="Times New Roman" w:cs="Times New Roman"/>
                <w:color w:val="000000" w:themeColor="text1"/>
                <w:sz w:val="24"/>
                <w:highlight w:val="none"/>
                <w:lang w:val="en-US" w:eastAsia="zh-CN"/>
                <w14:textFill>
                  <w14:solidFill>
                    <w14:schemeClr w14:val="tx1"/>
                  </w14:solidFill>
                </w14:textFill>
              </w:rPr>
              <w:t>本项目生活污水仅厂区内已建化粪池处理可行</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2F0F8E3F">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化粪池</w:t>
            </w:r>
            <w:r>
              <w:rPr>
                <w:rFonts w:hint="default" w:ascii="Times New Roman" w:hAnsi="Times New Roman" w:eastAsia="宋体" w:cs="Times New Roman"/>
                <w:color w:val="000000" w:themeColor="text1"/>
                <w:sz w:val="24"/>
                <w14:textFill>
                  <w14:solidFill>
                    <w14:schemeClr w14:val="tx1"/>
                  </w14:solidFill>
                </w14:textFill>
              </w:rPr>
              <w:t>工艺流程及原理介绍：</w:t>
            </w:r>
          </w:p>
          <w:p w14:paraId="0C2D40CA">
            <w:pPr>
              <w:adjustRightInd w:val="0"/>
              <w:snapToGrid w:val="0"/>
              <w:spacing w:line="360" w:lineRule="auto"/>
              <w:ind w:firstLine="48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 厚度比第一池显著减少。流入第三池的粪液一般已经腐熟，其中病菌和寄生虫卵已基本杀灭。第三池功能主要起储存已基本无害化的粪液作用。</w:t>
            </w:r>
          </w:p>
          <w:p w14:paraId="1F7B979A">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生活污水经厂区化粪池预处理后通过厂区污水总排放口排入市政污水管网，送往福清市第二污水处理厂集中处理，属于间接排放，根据《建设项目环境影响报告表编制技术指南(污染影响类)(试行)》(环办环评〔2020〕33号)要求，废水间接排放的建设项目应从处理能力、处理工艺、设计进出水水质等方面，分析依托集中污水处理厂的可行性。</w:t>
            </w:r>
          </w:p>
          <w:p w14:paraId="6899DD94">
            <w:pPr>
              <w:pStyle w:val="76"/>
              <w:ind w:firstLine="0" w:firstLineChars="0"/>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.2.1 污水处理厂基本情况</w:t>
            </w:r>
          </w:p>
          <w:p w14:paraId="48FF9B7A">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福清市第二污水处理厂位于福清市宏路街道大浦村和溪下村境内，占地约141亩，为福建省首家一级A排放标准的地下污水处理厂。设计规模远期日处理污水12万吨，一期投资3.01亿元，日处理污水为6万吨，尾水排放龙江。</w:t>
            </w:r>
            <w:r>
              <w:rPr>
                <w:rFonts w:hint="default" w:ascii="Times New Roman" w:hAnsi="Times New Roman" w:cs="Times New Roman"/>
                <w:color w:val="000000" w:themeColor="text1"/>
                <w:lang w:eastAsia="zh-CN"/>
                <w14:textFill>
                  <w14:solidFill>
                    <w14:schemeClr w14:val="tx1"/>
                  </w14:solidFill>
                </w14:textFill>
              </w:rPr>
              <w:t>污水处理厂</w:t>
            </w:r>
            <w:r>
              <w:rPr>
                <w:rFonts w:hint="default" w:ascii="Times New Roman" w:hAnsi="Times New Roman" w:cs="Times New Roman"/>
                <w:color w:val="000000" w:themeColor="text1"/>
                <w14:textFill>
                  <w14:solidFill>
                    <w14:schemeClr w14:val="tx1"/>
                  </w14:solidFill>
                </w14:textFill>
              </w:rPr>
              <w:t>采用“曝气沉砂池+水解酸化AO+高效沉淀池+转盘滤池”工艺，是一个具有</w:t>
            </w:r>
            <w:bookmarkStart w:id="50" w:name="_GoBack"/>
            <w:bookmarkEnd w:id="50"/>
            <w:r>
              <w:rPr>
                <w:rFonts w:hint="default" w:ascii="Times New Roman" w:hAnsi="Times New Roman" w:cs="Times New Roman"/>
                <w:color w:val="000000" w:themeColor="text1"/>
                <w14:textFill>
                  <w14:solidFill>
                    <w14:schemeClr w14:val="tx1"/>
                  </w14:solidFill>
                </w14:textFill>
              </w:rPr>
              <w:t>现代化水准的花园式地下污水处理厂，并建设地面休闲公园，规划绿化率高达70%。</w:t>
            </w:r>
          </w:p>
          <w:p w14:paraId="5AC9D78F">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该污水处理厂一期于2015年12月30日成功试通水，并于2016年10月份通过竣工验收，11月17日正式通水投入使用，可以达到一期日处理污水量6万吨的设计能力。该污水处理厂承担融侨西片区、南片区以及东张镇、镜洋镇的工业废水和生活污水处理任务，服务面积19.47k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，服务人口</w:t>
            </w:r>
            <w:r>
              <w:rPr>
                <w:rFonts w:hint="eastAsia" w:cs="Times New Roman"/>
                <w:color w:val="000000" w:themeColor="text1"/>
                <w:lang w:eastAsia="zh-CN"/>
                <w14:textFill>
                  <w14:solidFill>
                    <w14:schemeClr w14:val="tx1"/>
                  </w14:solidFill>
                </w14:textFill>
              </w:rPr>
              <w:t>约</w:t>
            </w:r>
            <w:r>
              <w:rPr>
                <w:rFonts w:hint="default" w:ascii="Times New Roman" w:hAnsi="Times New Roman" w:cs="Times New Roman"/>
                <w:color w:val="000000" w:themeColor="text1"/>
                <w14:textFill>
                  <w14:solidFill>
                    <w14:schemeClr w14:val="tx1"/>
                  </w14:solidFill>
                </w14:textFill>
              </w:rPr>
              <w:t>20万人。</w:t>
            </w:r>
          </w:p>
          <w:p w14:paraId="4AD92459">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处理后的尾水执行《城镇污水处理厂污染物排放标准》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GB18918-2002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及其修改单中的一级A标准，尾水排放龙江。</w:t>
            </w:r>
          </w:p>
          <w:p w14:paraId="1ED4DCCC">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rFonts w:hint="eastAsia" w:cs="Times New Roman"/>
                <w:color w:val="000000" w:themeColor="text1"/>
                <w:lang w:eastAsia="zh-CN"/>
                <w14:textFill>
                  <w14:solidFill>
                    <w14:schemeClr w14:val="tx1"/>
                  </w14:solidFill>
                </w14:textFill>
              </w:rPr>
              <w:t>福建省福州市福清市石竹街道融侨开发区（租赁福州聚德电子有限公司1号厂房三层）</w:t>
            </w:r>
            <w:r>
              <w:rPr>
                <w:rFonts w:hint="default" w:ascii="Times New Roman" w:hAnsi="Times New Roman" w:cs="Times New Roman"/>
                <w:color w:val="000000" w:themeColor="text1"/>
                <w14:textFill>
                  <w14:solidFill>
                    <w14:schemeClr w14:val="tx1"/>
                  </w14:solidFill>
                </w14:textFill>
              </w:rPr>
              <w:t>，地处福清市第二污水处理厂服务范围内。</w:t>
            </w:r>
          </w:p>
          <w:p w14:paraId="581EB6B0">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①设计进出水水质</w:t>
            </w:r>
          </w:p>
          <w:p w14:paraId="2BBF81B8">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福清市第二污水处理厂处理</w:t>
            </w:r>
            <w:r>
              <w:rPr>
                <w:rFonts w:hint="default" w:ascii="Times New Roman" w:hAnsi="Times New Roman" w:cs="Times New Roman"/>
                <w:color w:val="000000" w:themeColor="text1"/>
                <w14:textFill>
                  <w14:solidFill>
                    <w14:schemeClr w14:val="tx1"/>
                  </w14:solidFill>
                </w14:textFill>
              </w:rPr>
              <w:t>进出水水质见表</w:t>
            </w:r>
            <w:r>
              <w:rPr>
                <w:rFonts w:hint="default" w:ascii="Times New Roman" w:hAnsi="Times New Roman" w:cs="Times New Roman"/>
                <w:color w:val="000000" w:themeColor="text1"/>
                <w:lang w:val="en-US" w:eastAsia="zh-CN"/>
                <w14:textFill>
                  <w14:solidFill>
                    <w14:schemeClr w14:val="tx1"/>
                  </w14:solidFill>
                </w14:textFill>
              </w:rPr>
              <w:t>4.3-2</w:t>
            </w:r>
            <w:r>
              <w:rPr>
                <w:rFonts w:hint="default" w:ascii="Times New Roman" w:hAnsi="Times New Roman" w:cs="Times New Roman"/>
                <w:color w:val="000000" w:themeColor="text1"/>
                <w14:textFill>
                  <w14:solidFill>
                    <w14:schemeClr w14:val="tx1"/>
                  </w14:solidFill>
                </w14:textFill>
              </w:rPr>
              <w:t>。</w:t>
            </w:r>
          </w:p>
          <w:p w14:paraId="2BE02802">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表4.3-2  污水处理厂进出水水质标准(mg/L  pH除外)</w:t>
            </w:r>
          </w:p>
          <w:tbl>
            <w:tblPr>
              <w:tblStyle w:val="7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05"/>
              <w:gridCol w:w="1346"/>
              <w:gridCol w:w="1095"/>
              <w:gridCol w:w="991"/>
              <w:gridCol w:w="1056"/>
              <w:gridCol w:w="977"/>
              <w:gridCol w:w="977"/>
              <w:gridCol w:w="874"/>
            </w:tblGrid>
            <w:tr w14:paraId="2E484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40757201">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水质指标</w:t>
                  </w:r>
                </w:p>
              </w:tc>
              <w:tc>
                <w:tcPr>
                  <w:tcW w:w="799" w:type="pct"/>
                  <w:noWrap w:val="0"/>
                  <w:vAlign w:val="center"/>
                </w:tcPr>
                <w:p w14:paraId="14F3B2AE">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w:t>
                  </w:r>
                </w:p>
              </w:tc>
              <w:tc>
                <w:tcPr>
                  <w:tcW w:w="650" w:type="pct"/>
                  <w:noWrap w:val="0"/>
                  <w:vAlign w:val="center"/>
                </w:tcPr>
                <w:p w14:paraId="0CC89FF3">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w:t>
                  </w:r>
                </w:p>
              </w:tc>
              <w:tc>
                <w:tcPr>
                  <w:tcW w:w="588" w:type="pct"/>
                  <w:noWrap w:val="0"/>
                  <w:vAlign w:val="center"/>
                </w:tcPr>
                <w:p w14:paraId="3D647C7C">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BOD</w:t>
                  </w:r>
                  <w:r>
                    <w:rPr>
                      <w:rFonts w:hint="default" w:ascii="Times New Roman" w:hAnsi="Times New Roman" w:cs="Times New Roman"/>
                      <w:color w:val="000000" w:themeColor="text1"/>
                      <w:vertAlign w:val="subscript"/>
                      <w:lang w:val="en-US" w:eastAsia="zh-CN"/>
                      <w14:textFill>
                        <w14:solidFill>
                          <w14:schemeClr w14:val="tx1"/>
                        </w14:solidFill>
                      </w14:textFill>
                    </w:rPr>
                    <w:t>5</w:t>
                  </w:r>
                </w:p>
              </w:tc>
              <w:tc>
                <w:tcPr>
                  <w:tcW w:w="627" w:type="pct"/>
                  <w:noWrap w:val="0"/>
                  <w:vAlign w:val="center"/>
                </w:tcPr>
                <w:p w14:paraId="58E72881">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SS</w:t>
                  </w:r>
                </w:p>
              </w:tc>
              <w:tc>
                <w:tcPr>
                  <w:tcW w:w="580" w:type="pct"/>
                  <w:noWrap w:val="0"/>
                  <w:vAlign w:val="center"/>
                </w:tcPr>
                <w:p w14:paraId="45A41807">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NH</w:t>
                  </w:r>
                  <w:r>
                    <w:rPr>
                      <w:rFonts w:hint="default" w:ascii="Times New Roman" w:hAnsi="Times New Roman"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-N</w:t>
                  </w:r>
                </w:p>
              </w:tc>
              <w:tc>
                <w:tcPr>
                  <w:tcW w:w="580" w:type="pct"/>
                  <w:noWrap w:val="0"/>
                  <w:vAlign w:val="center"/>
                </w:tcPr>
                <w:p w14:paraId="0164B4B2">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TN</w:t>
                  </w:r>
                </w:p>
              </w:tc>
              <w:tc>
                <w:tcPr>
                  <w:tcW w:w="518" w:type="pct"/>
                  <w:noWrap w:val="0"/>
                  <w:vAlign w:val="center"/>
                </w:tcPr>
                <w:p w14:paraId="612D0993">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TP</w:t>
                  </w:r>
                </w:p>
              </w:tc>
            </w:tr>
            <w:tr w14:paraId="162D5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39404A01">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进水水质</w:t>
                  </w:r>
                </w:p>
              </w:tc>
              <w:tc>
                <w:tcPr>
                  <w:tcW w:w="799" w:type="pct"/>
                  <w:noWrap w:val="0"/>
                  <w:vAlign w:val="center"/>
                </w:tcPr>
                <w:p w14:paraId="2074FDCE">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6~9(无量纲)</w:t>
                  </w:r>
                </w:p>
              </w:tc>
              <w:tc>
                <w:tcPr>
                  <w:tcW w:w="650" w:type="pct"/>
                  <w:noWrap w:val="0"/>
                  <w:vAlign w:val="center"/>
                </w:tcPr>
                <w:p w14:paraId="5B721963">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588" w:type="pct"/>
                  <w:noWrap w:val="0"/>
                  <w:vAlign w:val="center"/>
                </w:tcPr>
                <w:p w14:paraId="79418170">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≤220</w:t>
                  </w:r>
                </w:p>
              </w:tc>
              <w:tc>
                <w:tcPr>
                  <w:tcW w:w="627" w:type="pct"/>
                  <w:noWrap w:val="0"/>
                  <w:vAlign w:val="center"/>
                </w:tcPr>
                <w:p w14:paraId="4F2EC22D">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≤280</w:t>
                  </w:r>
                </w:p>
              </w:tc>
              <w:tc>
                <w:tcPr>
                  <w:tcW w:w="580" w:type="pct"/>
                  <w:noWrap w:val="0"/>
                  <w:vAlign w:val="center"/>
                </w:tcPr>
                <w:p w14:paraId="096FD4F6">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w:t>
                  </w:r>
                </w:p>
              </w:tc>
              <w:tc>
                <w:tcPr>
                  <w:tcW w:w="580" w:type="pct"/>
                  <w:noWrap w:val="0"/>
                  <w:vAlign w:val="center"/>
                </w:tcPr>
                <w:p w14:paraId="5EEA7BD7">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w:t>
                  </w:r>
                </w:p>
              </w:tc>
              <w:tc>
                <w:tcPr>
                  <w:tcW w:w="518" w:type="pct"/>
                  <w:noWrap w:val="0"/>
                  <w:vAlign w:val="center"/>
                </w:tcPr>
                <w:p w14:paraId="47EA5155">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r>
            <w:tr w14:paraId="2E8B6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0146C863">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出水标准</w:t>
                  </w:r>
                </w:p>
              </w:tc>
              <w:tc>
                <w:tcPr>
                  <w:tcW w:w="799" w:type="pct"/>
                  <w:noWrap w:val="0"/>
                  <w:vAlign w:val="center"/>
                </w:tcPr>
                <w:p w14:paraId="188DDCE0">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6~9(无量纲)</w:t>
                  </w:r>
                </w:p>
              </w:tc>
              <w:tc>
                <w:tcPr>
                  <w:tcW w:w="650" w:type="pct"/>
                  <w:noWrap w:val="0"/>
                  <w:vAlign w:val="center"/>
                </w:tcPr>
                <w:p w14:paraId="37B6F125">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588" w:type="pct"/>
                  <w:noWrap w:val="0"/>
                  <w:vAlign w:val="center"/>
                </w:tcPr>
                <w:p w14:paraId="666D699B">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627" w:type="pct"/>
                  <w:noWrap w:val="0"/>
                  <w:vAlign w:val="center"/>
                </w:tcPr>
                <w:p w14:paraId="5DD10FA0">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580" w:type="pct"/>
                  <w:noWrap w:val="0"/>
                  <w:vAlign w:val="center"/>
                </w:tcPr>
                <w:p w14:paraId="4FEF2CA7">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580" w:type="pct"/>
                  <w:noWrap w:val="0"/>
                  <w:vAlign w:val="center"/>
                </w:tcPr>
                <w:p w14:paraId="0AD87070">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518" w:type="pct"/>
                  <w:noWrap w:val="0"/>
                  <w:vAlign w:val="center"/>
                </w:tcPr>
                <w:p w14:paraId="2A3805AE">
                  <w:pPr>
                    <w:pStyle w:val="47"/>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r>
          </w:tbl>
          <w:p w14:paraId="7B59F25D">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处理工艺</w:t>
            </w:r>
          </w:p>
          <w:p w14:paraId="381B52CD">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污水处理工艺流程详见图</w:t>
            </w:r>
            <w:r>
              <w:rPr>
                <w:rFonts w:hint="default" w:ascii="Times New Roman" w:hAnsi="Times New Roman" w:cs="Times New Roman"/>
                <w:color w:val="000000" w:themeColor="text1"/>
                <w:lang w:val="en-US" w:eastAsia="zh-CN"/>
                <w14:textFill>
                  <w14:solidFill>
                    <w14:schemeClr w14:val="tx1"/>
                  </w14:solidFill>
                </w14:textFill>
              </w:rPr>
              <w:t>4.3-1</w:t>
            </w:r>
            <w:r>
              <w:rPr>
                <w:rFonts w:hint="default" w:ascii="Times New Roman" w:hAnsi="Times New Roman" w:cs="Times New Roman"/>
                <w:color w:val="000000" w:themeColor="text1"/>
                <w14:textFill>
                  <w14:solidFill>
                    <w14:schemeClr w14:val="tx1"/>
                  </w14:solidFill>
                </w14:textFill>
              </w:rPr>
              <w:t>。</w:t>
            </w:r>
          </w:p>
          <w:p w14:paraId="0F567A46">
            <w:pPr>
              <w:pStyle w:val="76"/>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5361305" cy="3836035"/>
                  <wp:effectExtent l="9525" t="9525" r="24130" b="10160"/>
                  <wp:docPr id="6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13"/>
                          <pic:cNvPicPr>
                            <a:picLocks noChangeAspect="1"/>
                          </pic:cNvPicPr>
                        </pic:nvPicPr>
                        <pic:blipFill>
                          <a:blip r:embed="rId14"/>
                          <a:srcRect l="3127" b="-864"/>
                          <a:stretch>
                            <a:fillRect/>
                          </a:stretch>
                        </pic:blipFill>
                        <pic:spPr>
                          <a:xfrm>
                            <a:off x="0" y="0"/>
                            <a:ext cx="5361305" cy="3836035"/>
                          </a:xfrm>
                          <a:prstGeom prst="rect">
                            <a:avLst/>
                          </a:prstGeom>
                          <a:noFill/>
                          <a:ln>
                            <a:solidFill>
                              <a:schemeClr val="tx1"/>
                            </a:solidFill>
                          </a:ln>
                        </pic:spPr>
                      </pic:pic>
                    </a:graphicData>
                  </a:graphic>
                </wp:inline>
              </w:drawing>
            </w:r>
          </w:p>
          <w:p w14:paraId="6F0C8C79">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图4.3-1   福清市第二污水处理厂处理污水处理流程图</w:t>
            </w:r>
          </w:p>
          <w:p w14:paraId="62D266B2">
            <w:pPr>
              <w:pStyle w:val="79"/>
              <w:ind w:firstLine="0"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.2.2 依托可行性分析</w:t>
            </w:r>
          </w:p>
          <w:p w14:paraId="4AD1D81D">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①接管可行性</w:t>
            </w:r>
          </w:p>
          <w:p w14:paraId="4E941FF9">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福清市第二污水处理厂</w:t>
            </w:r>
            <w:r>
              <w:rPr>
                <w:rFonts w:hint="default" w:ascii="Times New Roman" w:hAnsi="Times New Roman" w:cs="Times New Roman"/>
                <w:color w:val="000000" w:themeColor="text1"/>
                <w14:textFill>
                  <w14:solidFill>
                    <w14:schemeClr w14:val="tx1"/>
                  </w14:solidFill>
                </w14:textFill>
              </w:rPr>
              <w:t>承担融侨西片区、南片区以及东张镇、镜洋镇的工业废水和生活污水处理任务，服务面积19.47km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，服务人口</w:t>
            </w:r>
            <w:r>
              <w:rPr>
                <w:rFonts w:hint="eastAsia" w:cs="Times New Roman"/>
                <w:color w:val="000000" w:themeColor="text1"/>
                <w:lang w:eastAsia="zh-CN"/>
                <w14:textFill>
                  <w14:solidFill>
                    <w14:schemeClr w14:val="tx1"/>
                  </w14:solidFill>
                </w14:textFill>
              </w:rPr>
              <w:t>约</w:t>
            </w:r>
            <w:r>
              <w:rPr>
                <w:rFonts w:hint="default" w:ascii="Times New Roman" w:hAnsi="Times New Roman" w:cs="Times New Roman"/>
                <w:color w:val="000000" w:themeColor="text1"/>
                <w14:textFill>
                  <w14:solidFill>
                    <w14:schemeClr w14:val="tx1"/>
                  </w14:solidFill>
                </w14:textFill>
              </w:rPr>
              <w:t>20万人。</w:t>
            </w:r>
          </w:p>
          <w:p w14:paraId="70AEF853">
            <w:pPr>
              <w:pStyle w:val="76"/>
              <w:rPr>
                <w:rFonts w:hint="default" w:ascii="Times New Roman" w:hAnsi="Times New Roman" w:eastAsia="宋体" w:cs="Times New Roman"/>
                <w:b w:val="0"/>
                <w:bCs w:val="0"/>
                <w:color w:val="000000" w:themeColor="text1"/>
                <w:highlight w:val="none"/>
                <w:lang w:val="en-US" w:eastAsia="zh-CN" w:bidi="he-IL"/>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本项目位于</w:t>
            </w:r>
            <w:r>
              <w:rPr>
                <w:rFonts w:hint="eastAsia" w:ascii="Times New Roman" w:hAnsi="Times New Roman" w:cs="Times New Roman"/>
                <w:color w:val="000000" w:themeColor="text1"/>
                <w:highlight w:val="none"/>
                <w:lang w:eastAsia="zh-CN"/>
                <w14:textFill>
                  <w14:solidFill>
                    <w14:schemeClr w14:val="tx1"/>
                  </w14:solidFill>
                </w14:textFill>
              </w:rPr>
              <w:t>福建省福州市福清市石竹街道融侨开发区（租赁福州聚德电子有限公司1号厂房三层）</w:t>
            </w:r>
            <w:r>
              <w:rPr>
                <w:rFonts w:hint="default" w:ascii="Times New Roman" w:hAnsi="Times New Roman" w:cs="Times New Roman"/>
                <w:color w:val="000000" w:themeColor="text1"/>
                <w:highlight w:val="none"/>
                <w14:textFill>
                  <w14:solidFill>
                    <w14:schemeClr w14:val="tx1"/>
                  </w14:solidFill>
                </w14:textFill>
              </w:rPr>
              <w:t>，地处福清市第二污水处理厂服务范围内。</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生活污水经厂区化粪池预处理后通过地埋的污水管引至厂区西南侧主入口规划路的排污口，</w:t>
            </w:r>
            <w:r>
              <w:rPr>
                <w:rFonts w:hint="default" w:ascii="Times New Roman" w:hAnsi="Times New Roman" w:cs="Times New Roman"/>
                <w:color w:val="000000" w:themeColor="text1"/>
                <w:sz w:val="24"/>
                <w:highlight w:val="none"/>
                <w:lang w:val="en-US" w:eastAsia="zh-CN"/>
                <w14:textFill>
                  <w14:solidFill>
                    <w14:schemeClr w14:val="tx1"/>
                  </w14:solidFill>
                </w14:textFill>
              </w:rPr>
              <w:t>生活污水接管证明详见附件十。</w:t>
            </w:r>
            <w:r>
              <w:rPr>
                <w:rFonts w:hint="default" w:ascii="Times New Roman" w:hAnsi="Times New Roman" w:cs="Times New Roman"/>
                <w:color w:val="000000" w:themeColor="text1"/>
                <w:szCs w:val="21"/>
                <w:highlight w:val="none"/>
                <w:lang w:eastAsia="zh-CN"/>
                <w14:textFill>
                  <w14:solidFill>
                    <w14:schemeClr w14:val="tx1"/>
                  </w14:solidFill>
                </w14:textFill>
              </w:rPr>
              <w:t>因此本项目生活污水可纳入</w:t>
            </w:r>
            <w:r>
              <w:rPr>
                <w:rFonts w:hint="default" w:ascii="Times New Roman" w:hAnsi="Times New Roman" w:cs="Times New Roman"/>
                <w:color w:val="000000" w:themeColor="text1"/>
                <w:sz w:val="24"/>
                <w:szCs w:val="24"/>
                <w:highlight w:val="none"/>
                <w:lang w:eastAsia="zh-CN"/>
                <w14:textFill>
                  <w14:solidFill>
                    <w14:schemeClr w14:val="tx1"/>
                  </w14:solidFill>
                </w14:textFill>
              </w:rPr>
              <w:t>福清市第二污水处理厂处理。</w:t>
            </w:r>
          </w:p>
          <w:p w14:paraId="4F27F103">
            <w:pPr>
              <w:pStyle w:val="76"/>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w:t>
            </w:r>
            <w:r>
              <w:rPr>
                <w:rFonts w:hint="default" w:ascii="Times New Roman" w:hAnsi="Times New Roman" w:cs="Times New Roman"/>
                <w:color w:val="000000" w:themeColor="text1"/>
                <w:highlight w:val="none"/>
                <w:lang w:eastAsia="zh-CN"/>
                <w14:textFill>
                  <w14:solidFill>
                    <w14:schemeClr w14:val="tx1"/>
                  </w14:solidFill>
                </w14:textFill>
              </w:rPr>
              <w:t>水质负荷</w:t>
            </w:r>
          </w:p>
          <w:p w14:paraId="3996717C">
            <w:pPr>
              <w:pStyle w:val="76"/>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项目生活污水经化粪池预处理达标后通过厂区污水总排放口排入市政污水管网，送往福清市第二污水处理厂处理集中处理，</w:t>
            </w:r>
            <w:r>
              <w:rPr>
                <w:rFonts w:hint="default" w:ascii="Times New Roman" w:hAnsi="Times New Roman" w:cs="Times New Roman"/>
                <w:color w:val="000000" w:themeColor="text1"/>
                <w:highlight w:val="none"/>
                <w:lang w:eastAsia="zh-CN"/>
                <w14:textFill>
                  <w14:solidFill>
                    <w14:schemeClr w14:val="tx1"/>
                  </w14:solidFill>
                </w14:textFill>
              </w:rPr>
              <w:t>根据工程分析预测可知，项目</w:t>
            </w:r>
            <w:r>
              <w:rPr>
                <w:rFonts w:hint="eastAsia" w:ascii="Times New Roman" w:hAnsi="Times New Roman" w:cs="Times New Roman"/>
                <w:color w:val="000000" w:themeColor="text1"/>
                <w:highlight w:val="none"/>
                <w:lang w:eastAsia="zh-CN"/>
                <w14:textFill>
                  <w14:solidFill>
                    <w14:schemeClr w14:val="tx1"/>
                  </w14:solidFill>
                </w14:textFill>
              </w:rPr>
              <w:t>生活污水</w:t>
            </w:r>
            <w:r>
              <w:rPr>
                <w:rFonts w:hint="default" w:ascii="Times New Roman" w:hAnsi="Times New Roman" w:cs="Times New Roman"/>
                <w:color w:val="000000" w:themeColor="text1"/>
                <w:highlight w:val="none"/>
                <w:lang w:eastAsia="zh-CN"/>
                <w14:textFill>
                  <w14:solidFill>
                    <w14:schemeClr w14:val="tx1"/>
                  </w14:solidFill>
                </w14:textFill>
              </w:rPr>
              <w:t>排入市政污水管网内污染物排放浓度情况表</w:t>
            </w:r>
            <w:r>
              <w:rPr>
                <w:rFonts w:hint="default" w:ascii="Times New Roman" w:hAnsi="Times New Roman" w:cs="Times New Roman"/>
                <w:color w:val="000000" w:themeColor="text1"/>
                <w:highlight w:val="none"/>
                <w:lang w:val="en-US" w:eastAsia="zh-CN"/>
                <w14:textFill>
                  <w14:solidFill>
                    <w14:schemeClr w14:val="tx1"/>
                  </w14:solidFill>
                </w14:textFill>
              </w:rPr>
              <w:t>4.3-3</w:t>
            </w:r>
            <w:r>
              <w:rPr>
                <w:rFonts w:hint="default" w:ascii="Times New Roman" w:hAnsi="Times New Roman" w:cs="Times New Roman"/>
                <w:color w:val="000000" w:themeColor="text1"/>
                <w:highlight w:val="none"/>
                <w:lang w:eastAsia="zh-CN"/>
                <w14:textFill>
                  <w14:solidFill>
                    <w14:schemeClr w14:val="tx1"/>
                  </w14:solidFill>
                </w14:textFill>
              </w:rPr>
              <w:t>。</w:t>
            </w:r>
          </w:p>
          <w:p w14:paraId="5B44D533">
            <w:pPr>
              <w:widowControl/>
              <w:autoSpaceDE w:val="0"/>
              <w:autoSpaceDN w:val="0"/>
              <w:spacing w:before="162" w:beforeLines="50"/>
              <w:jc w:val="center"/>
              <w:textAlignment w:val="bottom"/>
              <w:rPr>
                <w:rFonts w:hint="default" w:ascii="Times New Roman" w:hAnsi="Times New Roman" w:eastAsia="黑体" w:cs="Times New Roman"/>
                <w:color w:val="000000" w:themeColor="text1"/>
                <w:kern w:val="0"/>
                <w:sz w:val="24"/>
                <w:szCs w:val="28"/>
                <w:highlight w:val="none"/>
                <w14:textFill>
                  <w14:solidFill>
                    <w14:schemeClr w14:val="tx1"/>
                  </w14:solidFill>
                </w14:textFill>
              </w:rPr>
            </w:pPr>
            <w:r>
              <w:rPr>
                <w:rStyle w:val="57"/>
                <w:rFonts w:hint="default" w:ascii="Times New Roman" w:hAnsi="Times New Roman" w:cs="Times New Roman"/>
                <w:color w:val="000000" w:themeColor="text1"/>
                <w:lang w:val="en-US" w:eastAsia="zh-CN"/>
                <w14:textFill>
                  <w14:solidFill>
                    <w14:schemeClr w14:val="tx1"/>
                  </w14:solidFill>
                </w14:textFill>
              </w:rPr>
              <w:t>表4.3-3</w:t>
            </w:r>
            <w:r>
              <w:rPr>
                <w:rStyle w:val="57"/>
                <w:rFonts w:hint="default" w:ascii="Times New Roman" w:hAnsi="Times New Roman" w:cs="Times New Roman"/>
                <w:color w:val="000000" w:themeColor="text1"/>
                <w14:textFill>
                  <w14:solidFill>
                    <w14:schemeClr w14:val="tx1"/>
                  </w14:solidFill>
                </w14:textFill>
              </w:rPr>
              <w:t xml:space="preserve"> </w:t>
            </w:r>
            <w:r>
              <w:rPr>
                <w:rStyle w:val="57"/>
                <w:rFonts w:hint="default" w:ascii="Times New Roman" w:hAnsi="Times New Roman" w:cs="Times New Roman"/>
                <w:color w:val="000000" w:themeColor="text1"/>
                <w:lang w:val="en-US" w:eastAsia="zh-CN"/>
                <w14:textFill>
                  <w14:solidFill>
                    <w14:schemeClr w14:val="tx1"/>
                  </w14:solidFill>
                </w14:textFill>
              </w:rPr>
              <w:t xml:space="preserve"> </w:t>
            </w:r>
            <w:r>
              <w:rPr>
                <w:rStyle w:val="57"/>
                <w:rFonts w:hint="default" w:ascii="Times New Roman" w:hAnsi="Times New Roman" w:cs="Times New Roman"/>
                <w:color w:val="000000" w:themeColor="text1"/>
                <w14:textFill>
                  <w14:solidFill>
                    <w14:schemeClr w14:val="tx1"/>
                  </w14:solidFill>
                </w14:textFill>
              </w:rPr>
              <w:t>本项目</w:t>
            </w:r>
            <w:r>
              <w:rPr>
                <w:rStyle w:val="57"/>
                <w:rFonts w:hint="default" w:ascii="Times New Roman" w:hAnsi="Times New Roman" w:cs="Times New Roman"/>
                <w:color w:val="000000" w:themeColor="text1"/>
                <w:lang w:val="en-US" w:eastAsia="zh-CN"/>
                <w14:textFill>
                  <w14:solidFill>
                    <w14:schemeClr w14:val="tx1"/>
                  </w14:solidFill>
                </w14:textFill>
              </w:rPr>
              <w:t>废水</w:t>
            </w:r>
            <w:r>
              <w:rPr>
                <w:rStyle w:val="57"/>
                <w:rFonts w:hint="default" w:ascii="Times New Roman" w:hAnsi="Times New Roman" w:cs="Times New Roman"/>
                <w:color w:val="000000" w:themeColor="text1"/>
                <w14:textFill>
                  <w14:solidFill>
                    <w14:schemeClr w14:val="tx1"/>
                  </w14:solidFill>
                </w14:textFill>
              </w:rPr>
              <w:t>排放情况一览表</w:t>
            </w:r>
            <w:r>
              <w:rPr>
                <w:rFonts w:hint="default" w:ascii="Times New Roman" w:hAnsi="Times New Roman" w:eastAsia="黑体" w:cs="Times New Roman"/>
                <w:color w:val="000000" w:themeColor="text1"/>
                <w:kern w:val="0"/>
                <w:sz w:val="24"/>
                <w:szCs w:val="28"/>
                <w:highlight w:val="none"/>
                <w:lang w:val="en-US" w:eastAsia="zh-CN"/>
                <w14:textFill>
                  <w14:solidFill>
                    <w14:schemeClr w14:val="tx1"/>
                  </w14:solidFill>
                </w14:textFill>
              </w:rPr>
              <w:t xml:space="preserve">                                          </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684"/>
              <w:gridCol w:w="1684"/>
              <w:gridCol w:w="1684"/>
              <w:gridCol w:w="1685"/>
            </w:tblGrid>
            <w:tr w14:paraId="50F69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7074471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污染物种类</w:t>
                  </w:r>
                </w:p>
              </w:tc>
              <w:tc>
                <w:tcPr>
                  <w:tcW w:w="1000" w:type="pct"/>
                  <w:tcBorders>
                    <w:tl2br w:val="nil"/>
                    <w:tr2bl w:val="nil"/>
                  </w:tcBorders>
                  <w:noWrap w:val="0"/>
                  <w:vAlign w:val="center"/>
                </w:tcPr>
                <w:p w14:paraId="2F74859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排放浓度</w:t>
                  </w:r>
                  <w:r>
                    <w:rPr>
                      <w:rFonts w:hint="default" w:ascii="Times New Roman" w:hAnsi="Times New Roman" w:cs="Times New Roman"/>
                      <w:color w:val="000000" w:themeColor="text1"/>
                      <w:lang w:val="en-US" w:eastAsia="zh-CN"/>
                      <w14:textFill>
                        <w14:solidFill>
                          <w14:schemeClr w14:val="tx1"/>
                        </w14:solidFill>
                      </w14:textFill>
                    </w:rPr>
                    <w:t>(mg/L)</w:t>
                  </w:r>
                </w:p>
              </w:tc>
              <w:tc>
                <w:tcPr>
                  <w:tcW w:w="1000" w:type="pct"/>
                  <w:tcBorders>
                    <w:tl2br w:val="nil"/>
                    <w:tr2bl w:val="nil"/>
                  </w:tcBorders>
                  <w:noWrap w:val="0"/>
                  <w:vAlign w:val="center"/>
                </w:tcPr>
                <w:p w14:paraId="78B62A1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允许排放标准</w:t>
                  </w:r>
                  <w:r>
                    <w:rPr>
                      <w:rFonts w:hint="default" w:ascii="Times New Roman" w:hAnsi="Times New Roman" w:cs="Times New Roman"/>
                      <w:color w:val="000000" w:themeColor="text1"/>
                      <w:lang w:val="en-US" w:eastAsia="zh-CN"/>
                      <w14:textFill>
                        <w14:solidFill>
                          <w14:schemeClr w14:val="tx1"/>
                        </w14:solidFill>
                      </w14:textFill>
                    </w:rPr>
                    <w:t>(mg/L)</w:t>
                  </w:r>
                </w:p>
              </w:tc>
              <w:tc>
                <w:tcPr>
                  <w:tcW w:w="1000" w:type="pct"/>
                  <w:tcBorders>
                    <w:tl2br w:val="nil"/>
                    <w:tr2bl w:val="nil"/>
                  </w:tcBorders>
                  <w:noWrap w:val="0"/>
                  <w:vAlign w:val="center"/>
                </w:tcPr>
                <w:p w14:paraId="0C5FC23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污水处理厂进水水质</w:t>
                  </w:r>
                  <w:r>
                    <w:rPr>
                      <w:rFonts w:hint="default" w:ascii="Times New Roman" w:hAnsi="Times New Roman" w:cs="Times New Roman"/>
                      <w:color w:val="000000" w:themeColor="text1"/>
                      <w:lang w:val="en-US" w:eastAsia="zh-CN"/>
                      <w14:textFill>
                        <w14:solidFill>
                          <w14:schemeClr w14:val="tx1"/>
                        </w14:solidFill>
                      </w14:textFill>
                    </w:rPr>
                    <w:t>(mg/L)</w:t>
                  </w:r>
                </w:p>
              </w:tc>
              <w:tc>
                <w:tcPr>
                  <w:tcW w:w="1000" w:type="pct"/>
                  <w:tcBorders>
                    <w:tl2br w:val="nil"/>
                    <w:tr2bl w:val="nil"/>
                  </w:tcBorders>
                  <w:noWrap w:val="0"/>
                  <w:vAlign w:val="center"/>
                </w:tcPr>
                <w:p w14:paraId="48FDE42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达标情况</w:t>
                  </w:r>
                </w:p>
              </w:tc>
            </w:tr>
            <w:tr w14:paraId="69EFB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194987F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w:t>
                  </w:r>
                </w:p>
              </w:tc>
              <w:tc>
                <w:tcPr>
                  <w:tcW w:w="1000" w:type="pct"/>
                  <w:tcBorders>
                    <w:tl2br w:val="nil"/>
                    <w:tr2bl w:val="nil"/>
                  </w:tcBorders>
                  <w:noWrap w:val="0"/>
                  <w:vAlign w:val="center"/>
                </w:tcPr>
                <w:p w14:paraId="6E4CAE7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w:t>
                  </w:r>
                </w:p>
              </w:tc>
              <w:tc>
                <w:tcPr>
                  <w:tcW w:w="1000" w:type="pct"/>
                  <w:tcBorders>
                    <w:tl2br w:val="nil"/>
                    <w:tr2bl w:val="nil"/>
                  </w:tcBorders>
                  <w:noWrap w:val="0"/>
                  <w:vAlign w:val="center"/>
                </w:tcPr>
                <w:p w14:paraId="660F1C6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6-9(无量纲)</w:t>
                  </w:r>
                </w:p>
              </w:tc>
              <w:tc>
                <w:tcPr>
                  <w:tcW w:w="1000" w:type="pct"/>
                  <w:tcBorders>
                    <w:tl2br w:val="nil"/>
                    <w:tr2bl w:val="nil"/>
                  </w:tcBorders>
                  <w:noWrap w:val="0"/>
                  <w:vAlign w:val="center"/>
                </w:tcPr>
                <w:p w14:paraId="0E05807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6-9(无量纲)</w:t>
                  </w:r>
                </w:p>
              </w:tc>
              <w:tc>
                <w:tcPr>
                  <w:tcW w:w="1000" w:type="pct"/>
                  <w:tcBorders>
                    <w:tl2br w:val="nil"/>
                    <w:tr2bl w:val="nil"/>
                  </w:tcBorders>
                  <w:noWrap w:val="0"/>
                  <w:vAlign w:val="center"/>
                </w:tcPr>
                <w:p w14:paraId="651B6EF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24C88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3581108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r>
                    <w:rPr>
                      <w:rFonts w:hint="default" w:ascii="Times New Roman" w:hAnsi="Times New Roman" w:cs="Times New Roman"/>
                      <w:color w:val="000000" w:themeColor="text1"/>
                      <w:vertAlign w:val="subscript"/>
                      <w14:textFill>
                        <w14:solidFill>
                          <w14:schemeClr w14:val="tx1"/>
                        </w14:solidFill>
                      </w14:textFill>
                    </w:rPr>
                    <w:t>Cr</w:t>
                  </w:r>
                </w:p>
              </w:tc>
              <w:tc>
                <w:tcPr>
                  <w:tcW w:w="1000" w:type="pct"/>
                  <w:tcBorders>
                    <w:tl2br w:val="nil"/>
                    <w:tr2bl w:val="nil"/>
                  </w:tcBorders>
                  <w:noWrap w:val="0"/>
                  <w:vAlign w:val="center"/>
                </w:tcPr>
                <w:p w14:paraId="0FA882D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274.38</w:t>
                  </w:r>
                </w:p>
              </w:tc>
              <w:tc>
                <w:tcPr>
                  <w:tcW w:w="1000" w:type="pct"/>
                  <w:tcBorders>
                    <w:tl2br w:val="nil"/>
                    <w:tr2bl w:val="nil"/>
                  </w:tcBorders>
                  <w:noWrap w:val="0"/>
                  <w:vAlign w:val="center"/>
                </w:tcPr>
                <w:p w14:paraId="5AF7E55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w:t>
                  </w:r>
                </w:p>
              </w:tc>
              <w:tc>
                <w:tcPr>
                  <w:tcW w:w="1000" w:type="pct"/>
                  <w:tcBorders>
                    <w:tl2br w:val="nil"/>
                    <w:tr2bl w:val="nil"/>
                  </w:tcBorders>
                  <w:noWrap w:val="0"/>
                  <w:vAlign w:val="center"/>
                </w:tcPr>
                <w:p w14:paraId="61E479D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1000" w:type="pct"/>
                  <w:tcBorders>
                    <w:tl2br w:val="nil"/>
                    <w:tr2bl w:val="nil"/>
                  </w:tcBorders>
                  <w:noWrap w:val="0"/>
                  <w:vAlign w:val="center"/>
                </w:tcPr>
                <w:p w14:paraId="469A4AC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58653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61FEBDC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w:t>
                  </w:r>
                  <w:r>
                    <w:rPr>
                      <w:rFonts w:hint="default" w:ascii="Times New Roman" w:hAnsi="Times New Roman" w:cs="Times New Roman"/>
                      <w:color w:val="000000" w:themeColor="text1"/>
                      <w:vertAlign w:val="subscript"/>
                      <w14:textFill>
                        <w14:solidFill>
                          <w14:schemeClr w14:val="tx1"/>
                        </w14:solidFill>
                      </w14:textFill>
                    </w:rPr>
                    <w:t>5</w:t>
                  </w:r>
                </w:p>
              </w:tc>
              <w:tc>
                <w:tcPr>
                  <w:tcW w:w="1000" w:type="pct"/>
                  <w:tcBorders>
                    <w:tl2br w:val="nil"/>
                    <w:tr2bl w:val="nil"/>
                  </w:tcBorders>
                  <w:noWrap w:val="0"/>
                  <w:vAlign w:val="center"/>
                </w:tcPr>
                <w:p w14:paraId="65F99B3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174.6</w:t>
                  </w:r>
                </w:p>
              </w:tc>
              <w:tc>
                <w:tcPr>
                  <w:tcW w:w="1000" w:type="pct"/>
                  <w:tcBorders>
                    <w:tl2br w:val="nil"/>
                    <w:tr2bl w:val="nil"/>
                  </w:tcBorders>
                  <w:noWrap w:val="0"/>
                  <w:vAlign w:val="center"/>
                </w:tcPr>
                <w:p w14:paraId="02B71B4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1000" w:type="pct"/>
                  <w:tcBorders>
                    <w:tl2br w:val="nil"/>
                    <w:tr2bl w:val="nil"/>
                  </w:tcBorders>
                  <w:noWrap w:val="0"/>
                  <w:vAlign w:val="center"/>
                </w:tcPr>
                <w:p w14:paraId="44373D4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220</w:t>
                  </w:r>
                </w:p>
              </w:tc>
              <w:tc>
                <w:tcPr>
                  <w:tcW w:w="1000" w:type="pct"/>
                  <w:tcBorders>
                    <w:tl2br w:val="nil"/>
                    <w:tr2bl w:val="nil"/>
                  </w:tcBorders>
                  <w:noWrap w:val="0"/>
                  <w:vAlign w:val="center"/>
                </w:tcPr>
                <w:p w14:paraId="23261F2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130DB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3DD994E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1000" w:type="pct"/>
                  <w:tcBorders>
                    <w:tl2br w:val="nil"/>
                    <w:tr2bl w:val="nil"/>
                  </w:tcBorders>
                  <w:noWrap w:val="0"/>
                  <w:vAlign w:val="center"/>
                </w:tcPr>
                <w:p w14:paraId="69BD4FA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w:t>
                  </w:r>
                </w:p>
              </w:tc>
              <w:tc>
                <w:tcPr>
                  <w:tcW w:w="1000" w:type="pct"/>
                  <w:tcBorders>
                    <w:tl2br w:val="nil"/>
                    <w:tr2bl w:val="nil"/>
                  </w:tcBorders>
                  <w:noWrap w:val="0"/>
                  <w:vAlign w:val="center"/>
                </w:tcPr>
                <w:p w14:paraId="1904447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1000" w:type="pct"/>
                  <w:tcBorders>
                    <w:tl2br w:val="nil"/>
                    <w:tr2bl w:val="nil"/>
                  </w:tcBorders>
                  <w:noWrap w:val="0"/>
                  <w:vAlign w:val="center"/>
                </w:tcPr>
                <w:p w14:paraId="2052F339">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280</w:t>
                  </w:r>
                </w:p>
              </w:tc>
              <w:tc>
                <w:tcPr>
                  <w:tcW w:w="1000" w:type="pct"/>
                  <w:tcBorders>
                    <w:tl2br w:val="nil"/>
                    <w:tr2bl w:val="nil"/>
                  </w:tcBorders>
                  <w:noWrap w:val="0"/>
                  <w:vAlign w:val="center"/>
                </w:tcPr>
                <w:p w14:paraId="18CB0AED">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60757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8" w:type="pct"/>
                  <w:tcBorders>
                    <w:tl2br w:val="nil"/>
                    <w:tr2bl w:val="nil"/>
                  </w:tcBorders>
                  <w:noWrap w:val="0"/>
                  <w:vAlign w:val="center"/>
                </w:tcPr>
                <w:p w14:paraId="5F9C29B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1000" w:type="pct"/>
                  <w:tcBorders>
                    <w:tl2br w:val="nil"/>
                    <w:tr2bl w:val="nil"/>
                  </w:tcBorders>
                  <w:noWrap w:val="0"/>
                  <w:vAlign w:val="center"/>
                </w:tcPr>
                <w:p w14:paraId="56E1D54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32.6</w:t>
                  </w:r>
                </w:p>
              </w:tc>
              <w:tc>
                <w:tcPr>
                  <w:tcW w:w="1000" w:type="pct"/>
                  <w:tcBorders>
                    <w:tl2br w:val="nil"/>
                    <w:tr2bl w:val="nil"/>
                  </w:tcBorders>
                  <w:noWrap w:val="0"/>
                  <w:vAlign w:val="center"/>
                </w:tcPr>
                <w:p w14:paraId="16D1E00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w:t>
                  </w:r>
                </w:p>
              </w:tc>
              <w:tc>
                <w:tcPr>
                  <w:tcW w:w="1000" w:type="pct"/>
                  <w:tcBorders>
                    <w:tl2br w:val="nil"/>
                    <w:tr2bl w:val="nil"/>
                  </w:tcBorders>
                  <w:noWrap w:val="0"/>
                  <w:vAlign w:val="center"/>
                </w:tcPr>
                <w:p w14:paraId="59A6469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w:t>
                  </w:r>
                </w:p>
              </w:tc>
              <w:tc>
                <w:tcPr>
                  <w:tcW w:w="1000" w:type="pct"/>
                  <w:tcBorders>
                    <w:tl2br w:val="nil"/>
                    <w:tr2bl w:val="nil"/>
                  </w:tcBorders>
                  <w:noWrap w:val="0"/>
                  <w:vAlign w:val="center"/>
                </w:tcPr>
                <w:p w14:paraId="6187CAB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bl>
          <w:p w14:paraId="671447D2">
            <w:pPr>
              <w:pStyle w:val="40"/>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根据上表所列数据，本项目生活污水主要污染物排放浓度均能满足《污水综合排放标准》(GB8978-1996)表4三级标准及《污水排入城镇下水道水质标准》(GB/T 31962-2015)表1中B级标准限值，也可以符合污水处理厂进水水质要求。</w:t>
            </w:r>
          </w:p>
          <w:p w14:paraId="7E72C70D">
            <w:pPr>
              <w:pStyle w:val="40"/>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项目生活污水不涉及有毒有害污染物，不涉及持久性、重金属，也不含有腐蚀成分，因此，从水质方面分析，福清市第二污水处理厂处理可接纳项目综合废水，不会对污水处理厂水质负荷造成冲击。</w:t>
            </w:r>
          </w:p>
          <w:p w14:paraId="44F57951">
            <w:pPr>
              <w:pStyle w:val="76"/>
              <w:rPr>
                <w:rFonts w:hint="default" w:ascii="Times New Roman" w:hAnsi="Times New Roman" w:cs="Times New Roman"/>
                <w:color w:val="000000" w:themeColor="text1"/>
                <w:highlight w:val="none"/>
                <w:lang w:val="en-US" w:eastAsia="zh-CN" w:bidi="he-IL"/>
                <w14:textFill>
                  <w14:solidFill>
                    <w14:schemeClr w14:val="tx1"/>
                  </w14:solidFill>
                </w14:textFill>
              </w:rPr>
            </w:pPr>
            <w:r>
              <w:rPr>
                <w:rFonts w:hint="default" w:ascii="Times New Roman" w:hAnsi="Times New Roman" w:cs="Times New Roman"/>
                <w:color w:val="000000" w:themeColor="text1"/>
                <w:highlight w:val="none"/>
                <w:lang w:val="en-US" w:eastAsia="zh-CN" w:bidi="he-IL"/>
                <w14:textFill>
                  <w14:solidFill>
                    <w14:schemeClr w14:val="tx1"/>
                  </w14:solidFill>
                </w14:textFill>
              </w:rPr>
              <w:t>③水量负荷</w:t>
            </w:r>
          </w:p>
          <w:p w14:paraId="715B6FB2">
            <w:pPr>
              <w:pStyle w:val="40"/>
              <w:bidi w:val="0"/>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福清市第二污水处理厂现状废水处理规模为6万m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/d；依据福建省</w:t>
            </w:r>
            <w:r>
              <w:rPr>
                <w:rFonts w:hint="default" w:ascii="Times New Roman" w:hAnsi="Times New Roman" w:eastAsia="宋体" w:cs="Times New Roman"/>
                <w:color w:val="000000" w:themeColor="text1"/>
                <w:lang w:val="en-US" w:eastAsia="zh-CN"/>
                <w14:textFill>
                  <w14:solidFill>
                    <w14:schemeClr w14:val="tx1"/>
                  </w14:solidFill>
                </w14:textFill>
              </w:rPr>
              <w:t>污染源监测信息综合发布平台公示</w:t>
            </w:r>
            <w:r>
              <w:rPr>
                <w:rFonts w:hint="default" w:ascii="Times New Roman" w:hAnsi="Times New Roman" w:eastAsia="宋体" w:cs="Times New Roman"/>
                <w:color w:val="000000" w:themeColor="text1"/>
                <w:lang w:eastAsia="zh-CN"/>
                <w14:textFill>
                  <w14:solidFill>
                    <w14:schemeClr w14:val="tx1"/>
                  </w14:solidFill>
                </w14:textFill>
              </w:rPr>
              <w:t>的福清市第二污水处理厂《20</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eastAsia"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年企业自行监测情况年度报告》可知，</w:t>
            </w: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eastAsia"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年该污水处理厂</w:t>
            </w:r>
            <w:r>
              <w:rPr>
                <w:rFonts w:hint="default" w:ascii="Times New Roman" w:hAnsi="Times New Roman" w:eastAsia="宋体" w:cs="Times New Roman"/>
                <w:color w:val="000000" w:themeColor="text1"/>
                <w:lang w:eastAsia="zh-CN"/>
                <w14:textFill>
                  <w14:solidFill>
                    <w14:schemeClr w14:val="tx1"/>
                  </w14:solidFill>
                </w14:textFill>
              </w:rPr>
              <w:t>全年污水处理量为</w:t>
            </w:r>
            <w:r>
              <w:rPr>
                <w:rFonts w:hint="eastAsia" w:eastAsia="宋体" w:cs="Times New Roman"/>
                <w:color w:val="000000" w:themeColor="text1"/>
                <w:lang w:val="en-US" w:eastAsia="zh-CN"/>
                <w14:textFill>
                  <w14:solidFill>
                    <w14:schemeClr w14:val="tx1"/>
                  </w14:solidFill>
                </w14:textFill>
              </w:rPr>
              <w:t>19704218</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，日处理规模</w:t>
            </w:r>
            <w:r>
              <w:rPr>
                <w:rFonts w:hint="eastAsia" w:eastAsia="宋体" w:cs="Times New Roman"/>
                <w:color w:val="000000" w:themeColor="text1"/>
                <w:lang w:eastAsia="zh-CN"/>
                <w14:textFill>
                  <w14:solidFill>
                    <w14:schemeClr w14:val="tx1"/>
                  </w14:solidFill>
                </w14:textFill>
              </w:rPr>
              <w:t>约</w:t>
            </w:r>
            <w:r>
              <w:rPr>
                <w:rFonts w:hint="default" w:ascii="Times New Roman" w:hAnsi="Times New Roman" w:eastAsia="宋体" w:cs="Times New Roman"/>
                <w:color w:val="000000" w:themeColor="text1"/>
                <w:lang w:eastAsia="zh-CN"/>
                <w14:textFill>
                  <w14:solidFill>
                    <w14:schemeClr w14:val="tx1"/>
                  </w14:solidFill>
                </w14:textFill>
              </w:rPr>
              <w:t>为</w:t>
            </w:r>
            <w:r>
              <w:rPr>
                <w:rFonts w:hint="eastAsia" w:eastAsia="宋体" w:cs="Times New Roman"/>
                <w:color w:val="000000" w:themeColor="text1"/>
                <w:lang w:val="en-US" w:eastAsia="zh-CN"/>
                <w14:textFill>
                  <w14:solidFill>
                    <w14:schemeClr w14:val="tx1"/>
                  </w14:solidFill>
                </w14:textFill>
              </w:rPr>
              <w:t>53984</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/d，剩余处理余量约</w:t>
            </w:r>
            <w:r>
              <w:rPr>
                <w:rFonts w:hint="eastAsia" w:eastAsia="宋体" w:cs="Times New Roman"/>
                <w:color w:val="000000" w:themeColor="text1"/>
                <w:lang w:val="en-US" w:eastAsia="zh-CN"/>
                <w14:textFill>
                  <w14:solidFill>
                    <w14:schemeClr w14:val="tx1"/>
                  </w14:solidFill>
                </w14:textFill>
              </w:rPr>
              <w:t>6016</w:t>
            </w:r>
            <w:r>
              <w:rPr>
                <w:rFonts w:hint="default" w:ascii="Times New Roman" w:hAnsi="Times New Roman" w:eastAsia="宋体" w:cs="Times New Roman"/>
                <w:color w:val="000000" w:themeColor="text1"/>
                <w:lang w:val="en-US" w:eastAsia="zh-CN"/>
                <w14:textFill>
                  <w14:solidFill>
                    <w14:schemeClr w14:val="tx1"/>
                  </w14:solidFill>
                </w14:textFill>
              </w:rPr>
              <w:t>m³/d。</w:t>
            </w:r>
            <w:r>
              <w:rPr>
                <w:rFonts w:hint="default" w:ascii="Times New Roman" w:hAnsi="Times New Roman" w:eastAsia="宋体" w:cs="Times New Roman"/>
                <w:color w:val="000000" w:themeColor="text1"/>
                <w:lang w:eastAsia="zh-CN"/>
                <w14:textFill>
                  <w14:solidFill>
                    <w14:schemeClr w14:val="tx1"/>
                  </w14:solidFill>
                </w14:textFill>
              </w:rPr>
              <w:t>本项目生活污水排放</w:t>
            </w:r>
            <w:r>
              <w:rPr>
                <w:rFonts w:hint="eastAsia" w:cs="Times New Roman"/>
                <w:color w:val="000000" w:themeColor="text1"/>
                <w:lang w:val="en-US" w:eastAsia="zh-CN"/>
                <w14:textFill>
                  <w14:solidFill>
                    <w14:schemeClr w14:val="tx1"/>
                  </w14:solidFill>
                </w14:textFill>
              </w:rPr>
              <w:t>3.105</w:t>
            </w:r>
            <w:r>
              <w:rPr>
                <w:rFonts w:hint="default" w:ascii="Times New Roman" w:hAnsi="Times New Roman" w:eastAsia="宋体" w:cs="Times New Roman"/>
                <w:color w:val="000000" w:themeColor="text1"/>
                <w:lang w:eastAsia="zh-CN"/>
                <w14:textFill>
                  <w14:solidFill>
                    <w14:schemeClr w14:val="tx1"/>
                  </w14:solidFill>
                </w14:textFill>
              </w:rPr>
              <w:t>t/d，仅占福清市第二污水处理厂剩余处理规模的</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0516</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由此可见</w:t>
            </w:r>
            <w:r>
              <w:rPr>
                <w:rFonts w:hint="default" w:ascii="Times New Roman" w:hAnsi="Times New Roman" w:eastAsia="宋体" w:cs="Times New Roman"/>
                <w:color w:val="000000" w:themeColor="text1"/>
                <w:lang w:eastAsia="zh-CN"/>
                <w14:textFill>
                  <w14:solidFill>
                    <w14:schemeClr w14:val="tx1"/>
                  </w14:solidFill>
                </w14:textFill>
              </w:rPr>
              <w:t>，福清市第二污水处理厂有足够余量接纳本项目新增废水排放量。</w:t>
            </w:r>
            <w:r>
              <w:rPr>
                <w:rFonts w:hint="eastAsia" w:ascii="Times New Roman" w:hAnsi="Times New Roman" w:eastAsia="宋体" w:cs="Times New Roman"/>
                <w:color w:val="000000" w:themeColor="text1"/>
                <w:lang w:eastAsia="zh-CN"/>
                <w14:textFill>
                  <w14:solidFill>
                    <w14:schemeClr w14:val="tx1"/>
                  </w14:solidFill>
                </w14:textFill>
              </w:rPr>
              <w:t>福清市第二</w:t>
            </w:r>
            <w:r>
              <w:rPr>
                <w:rFonts w:hint="default" w:ascii="Times New Roman" w:hAnsi="Times New Roman" w:eastAsia="宋体" w:cs="Times New Roman"/>
                <w:color w:val="000000" w:themeColor="text1"/>
                <w:lang w:eastAsia="zh-CN"/>
                <w14:textFill>
                  <w14:solidFill>
                    <w14:schemeClr w14:val="tx1"/>
                  </w14:solidFill>
                </w14:textFill>
              </w:rPr>
              <w:t>污水处理厂采用“厌氧缺氧好氧处理+二级生化处理+深化处理”，属于城镇污水处理厂通用工艺，因此，从处理能力及处理工艺分析，福清市第二污水处理厂可接纳项目废水排放量，不会对污水处理厂水量负荷造成冲击。</w:t>
            </w:r>
          </w:p>
          <w:p w14:paraId="2F49E2B9">
            <w:pPr>
              <w:pStyle w:val="54"/>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b/>
                <w:bCs/>
                <w:color w:val="000000" w:themeColor="text1"/>
                <w:highlight w:val="none"/>
                <w:lang w:bidi="he-IL"/>
                <w14:textFill>
                  <w14:solidFill>
                    <w14:schemeClr w14:val="tx1"/>
                  </w14:solidFill>
                </w14:textFill>
              </w:rPr>
            </w:pPr>
            <w:r>
              <w:rPr>
                <w:rFonts w:hint="default" w:ascii="Times New Roman" w:hAnsi="Times New Roman" w:cs="Times New Roman"/>
                <w:b/>
                <w:bCs/>
                <w:color w:val="000000" w:themeColor="text1"/>
                <w:highlight w:val="none"/>
                <w:lang w:val="en-US" w:eastAsia="zh-CN" w:bidi="he-IL"/>
                <w14:textFill>
                  <w14:solidFill>
                    <w14:schemeClr w14:val="tx1"/>
                  </w14:solidFill>
                </w14:textFill>
              </w:rPr>
              <w:t>4.3.2.3</w:t>
            </w:r>
            <w:r>
              <w:rPr>
                <w:rFonts w:hint="default" w:ascii="Times New Roman" w:hAnsi="Times New Roman" w:cs="Times New Roman"/>
                <w:b/>
                <w:bCs/>
                <w:color w:val="000000" w:themeColor="text1"/>
                <w:highlight w:val="none"/>
                <w:lang w:bidi="he-IL"/>
                <w14:textFill>
                  <w14:solidFill>
                    <w14:schemeClr w14:val="tx1"/>
                  </w14:solidFill>
                </w14:textFill>
              </w:rPr>
              <w:t>小结</w:t>
            </w:r>
          </w:p>
          <w:p w14:paraId="48A2ED9E">
            <w:pPr>
              <w:pStyle w:val="40"/>
              <w:bidi w:val="0"/>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上述分析，项目生活污水经化粪池预处理达标后通过厂区污水总排放口排入市政污水管网，最终送往福清市第二污水处理厂处理集中处理，项目废水水质、水量均不会对污水处理厂造成负荷冲击，项目污水不直接排入地表水体，因此几乎不会对区域地表水环境产生直接不利影响。</w:t>
            </w:r>
          </w:p>
          <w:p w14:paraId="0158FE6D">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4.3.3 自行监测计划</w:t>
            </w:r>
          </w:p>
          <w:p w14:paraId="359CF35E">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项目生活污水经预处理后排入市政管网，送往福清市第二污水处理厂集中处理，属于间接排放。根据</w:t>
            </w:r>
            <w:r>
              <w:rPr>
                <w:rFonts w:hint="eastAsia" w:cs="Times New Roman"/>
                <w:color w:val="000000"/>
                <w:lang w:eastAsia="zh-CN"/>
              </w:rPr>
              <w:t>《排污许可证申请与核发技术规范 汽车制造业》(HJ 971-2018)</w:t>
            </w:r>
            <w:r>
              <w:rPr>
                <w:rFonts w:hint="eastAsia" w:cs="Times New Roman"/>
                <w:color w:val="000000" w:themeColor="text1"/>
                <w:lang w:val="en-US" w:eastAsia="zh-CN"/>
                <w14:textFill>
                  <w14:solidFill>
                    <w14:schemeClr w14:val="tx1"/>
                  </w14:solidFill>
                </w14:textFill>
              </w:rPr>
              <w:t>和</w:t>
            </w:r>
            <w:r>
              <w:rPr>
                <w:rFonts w:hint="default" w:ascii="Times New Roman" w:hAnsi="Times New Roman" w:cs="Times New Roman"/>
                <w:color w:val="000000" w:themeColor="text1"/>
                <w:lang w:val="en-US" w:eastAsia="zh-CN"/>
                <w14:textFill>
                  <w14:solidFill>
                    <w14:schemeClr w14:val="tx1"/>
                  </w14:solidFill>
                </w14:textFill>
              </w:rPr>
              <w:t>《排污单位自行监测技术指南 总则》(HJ 819-2017)要求，项目生活污水间接排放不要求自行</w:t>
            </w:r>
            <w:r>
              <w:rPr>
                <w:rFonts w:hint="eastAsia" w:cs="Times New Roman"/>
                <w:color w:val="000000" w:themeColor="text1"/>
                <w:lang w:val="en-US" w:eastAsia="zh-CN"/>
                <w14:textFill>
                  <w14:solidFill>
                    <w14:schemeClr w14:val="tx1"/>
                  </w14:solidFill>
                </w14:textFill>
              </w:rPr>
              <w:t>监测。</w:t>
            </w:r>
          </w:p>
          <w:p w14:paraId="012C9F71">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运营期声环境影响分析和污染防治措施</w:t>
            </w:r>
          </w:p>
          <w:p w14:paraId="36E41471">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 运营期噪声源强核算</w:t>
            </w:r>
          </w:p>
          <w:p w14:paraId="1BBCF36D">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本项目主要的噪声污染源为项目生产设备运行过程中产生的噪声，根据类比分析，各设备噪声源强详见表4.</w:t>
            </w:r>
            <w:r>
              <w:rPr>
                <w:rFonts w:hint="default"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-1</w:t>
            </w:r>
            <w:r>
              <w:rPr>
                <w:rFonts w:hint="eastAsia" w:cs="Times New Roman"/>
                <w:color w:val="000000" w:themeColor="text1"/>
                <w:sz w:val="24"/>
                <w:highlight w:val="none"/>
                <w:lang w:eastAsia="zh-CN"/>
                <w14:textFill>
                  <w14:solidFill>
                    <w14:schemeClr w14:val="tx1"/>
                  </w14:solidFill>
                </w14:textFill>
              </w:rPr>
              <w:t>和表</w:t>
            </w:r>
            <w:r>
              <w:rPr>
                <w:rFonts w:hint="eastAsia" w:cs="Times New Roman"/>
                <w:color w:val="000000" w:themeColor="text1"/>
                <w:sz w:val="24"/>
                <w:highlight w:val="none"/>
                <w:lang w:val="en-US" w:eastAsia="zh-CN"/>
                <w14:textFill>
                  <w14:solidFill>
                    <w14:schemeClr w14:val="tx1"/>
                  </w14:solidFill>
                </w14:textFill>
              </w:rPr>
              <w:t>4.4-2</w:t>
            </w:r>
            <w:r>
              <w:rPr>
                <w:rFonts w:hint="default" w:ascii="Times New Roman" w:hAnsi="Times New Roman" w:cs="Times New Roman"/>
                <w:color w:val="000000" w:themeColor="text1"/>
                <w:sz w:val="24"/>
                <w:highlight w:val="none"/>
                <w14:textFill>
                  <w14:solidFill>
                    <w14:schemeClr w14:val="tx1"/>
                  </w14:solidFill>
                </w14:textFill>
              </w:rPr>
              <w:t>。</w:t>
            </w:r>
          </w:p>
          <w:p w14:paraId="4B4B1FCC">
            <w:pPr>
              <w:pStyle w:val="81"/>
              <w:bidi w:val="0"/>
            </w:pPr>
            <w:r>
              <w:rPr>
                <w:rFonts w:hint="default"/>
                <w:lang w:val="en-US" w:eastAsia="zh-CN"/>
              </w:rPr>
              <w:t>表4.</w:t>
            </w:r>
            <w:r>
              <w:rPr>
                <w:rFonts w:hint="eastAsia"/>
                <w:lang w:val="en-US" w:eastAsia="zh-CN"/>
              </w:rPr>
              <w:t>4</w:t>
            </w:r>
            <w:r>
              <w:rPr>
                <w:rFonts w:hint="default"/>
                <w:lang w:val="en-US" w:eastAsia="zh-CN"/>
              </w:rPr>
              <w:t>-1</w:t>
            </w:r>
            <w:r>
              <w:rPr>
                <w:rFonts w:hint="eastAsia"/>
                <w:lang w:val="en-US" w:eastAsia="zh-CN"/>
              </w:rPr>
              <w:t xml:space="preserve">  </w:t>
            </w:r>
            <w:r>
              <w:t>工业企业噪声源强调查清单（室内声源）</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57" w:type="dxa"/>
                <w:bottom w:w="0" w:type="dxa"/>
                <w:right w:w="57" w:type="dxa"/>
              </w:tblCellMar>
            </w:tblPr>
            <w:tblGrid>
              <w:gridCol w:w="397"/>
              <w:gridCol w:w="581"/>
              <w:gridCol w:w="1931"/>
              <w:gridCol w:w="969"/>
              <w:gridCol w:w="657"/>
              <w:gridCol w:w="401"/>
              <w:gridCol w:w="603"/>
              <w:gridCol w:w="534"/>
              <w:gridCol w:w="1164"/>
              <w:gridCol w:w="1181"/>
            </w:tblGrid>
            <w:tr w14:paraId="657EF2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6" w:type="pct"/>
                  <w:vMerge w:val="restart"/>
                  <w:tcBorders>
                    <w:tl2br w:val="nil"/>
                    <w:tr2bl w:val="nil"/>
                  </w:tcBorders>
                  <w:shd w:val="clear" w:color="auto" w:fill="auto"/>
                  <w:vAlign w:val="center"/>
                </w:tcPr>
                <w:p w14:paraId="61F68F90">
                  <w:pPr>
                    <w:pStyle w:val="93"/>
                    <w:bidi w:val="0"/>
                    <w:rPr>
                      <w:rFonts w:hint="eastAsia"/>
                    </w:rPr>
                  </w:pPr>
                  <w:r>
                    <w:rPr>
                      <w:rFonts w:hint="eastAsia"/>
                      <w:lang w:val="en-US" w:eastAsia="zh-CN"/>
                    </w:rPr>
                    <w:t>序号</w:t>
                  </w:r>
                </w:p>
              </w:tc>
              <w:tc>
                <w:tcPr>
                  <w:tcW w:w="345" w:type="pct"/>
                  <w:vMerge w:val="restart"/>
                  <w:tcBorders>
                    <w:tl2br w:val="nil"/>
                    <w:tr2bl w:val="nil"/>
                  </w:tcBorders>
                  <w:shd w:val="clear" w:color="auto" w:fill="auto"/>
                  <w:vAlign w:val="center"/>
                </w:tcPr>
                <w:p w14:paraId="10E099AF">
                  <w:pPr>
                    <w:pStyle w:val="93"/>
                    <w:bidi w:val="0"/>
                    <w:rPr>
                      <w:rFonts w:hint="eastAsia"/>
                    </w:rPr>
                  </w:pPr>
                  <w:r>
                    <w:rPr>
                      <w:rFonts w:hint="eastAsia"/>
                      <w:lang w:val="en-US" w:eastAsia="zh-CN"/>
                    </w:rPr>
                    <w:t>建筑物名称</w:t>
                  </w:r>
                </w:p>
              </w:tc>
              <w:tc>
                <w:tcPr>
                  <w:tcW w:w="1146" w:type="pct"/>
                  <w:vMerge w:val="restart"/>
                  <w:tcBorders>
                    <w:tl2br w:val="nil"/>
                    <w:tr2bl w:val="nil"/>
                  </w:tcBorders>
                  <w:shd w:val="clear" w:color="auto" w:fill="auto"/>
                  <w:vAlign w:val="center"/>
                </w:tcPr>
                <w:p w14:paraId="2D4E84CB">
                  <w:pPr>
                    <w:pStyle w:val="93"/>
                    <w:bidi w:val="0"/>
                    <w:rPr>
                      <w:rFonts w:hint="eastAsia"/>
                    </w:rPr>
                  </w:pPr>
                  <w:r>
                    <w:rPr>
                      <w:rFonts w:hint="eastAsia"/>
                      <w:lang w:val="en-US" w:eastAsia="zh-CN"/>
                    </w:rPr>
                    <w:t>声源名称</w:t>
                  </w:r>
                </w:p>
              </w:tc>
              <w:tc>
                <w:tcPr>
                  <w:tcW w:w="575" w:type="pct"/>
                  <w:tcBorders>
                    <w:tl2br w:val="nil"/>
                    <w:tr2bl w:val="nil"/>
                  </w:tcBorders>
                  <w:shd w:val="clear" w:color="auto" w:fill="auto"/>
                  <w:vAlign w:val="center"/>
                </w:tcPr>
                <w:p w14:paraId="3076906F">
                  <w:pPr>
                    <w:pStyle w:val="93"/>
                    <w:bidi w:val="0"/>
                    <w:rPr>
                      <w:rFonts w:hint="eastAsia"/>
                      <w:lang w:val="en-US" w:eastAsia="zh-CN"/>
                    </w:rPr>
                  </w:pPr>
                  <w:r>
                    <w:rPr>
                      <w:rFonts w:hint="eastAsia"/>
                      <w:lang w:val="en-US" w:eastAsia="zh-CN"/>
                    </w:rPr>
                    <w:t>声源源强</w:t>
                  </w:r>
                </w:p>
              </w:tc>
              <w:tc>
                <w:tcPr>
                  <w:tcW w:w="390" w:type="pct"/>
                  <w:vMerge w:val="restart"/>
                  <w:tcBorders>
                    <w:tl2br w:val="nil"/>
                    <w:tr2bl w:val="nil"/>
                  </w:tcBorders>
                  <w:shd w:val="clear" w:color="auto" w:fill="auto"/>
                  <w:vAlign w:val="center"/>
                </w:tcPr>
                <w:p w14:paraId="077740E5">
                  <w:pPr>
                    <w:pStyle w:val="93"/>
                    <w:bidi w:val="0"/>
                    <w:rPr>
                      <w:rFonts w:hint="eastAsia"/>
                    </w:rPr>
                  </w:pPr>
                  <w:r>
                    <w:rPr>
                      <w:rFonts w:hint="eastAsia"/>
                      <w:lang w:val="en-US" w:eastAsia="zh-CN"/>
                    </w:rPr>
                    <w:t>控制措施</w:t>
                  </w:r>
                </w:p>
              </w:tc>
              <w:tc>
                <w:tcPr>
                  <w:tcW w:w="913" w:type="pct"/>
                  <w:gridSpan w:val="3"/>
                  <w:tcBorders>
                    <w:tl2br w:val="nil"/>
                    <w:tr2bl w:val="nil"/>
                  </w:tcBorders>
                  <w:shd w:val="clear" w:color="auto" w:fill="auto"/>
                  <w:vAlign w:val="center"/>
                </w:tcPr>
                <w:p w14:paraId="79D9F184">
                  <w:pPr>
                    <w:pStyle w:val="93"/>
                    <w:bidi w:val="0"/>
                    <w:rPr>
                      <w:rFonts w:hint="eastAsia"/>
                    </w:rPr>
                  </w:pPr>
                  <w:r>
                    <w:rPr>
                      <w:lang w:val="en-US" w:eastAsia="zh-CN"/>
                    </w:rPr>
                    <w:t>空间相对位置/m</w:t>
                  </w:r>
                </w:p>
              </w:tc>
              <w:tc>
                <w:tcPr>
                  <w:tcW w:w="691" w:type="pct"/>
                  <w:vMerge w:val="restart"/>
                  <w:tcBorders>
                    <w:tl2br w:val="nil"/>
                    <w:tr2bl w:val="nil"/>
                  </w:tcBorders>
                  <w:shd w:val="clear" w:color="auto" w:fill="auto"/>
                  <w:vAlign w:val="center"/>
                </w:tcPr>
                <w:p w14:paraId="07969C71">
                  <w:pPr>
                    <w:pStyle w:val="93"/>
                    <w:bidi w:val="0"/>
                    <w:rPr>
                      <w:rFonts w:hint="eastAsia"/>
                    </w:rPr>
                  </w:pPr>
                  <w:r>
                    <w:rPr>
                      <w:lang w:val="en-US" w:eastAsia="zh-CN"/>
                    </w:rPr>
                    <w:t>筑物插入损失 / dB(A)</w:t>
                  </w:r>
                </w:p>
              </w:tc>
              <w:tc>
                <w:tcPr>
                  <w:tcW w:w="701" w:type="pct"/>
                  <w:vMerge w:val="restart"/>
                  <w:tcBorders>
                    <w:tl2br w:val="nil"/>
                    <w:tr2bl w:val="nil"/>
                  </w:tcBorders>
                  <w:shd w:val="clear" w:color="auto" w:fill="auto"/>
                  <w:vAlign w:val="center"/>
                </w:tcPr>
                <w:p w14:paraId="716C8038">
                  <w:pPr>
                    <w:pStyle w:val="93"/>
                    <w:bidi w:val="0"/>
                    <w:rPr>
                      <w:rFonts w:hint="eastAsia"/>
                      <w:lang w:val="en-US" w:eastAsia="zh-CN"/>
                    </w:rPr>
                  </w:pPr>
                  <w:r>
                    <w:t>运行时段</w:t>
                  </w:r>
                </w:p>
              </w:tc>
            </w:tr>
            <w:tr w14:paraId="17FA81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312" w:hRule="atLeast"/>
                <w:jc w:val="center"/>
              </w:trPr>
              <w:tc>
                <w:tcPr>
                  <w:tcW w:w="236" w:type="pct"/>
                  <w:vMerge w:val="continue"/>
                  <w:tcBorders>
                    <w:tl2br w:val="nil"/>
                    <w:tr2bl w:val="nil"/>
                  </w:tcBorders>
                  <w:shd w:val="clear" w:color="auto" w:fill="auto"/>
                  <w:vAlign w:val="center"/>
                </w:tcPr>
                <w:p w14:paraId="14C47B9C">
                  <w:pPr>
                    <w:pStyle w:val="93"/>
                    <w:bidi w:val="0"/>
                    <w:rPr>
                      <w:rFonts w:hint="eastAsia"/>
                    </w:rPr>
                  </w:pPr>
                </w:p>
              </w:tc>
              <w:tc>
                <w:tcPr>
                  <w:tcW w:w="345" w:type="pct"/>
                  <w:vMerge w:val="continue"/>
                  <w:tcBorders>
                    <w:tl2br w:val="nil"/>
                    <w:tr2bl w:val="nil"/>
                  </w:tcBorders>
                  <w:shd w:val="clear" w:color="auto" w:fill="auto"/>
                  <w:vAlign w:val="center"/>
                </w:tcPr>
                <w:p w14:paraId="35EB5A52">
                  <w:pPr>
                    <w:pStyle w:val="93"/>
                    <w:bidi w:val="0"/>
                    <w:rPr>
                      <w:rFonts w:hint="eastAsia"/>
                    </w:rPr>
                  </w:pPr>
                </w:p>
              </w:tc>
              <w:tc>
                <w:tcPr>
                  <w:tcW w:w="1146" w:type="pct"/>
                  <w:vMerge w:val="continue"/>
                  <w:tcBorders>
                    <w:tl2br w:val="nil"/>
                    <w:tr2bl w:val="nil"/>
                  </w:tcBorders>
                  <w:shd w:val="clear" w:color="auto" w:fill="auto"/>
                  <w:vAlign w:val="center"/>
                </w:tcPr>
                <w:p w14:paraId="553D860D">
                  <w:pPr>
                    <w:pStyle w:val="93"/>
                    <w:bidi w:val="0"/>
                    <w:rPr>
                      <w:rFonts w:hint="eastAsia"/>
                    </w:rPr>
                  </w:pPr>
                </w:p>
              </w:tc>
              <w:tc>
                <w:tcPr>
                  <w:tcW w:w="575" w:type="pct"/>
                  <w:vMerge w:val="restart"/>
                  <w:tcBorders>
                    <w:tl2br w:val="nil"/>
                    <w:tr2bl w:val="nil"/>
                  </w:tcBorders>
                  <w:shd w:val="clear" w:color="auto" w:fill="auto"/>
                  <w:vAlign w:val="center"/>
                </w:tcPr>
                <w:p w14:paraId="331B9216">
                  <w:pPr>
                    <w:pStyle w:val="93"/>
                    <w:bidi w:val="0"/>
                    <w:rPr>
                      <w:rFonts w:hint="eastAsia"/>
                    </w:rPr>
                  </w:pPr>
                  <w:r>
                    <w:rPr>
                      <w:rFonts w:hint="eastAsia"/>
                      <w:lang w:val="en-US" w:eastAsia="zh-CN"/>
                    </w:rPr>
                    <w:t>功率级/dB(A)</w:t>
                  </w:r>
                </w:p>
              </w:tc>
              <w:tc>
                <w:tcPr>
                  <w:tcW w:w="390" w:type="pct"/>
                  <w:vMerge w:val="continue"/>
                  <w:tcBorders>
                    <w:tl2br w:val="nil"/>
                    <w:tr2bl w:val="nil"/>
                  </w:tcBorders>
                  <w:shd w:val="clear" w:color="auto" w:fill="auto"/>
                  <w:vAlign w:val="center"/>
                </w:tcPr>
                <w:p w14:paraId="1EDC611F">
                  <w:pPr>
                    <w:pStyle w:val="93"/>
                    <w:bidi w:val="0"/>
                    <w:rPr>
                      <w:rFonts w:hint="eastAsia"/>
                    </w:rPr>
                  </w:pPr>
                </w:p>
              </w:tc>
              <w:tc>
                <w:tcPr>
                  <w:tcW w:w="238" w:type="pct"/>
                  <w:vMerge w:val="restart"/>
                  <w:tcBorders>
                    <w:tl2br w:val="nil"/>
                    <w:tr2bl w:val="nil"/>
                  </w:tcBorders>
                  <w:shd w:val="clear" w:color="auto" w:fill="auto"/>
                  <w:vAlign w:val="center"/>
                </w:tcPr>
                <w:p w14:paraId="1785C1EE">
                  <w:pPr>
                    <w:pStyle w:val="93"/>
                    <w:bidi w:val="0"/>
                    <w:rPr>
                      <w:rFonts w:hint="default"/>
                    </w:rPr>
                  </w:pPr>
                  <w:r>
                    <w:rPr>
                      <w:rFonts w:hint="default"/>
                      <w:lang w:val="en-US" w:eastAsia="zh-CN"/>
                    </w:rPr>
                    <w:t>X</w:t>
                  </w:r>
                </w:p>
              </w:tc>
              <w:tc>
                <w:tcPr>
                  <w:tcW w:w="358" w:type="pct"/>
                  <w:vMerge w:val="restart"/>
                  <w:tcBorders>
                    <w:tl2br w:val="nil"/>
                    <w:tr2bl w:val="nil"/>
                  </w:tcBorders>
                  <w:shd w:val="clear" w:color="auto" w:fill="auto"/>
                  <w:vAlign w:val="center"/>
                </w:tcPr>
                <w:p w14:paraId="2BF63596">
                  <w:pPr>
                    <w:pStyle w:val="93"/>
                    <w:bidi w:val="0"/>
                    <w:rPr>
                      <w:rFonts w:hint="default"/>
                    </w:rPr>
                  </w:pPr>
                  <w:r>
                    <w:rPr>
                      <w:rFonts w:hint="default"/>
                      <w:lang w:val="en-US" w:eastAsia="zh-CN"/>
                    </w:rPr>
                    <w:t>Y</w:t>
                  </w:r>
                </w:p>
              </w:tc>
              <w:tc>
                <w:tcPr>
                  <w:tcW w:w="317" w:type="pct"/>
                  <w:vMerge w:val="restart"/>
                  <w:tcBorders>
                    <w:tl2br w:val="nil"/>
                    <w:tr2bl w:val="nil"/>
                  </w:tcBorders>
                  <w:shd w:val="clear" w:color="auto" w:fill="auto"/>
                  <w:vAlign w:val="center"/>
                </w:tcPr>
                <w:p w14:paraId="526D55B0">
                  <w:pPr>
                    <w:pStyle w:val="93"/>
                    <w:bidi w:val="0"/>
                    <w:rPr>
                      <w:rFonts w:hint="default"/>
                    </w:rPr>
                  </w:pPr>
                  <w:r>
                    <w:rPr>
                      <w:rFonts w:hint="default"/>
                      <w:lang w:val="en-US" w:eastAsia="zh-CN"/>
                    </w:rPr>
                    <w:t>Z</w:t>
                  </w:r>
                </w:p>
              </w:tc>
              <w:tc>
                <w:tcPr>
                  <w:tcW w:w="691" w:type="pct"/>
                  <w:vMerge w:val="continue"/>
                  <w:tcBorders>
                    <w:tl2br w:val="nil"/>
                    <w:tr2bl w:val="nil"/>
                  </w:tcBorders>
                  <w:shd w:val="clear" w:color="auto" w:fill="auto"/>
                  <w:vAlign w:val="center"/>
                </w:tcPr>
                <w:p w14:paraId="39DB3B94">
                  <w:pPr>
                    <w:pStyle w:val="93"/>
                    <w:bidi w:val="0"/>
                    <w:rPr>
                      <w:rFonts w:hint="eastAsia"/>
                    </w:rPr>
                  </w:pPr>
                </w:p>
              </w:tc>
              <w:tc>
                <w:tcPr>
                  <w:tcW w:w="701" w:type="pct"/>
                  <w:vMerge w:val="continue"/>
                  <w:tcBorders>
                    <w:tl2br w:val="nil"/>
                    <w:tr2bl w:val="nil"/>
                  </w:tcBorders>
                  <w:shd w:val="clear" w:color="auto" w:fill="auto"/>
                  <w:vAlign w:val="center"/>
                </w:tcPr>
                <w:p w14:paraId="3A6D7523">
                  <w:pPr>
                    <w:pStyle w:val="93"/>
                    <w:bidi w:val="0"/>
                    <w:rPr>
                      <w:lang w:val="en-US" w:eastAsia="zh-CN"/>
                    </w:rPr>
                  </w:pPr>
                </w:p>
              </w:tc>
            </w:tr>
            <w:tr w14:paraId="542DD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236" w:type="pct"/>
                  <w:vMerge w:val="continue"/>
                  <w:tcBorders>
                    <w:tl2br w:val="nil"/>
                    <w:tr2bl w:val="nil"/>
                  </w:tcBorders>
                  <w:shd w:val="clear" w:color="auto" w:fill="auto"/>
                  <w:vAlign w:val="center"/>
                </w:tcPr>
                <w:p w14:paraId="241FA8B0">
                  <w:pPr>
                    <w:pStyle w:val="93"/>
                    <w:bidi w:val="0"/>
                    <w:rPr>
                      <w:rFonts w:hint="eastAsia"/>
                    </w:rPr>
                  </w:pPr>
                </w:p>
              </w:tc>
              <w:tc>
                <w:tcPr>
                  <w:tcW w:w="345" w:type="pct"/>
                  <w:vMerge w:val="continue"/>
                  <w:tcBorders>
                    <w:tl2br w:val="nil"/>
                    <w:tr2bl w:val="nil"/>
                  </w:tcBorders>
                  <w:shd w:val="clear" w:color="auto" w:fill="auto"/>
                  <w:vAlign w:val="center"/>
                </w:tcPr>
                <w:p w14:paraId="3EF6CE60">
                  <w:pPr>
                    <w:pStyle w:val="93"/>
                    <w:bidi w:val="0"/>
                    <w:rPr>
                      <w:rFonts w:hint="eastAsia"/>
                    </w:rPr>
                  </w:pPr>
                </w:p>
              </w:tc>
              <w:tc>
                <w:tcPr>
                  <w:tcW w:w="1146" w:type="pct"/>
                  <w:vMerge w:val="continue"/>
                  <w:tcBorders>
                    <w:tl2br w:val="nil"/>
                    <w:tr2bl w:val="nil"/>
                  </w:tcBorders>
                  <w:shd w:val="clear" w:color="auto" w:fill="auto"/>
                  <w:vAlign w:val="center"/>
                </w:tcPr>
                <w:p w14:paraId="51D9181C">
                  <w:pPr>
                    <w:pStyle w:val="93"/>
                    <w:bidi w:val="0"/>
                    <w:rPr>
                      <w:rFonts w:hint="eastAsia"/>
                    </w:rPr>
                  </w:pPr>
                </w:p>
              </w:tc>
              <w:tc>
                <w:tcPr>
                  <w:tcW w:w="575" w:type="pct"/>
                  <w:vMerge w:val="continue"/>
                  <w:tcBorders>
                    <w:tl2br w:val="nil"/>
                    <w:tr2bl w:val="nil"/>
                  </w:tcBorders>
                  <w:shd w:val="clear" w:color="auto" w:fill="auto"/>
                  <w:vAlign w:val="center"/>
                </w:tcPr>
                <w:p w14:paraId="3CA7BB91">
                  <w:pPr>
                    <w:pStyle w:val="93"/>
                    <w:bidi w:val="0"/>
                    <w:rPr>
                      <w:rFonts w:hint="eastAsia"/>
                    </w:rPr>
                  </w:pPr>
                </w:p>
              </w:tc>
              <w:tc>
                <w:tcPr>
                  <w:tcW w:w="390" w:type="pct"/>
                  <w:vMerge w:val="continue"/>
                  <w:tcBorders>
                    <w:tl2br w:val="nil"/>
                    <w:tr2bl w:val="nil"/>
                  </w:tcBorders>
                  <w:shd w:val="clear" w:color="auto" w:fill="auto"/>
                  <w:vAlign w:val="center"/>
                </w:tcPr>
                <w:p w14:paraId="60DB6009">
                  <w:pPr>
                    <w:pStyle w:val="93"/>
                    <w:bidi w:val="0"/>
                    <w:rPr>
                      <w:rFonts w:hint="eastAsia"/>
                    </w:rPr>
                  </w:pPr>
                </w:p>
              </w:tc>
              <w:tc>
                <w:tcPr>
                  <w:tcW w:w="238" w:type="pct"/>
                  <w:vMerge w:val="continue"/>
                  <w:tcBorders>
                    <w:tl2br w:val="nil"/>
                    <w:tr2bl w:val="nil"/>
                  </w:tcBorders>
                  <w:shd w:val="clear" w:color="auto" w:fill="auto"/>
                  <w:vAlign w:val="center"/>
                </w:tcPr>
                <w:p w14:paraId="1AE7AF09">
                  <w:pPr>
                    <w:pStyle w:val="93"/>
                    <w:bidi w:val="0"/>
                    <w:rPr>
                      <w:rFonts w:hint="default"/>
                    </w:rPr>
                  </w:pPr>
                </w:p>
              </w:tc>
              <w:tc>
                <w:tcPr>
                  <w:tcW w:w="358" w:type="pct"/>
                  <w:vMerge w:val="continue"/>
                  <w:tcBorders>
                    <w:tl2br w:val="nil"/>
                    <w:tr2bl w:val="nil"/>
                  </w:tcBorders>
                  <w:shd w:val="clear" w:color="auto" w:fill="auto"/>
                  <w:vAlign w:val="center"/>
                </w:tcPr>
                <w:p w14:paraId="035C639C">
                  <w:pPr>
                    <w:pStyle w:val="93"/>
                    <w:bidi w:val="0"/>
                    <w:rPr>
                      <w:rFonts w:hint="default"/>
                    </w:rPr>
                  </w:pPr>
                </w:p>
              </w:tc>
              <w:tc>
                <w:tcPr>
                  <w:tcW w:w="317" w:type="pct"/>
                  <w:vMerge w:val="continue"/>
                  <w:tcBorders>
                    <w:tl2br w:val="nil"/>
                    <w:tr2bl w:val="nil"/>
                  </w:tcBorders>
                  <w:shd w:val="clear" w:color="auto" w:fill="auto"/>
                  <w:vAlign w:val="center"/>
                </w:tcPr>
                <w:p w14:paraId="4DC7B828">
                  <w:pPr>
                    <w:pStyle w:val="93"/>
                    <w:bidi w:val="0"/>
                    <w:rPr>
                      <w:rFonts w:hint="default"/>
                    </w:rPr>
                  </w:pPr>
                </w:p>
              </w:tc>
              <w:tc>
                <w:tcPr>
                  <w:tcW w:w="691" w:type="pct"/>
                  <w:vMerge w:val="continue"/>
                  <w:tcBorders>
                    <w:tl2br w:val="nil"/>
                    <w:tr2bl w:val="nil"/>
                  </w:tcBorders>
                  <w:shd w:val="clear" w:color="auto" w:fill="auto"/>
                  <w:vAlign w:val="center"/>
                </w:tcPr>
                <w:p w14:paraId="39BC4B07">
                  <w:pPr>
                    <w:pStyle w:val="93"/>
                    <w:bidi w:val="0"/>
                    <w:rPr>
                      <w:rFonts w:hint="eastAsia"/>
                    </w:rPr>
                  </w:pPr>
                </w:p>
              </w:tc>
              <w:tc>
                <w:tcPr>
                  <w:tcW w:w="701" w:type="pct"/>
                  <w:vMerge w:val="continue"/>
                  <w:tcBorders>
                    <w:tl2br w:val="nil"/>
                    <w:tr2bl w:val="nil"/>
                  </w:tcBorders>
                  <w:shd w:val="clear" w:color="auto" w:fill="auto"/>
                  <w:vAlign w:val="center"/>
                </w:tcPr>
                <w:p w14:paraId="5A6908F4">
                  <w:pPr>
                    <w:pStyle w:val="93"/>
                    <w:bidi w:val="0"/>
                    <w:rPr>
                      <w:rFonts w:hint="eastAsia"/>
                    </w:rPr>
                  </w:pPr>
                </w:p>
              </w:tc>
            </w:tr>
            <w:tr w14:paraId="42A6B3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36" w:type="pct"/>
                  <w:tcBorders>
                    <w:tl2br w:val="nil"/>
                    <w:tr2bl w:val="nil"/>
                  </w:tcBorders>
                  <w:shd w:val="clear" w:color="auto" w:fill="auto"/>
                  <w:vAlign w:val="center"/>
                </w:tcPr>
                <w:p w14:paraId="736D73B4">
                  <w:pPr>
                    <w:pStyle w:val="93"/>
                    <w:bidi w:val="0"/>
                    <w:rPr>
                      <w:rFonts w:hint="eastAsia"/>
                    </w:rPr>
                  </w:pPr>
                  <w:r>
                    <w:rPr>
                      <w:rFonts w:hint="eastAsia"/>
                      <w:lang w:val="en-US" w:eastAsia="zh-CN"/>
                    </w:rPr>
                    <w:t>1</w:t>
                  </w:r>
                </w:p>
              </w:tc>
              <w:tc>
                <w:tcPr>
                  <w:tcW w:w="345" w:type="pct"/>
                  <w:vMerge w:val="restart"/>
                  <w:tcBorders>
                    <w:tl2br w:val="nil"/>
                    <w:tr2bl w:val="nil"/>
                  </w:tcBorders>
                  <w:shd w:val="clear" w:color="auto" w:fill="auto"/>
                  <w:vAlign w:val="center"/>
                </w:tcPr>
                <w:p w14:paraId="5847988E">
                  <w:pPr>
                    <w:pStyle w:val="93"/>
                    <w:bidi w:val="0"/>
                    <w:rPr>
                      <w:rFonts w:hint="default"/>
                      <w:lang w:val="en-US" w:eastAsia="zh-CN"/>
                    </w:rPr>
                  </w:pPr>
                  <w:r>
                    <w:rPr>
                      <w:rFonts w:hint="eastAsia"/>
                      <w:lang w:val="en-US" w:eastAsia="zh-CN"/>
                    </w:rPr>
                    <w:t>1号厂房三层北侧</w:t>
                  </w:r>
                </w:p>
              </w:tc>
              <w:tc>
                <w:tcPr>
                  <w:tcW w:w="1146" w:type="pct"/>
                  <w:tcBorders>
                    <w:tl2br w:val="nil"/>
                    <w:tr2bl w:val="nil"/>
                  </w:tcBorders>
                  <w:shd w:val="clear" w:color="auto" w:fill="auto"/>
                  <w:vAlign w:val="center"/>
                </w:tcPr>
                <w:p w14:paraId="756B6F6D">
                  <w:pPr>
                    <w:bidi w:val="0"/>
                    <w:rPr>
                      <w:rFonts w:hint="eastAsia"/>
                    </w:rPr>
                  </w:pPr>
                  <w:r>
                    <w:rPr>
                      <w:rFonts w:hint="eastAsia"/>
                      <w:lang w:val="en-US" w:eastAsia="zh-CN"/>
                    </w:rPr>
                    <w:t>****</w:t>
                  </w:r>
                </w:p>
              </w:tc>
              <w:tc>
                <w:tcPr>
                  <w:tcW w:w="575" w:type="pct"/>
                  <w:tcBorders>
                    <w:tl2br w:val="nil"/>
                    <w:tr2bl w:val="nil"/>
                  </w:tcBorders>
                  <w:shd w:val="clear" w:color="auto" w:fill="auto"/>
                  <w:vAlign w:val="center"/>
                </w:tcPr>
                <w:p w14:paraId="62C45294">
                  <w:pPr>
                    <w:pStyle w:val="93"/>
                    <w:bidi w:val="0"/>
                    <w:rPr>
                      <w:rFonts w:hint="default"/>
                      <w:lang w:val="en-US" w:eastAsia="zh-CN"/>
                    </w:rPr>
                  </w:pPr>
                  <w:r>
                    <w:rPr>
                      <w:rFonts w:hint="eastAsia"/>
                      <w:lang w:val="en-US" w:eastAsia="zh-CN"/>
                    </w:rPr>
                    <w:t>70</w:t>
                  </w:r>
                </w:p>
              </w:tc>
              <w:tc>
                <w:tcPr>
                  <w:tcW w:w="390" w:type="pct"/>
                  <w:vMerge w:val="restart"/>
                  <w:tcBorders>
                    <w:tl2br w:val="nil"/>
                    <w:tr2bl w:val="nil"/>
                  </w:tcBorders>
                  <w:shd w:val="clear" w:color="auto" w:fill="auto"/>
                  <w:vAlign w:val="center"/>
                </w:tcPr>
                <w:p w14:paraId="436261F4">
                  <w:pPr>
                    <w:pStyle w:val="93"/>
                    <w:bidi w:val="0"/>
                    <w:rPr>
                      <w:rFonts w:hint="eastAsia"/>
                    </w:rPr>
                  </w:pPr>
                  <w:r>
                    <w:rPr>
                      <w:rFonts w:hint="eastAsia"/>
                      <w:lang w:val="en-US" w:eastAsia="zh-CN"/>
                    </w:rPr>
                    <w:t>减振、隔声</w:t>
                  </w:r>
                </w:p>
              </w:tc>
              <w:tc>
                <w:tcPr>
                  <w:tcW w:w="238" w:type="pct"/>
                  <w:tcBorders>
                    <w:tl2br w:val="nil"/>
                    <w:tr2bl w:val="nil"/>
                  </w:tcBorders>
                  <w:shd w:val="clear" w:color="auto" w:fill="auto"/>
                  <w:vAlign w:val="center"/>
                </w:tcPr>
                <w:p w14:paraId="2D9CB067">
                  <w:pPr>
                    <w:pStyle w:val="93"/>
                    <w:bidi w:val="0"/>
                    <w:rPr>
                      <w:rFonts w:hint="default"/>
                      <w:lang w:val="en-US"/>
                    </w:rPr>
                  </w:pPr>
                  <w:r>
                    <w:rPr>
                      <w:rFonts w:hint="default"/>
                      <w:lang w:val="en-US" w:eastAsia="zh-CN"/>
                    </w:rPr>
                    <w:t>37</w:t>
                  </w:r>
                </w:p>
              </w:tc>
              <w:tc>
                <w:tcPr>
                  <w:tcW w:w="358" w:type="pct"/>
                  <w:tcBorders>
                    <w:tl2br w:val="nil"/>
                    <w:tr2bl w:val="nil"/>
                  </w:tcBorders>
                  <w:shd w:val="clear" w:color="auto" w:fill="auto"/>
                  <w:vAlign w:val="center"/>
                </w:tcPr>
                <w:p w14:paraId="01F84F62">
                  <w:pPr>
                    <w:pStyle w:val="93"/>
                    <w:bidi w:val="0"/>
                    <w:rPr>
                      <w:rFonts w:hint="default"/>
                      <w:lang w:val="en-US"/>
                    </w:rPr>
                  </w:pPr>
                  <w:r>
                    <w:rPr>
                      <w:rFonts w:hint="default"/>
                      <w:lang w:val="en-US" w:eastAsia="zh-CN"/>
                    </w:rPr>
                    <w:t>33</w:t>
                  </w:r>
                </w:p>
              </w:tc>
              <w:tc>
                <w:tcPr>
                  <w:tcW w:w="317" w:type="pct"/>
                  <w:tcBorders>
                    <w:tl2br w:val="nil"/>
                    <w:tr2bl w:val="nil"/>
                  </w:tcBorders>
                  <w:shd w:val="clear" w:color="auto" w:fill="auto"/>
                  <w:vAlign w:val="center"/>
                </w:tcPr>
                <w:p w14:paraId="1511A4DB">
                  <w:pPr>
                    <w:pStyle w:val="93"/>
                    <w:bidi w:val="0"/>
                    <w:rPr>
                      <w:rFonts w:hint="default"/>
                      <w:lang w:val="en-US"/>
                    </w:rPr>
                  </w:pPr>
                  <w:r>
                    <w:rPr>
                      <w:rFonts w:hint="default"/>
                      <w:lang w:val="en-US" w:eastAsia="zh-CN"/>
                    </w:rPr>
                    <w:t>12</w:t>
                  </w:r>
                </w:p>
              </w:tc>
              <w:tc>
                <w:tcPr>
                  <w:tcW w:w="691" w:type="pct"/>
                  <w:tcBorders>
                    <w:tl2br w:val="nil"/>
                    <w:tr2bl w:val="nil"/>
                  </w:tcBorders>
                  <w:shd w:val="clear" w:color="auto" w:fill="auto"/>
                  <w:vAlign w:val="center"/>
                </w:tcPr>
                <w:p w14:paraId="60CF8117">
                  <w:pPr>
                    <w:pStyle w:val="93"/>
                    <w:bidi w:val="0"/>
                    <w:rPr>
                      <w:rFonts w:hint="default"/>
                    </w:rPr>
                  </w:pPr>
                  <w:r>
                    <w:rPr>
                      <w:rFonts w:hint="default"/>
                      <w:lang w:val="en-US" w:eastAsia="zh-CN"/>
                    </w:rPr>
                    <w:t>20</w:t>
                  </w:r>
                </w:p>
              </w:tc>
              <w:tc>
                <w:tcPr>
                  <w:tcW w:w="701" w:type="pct"/>
                  <w:vMerge w:val="restart"/>
                  <w:tcBorders>
                    <w:tl2br w:val="nil"/>
                    <w:tr2bl w:val="nil"/>
                  </w:tcBorders>
                  <w:shd w:val="clear" w:color="auto" w:fill="auto"/>
                  <w:vAlign w:val="center"/>
                </w:tcPr>
                <w:p w14:paraId="0EBC27C1">
                  <w:pPr>
                    <w:pStyle w:val="93"/>
                    <w:bidi w:val="0"/>
                    <w:rPr>
                      <w:rFonts w:hint="default"/>
                      <w:lang w:val="en-US" w:eastAsia="zh-CN"/>
                    </w:rPr>
                  </w:pPr>
                  <w:r>
                    <w:rPr>
                      <w:rFonts w:hint="eastAsia"/>
                      <w:lang w:val="en-US" w:eastAsia="zh-CN"/>
                    </w:rPr>
                    <w:t>16h/d</w:t>
                  </w:r>
                </w:p>
              </w:tc>
            </w:tr>
            <w:tr w14:paraId="6ECA53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6" w:type="pct"/>
                  <w:tcBorders>
                    <w:tl2br w:val="nil"/>
                    <w:tr2bl w:val="nil"/>
                  </w:tcBorders>
                  <w:shd w:val="clear" w:color="auto" w:fill="auto"/>
                  <w:vAlign w:val="center"/>
                </w:tcPr>
                <w:p w14:paraId="1BABB99B">
                  <w:pPr>
                    <w:pStyle w:val="93"/>
                    <w:bidi w:val="0"/>
                    <w:rPr>
                      <w:rFonts w:hint="eastAsia"/>
                    </w:rPr>
                  </w:pPr>
                  <w:r>
                    <w:rPr>
                      <w:rFonts w:hint="eastAsia"/>
                      <w:lang w:val="en-US" w:eastAsia="zh-CN"/>
                    </w:rPr>
                    <w:t>2</w:t>
                  </w:r>
                </w:p>
              </w:tc>
              <w:tc>
                <w:tcPr>
                  <w:tcW w:w="345" w:type="pct"/>
                  <w:vMerge w:val="continue"/>
                  <w:tcBorders>
                    <w:tl2br w:val="nil"/>
                    <w:tr2bl w:val="nil"/>
                  </w:tcBorders>
                  <w:shd w:val="clear" w:color="auto" w:fill="auto"/>
                  <w:vAlign w:val="center"/>
                </w:tcPr>
                <w:p w14:paraId="03E79E51">
                  <w:pPr>
                    <w:pStyle w:val="93"/>
                    <w:bidi w:val="0"/>
                    <w:rPr>
                      <w:rFonts w:hint="eastAsia"/>
                    </w:rPr>
                  </w:pPr>
                </w:p>
              </w:tc>
              <w:tc>
                <w:tcPr>
                  <w:tcW w:w="1146" w:type="pct"/>
                  <w:tcBorders>
                    <w:tl2br w:val="nil"/>
                    <w:tr2bl w:val="nil"/>
                  </w:tcBorders>
                  <w:shd w:val="clear" w:color="auto" w:fill="auto"/>
                  <w:vAlign w:val="center"/>
                </w:tcPr>
                <w:p w14:paraId="1BA7185C">
                  <w:pPr>
                    <w:bidi w:val="0"/>
                    <w:rPr>
                      <w:rFonts w:hint="eastAsia"/>
                    </w:rPr>
                  </w:pPr>
                  <w:r>
                    <w:rPr>
                      <w:rFonts w:hint="eastAsia"/>
                      <w:lang w:val="en-US" w:eastAsia="zh-CN"/>
                    </w:rPr>
                    <w:t>****</w:t>
                  </w:r>
                </w:p>
              </w:tc>
              <w:tc>
                <w:tcPr>
                  <w:tcW w:w="575" w:type="pct"/>
                  <w:tcBorders>
                    <w:tl2br w:val="nil"/>
                    <w:tr2bl w:val="nil"/>
                  </w:tcBorders>
                  <w:shd w:val="clear" w:color="auto" w:fill="auto"/>
                  <w:vAlign w:val="center"/>
                </w:tcPr>
                <w:p w14:paraId="758B4208">
                  <w:pPr>
                    <w:pStyle w:val="93"/>
                    <w:bidi w:val="0"/>
                    <w:rPr>
                      <w:rFonts w:hint="default"/>
                      <w:lang w:val="en-US" w:eastAsia="zh-CN"/>
                    </w:rPr>
                  </w:pPr>
                  <w:r>
                    <w:rPr>
                      <w:rFonts w:hint="eastAsia"/>
                      <w:lang w:val="en-US" w:eastAsia="zh-CN"/>
                    </w:rPr>
                    <w:t>75</w:t>
                  </w:r>
                </w:p>
              </w:tc>
              <w:tc>
                <w:tcPr>
                  <w:tcW w:w="390" w:type="pct"/>
                  <w:vMerge w:val="continue"/>
                  <w:tcBorders>
                    <w:tl2br w:val="nil"/>
                    <w:tr2bl w:val="nil"/>
                  </w:tcBorders>
                  <w:shd w:val="clear" w:color="auto" w:fill="auto"/>
                  <w:vAlign w:val="center"/>
                </w:tcPr>
                <w:p w14:paraId="75A1519F">
                  <w:pPr>
                    <w:pStyle w:val="93"/>
                    <w:bidi w:val="0"/>
                    <w:rPr>
                      <w:rFonts w:hint="eastAsia"/>
                    </w:rPr>
                  </w:pPr>
                </w:p>
              </w:tc>
              <w:tc>
                <w:tcPr>
                  <w:tcW w:w="238" w:type="pct"/>
                  <w:tcBorders>
                    <w:tl2br w:val="nil"/>
                    <w:tr2bl w:val="nil"/>
                  </w:tcBorders>
                  <w:shd w:val="clear" w:color="auto" w:fill="auto"/>
                  <w:vAlign w:val="center"/>
                </w:tcPr>
                <w:p w14:paraId="0B924997">
                  <w:pPr>
                    <w:pStyle w:val="93"/>
                    <w:bidi w:val="0"/>
                    <w:rPr>
                      <w:rFonts w:hint="default"/>
                      <w:lang w:val="en-US"/>
                    </w:rPr>
                  </w:pPr>
                  <w:r>
                    <w:rPr>
                      <w:rFonts w:hint="default"/>
                      <w:lang w:val="en-US" w:eastAsia="zh-CN"/>
                    </w:rPr>
                    <w:t>37</w:t>
                  </w:r>
                </w:p>
              </w:tc>
              <w:tc>
                <w:tcPr>
                  <w:tcW w:w="358" w:type="pct"/>
                  <w:tcBorders>
                    <w:tl2br w:val="nil"/>
                    <w:tr2bl w:val="nil"/>
                  </w:tcBorders>
                  <w:shd w:val="clear" w:color="auto" w:fill="auto"/>
                  <w:vAlign w:val="center"/>
                </w:tcPr>
                <w:p w14:paraId="5C4B7C79">
                  <w:pPr>
                    <w:pStyle w:val="93"/>
                    <w:bidi w:val="0"/>
                    <w:rPr>
                      <w:rFonts w:hint="default"/>
                      <w:lang w:val="en-US"/>
                    </w:rPr>
                  </w:pPr>
                  <w:r>
                    <w:rPr>
                      <w:rFonts w:hint="default"/>
                      <w:lang w:val="en-US" w:eastAsia="zh-CN"/>
                    </w:rPr>
                    <w:t>32</w:t>
                  </w:r>
                </w:p>
              </w:tc>
              <w:tc>
                <w:tcPr>
                  <w:tcW w:w="317" w:type="pct"/>
                  <w:tcBorders>
                    <w:tl2br w:val="nil"/>
                    <w:tr2bl w:val="nil"/>
                  </w:tcBorders>
                  <w:shd w:val="clear" w:color="auto" w:fill="auto"/>
                  <w:vAlign w:val="center"/>
                </w:tcPr>
                <w:p w14:paraId="6F59794F">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0C0CAF3A">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28EE0FDE">
                  <w:pPr>
                    <w:pStyle w:val="93"/>
                    <w:bidi w:val="0"/>
                    <w:rPr>
                      <w:rFonts w:hint="default"/>
                      <w:lang w:val="en-US" w:eastAsia="zh-CN"/>
                    </w:rPr>
                  </w:pPr>
                </w:p>
              </w:tc>
            </w:tr>
            <w:tr w14:paraId="0409B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36" w:type="pct"/>
                  <w:tcBorders>
                    <w:tl2br w:val="nil"/>
                    <w:tr2bl w:val="nil"/>
                  </w:tcBorders>
                  <w:shd w:val="clear" w:color="auto" w:fill="auto"/>
                  <w:vAlign w:val="center"/>
                </w:tcPr>
                <w:p w14:paraId="7CC71C99">
                  <w:pPr>
                    <w:pStyle w:val="93"/>
                    <w:bidi w:val="0"/>
                    <w:rPr>
                      <w:rFonts w:hint="eastAsia"/>
                    </w:rPr>
                  </w:pPr>
                  <w:r>
                    <w:rPr>
                      <w:rFonts w:hint="eastAsia"/>
                      <w:lang w:val="en-US" w:eastAsia="zh-CN"/>
                    </w:rPr>
                    <w:t>4</w:t>
                  </w:r>
                </w:p>
              </w:tc>
              <w:tc>
                <w:tcPr>
                  <w:tcW w:w="345" w:type="pct"/>
                  <w:vMerge w:val="continue"/>
                  <w:tcBorders>
                    <w:tl2br w:val="nil"/>
                    <w:tr2bl w:val="nil"/>
                  </w:tcBorders>
                  <w:shd w:val="clear" w:color="auto" w:fill="auto"/>
                  <w:vAlign w:val="center"/>
                </w:tcPr>
                <w:p w14:paraId="6576E84C">
                  <w:pPr>
                    <w:pStyle w:val="93"/>
                    <w:bidi w:val="0"/>
                    <w:rPr>
                      <w:rFonts w:hint="eastAsia"/>
                    </w:rPr>
                  </w:pPr>
                </w:p>
              </w:tc>
              <w:tc>
                <w:tcPr>
                  <w:tcW w:w="1146" w:type="pct"/>
                  <w:tcBorders>
                    <w:tl2br w:val="nil"/>
                    <w:tr2bl w:val="nil"/>
                  </w:tcBorders>
                  <w:shd w:val="clear" w:color="auto" w:fill="auto"/>
                  <w:vAlign w:val="center"/>
                </w:tcPr>
                <w:p w14:paraId="1FC38762">
                  <w:pPr>
                    <w:bidi w:val="0"/>
                    <w:rPr>
                      <w:rFonts w:hint="eastAsia"/>
                    </w:rPr>
                  </w:pPr>
                  <w:r>
                    <w:rPr>
                      <w:rFonts w:hint="eastAsia"/>
                      <w:lang w:val="en-US" w:eastAsia="zh-CN"/>
                    </w:rPr>
                    <w:t>****</w:t>
                  </w:r>
                </w:p>
              </w:tc>
              <w:tc>
                <w:tcPr>
                  <w:tcW w:w="575" w:type="pct"/>
                  <w:tcBorders>
                    <w:tl2br w:val="nil"/>
                    <w:tr2bl w:val="nil"/>
                  </w:tcBorders>
                  <w:shd w:val="clear" w:color="auto" w:fill="auto"/>
                  <w:vAlign w:val="center"/>
                </w:tcPr>
                <w:p w14:paraId="0300DC2B">
                  <w:pPr>
                    <w:pStyle w:val="93"/>
                    <w:bidi w:val="0"/>
                    <w:rPr>
                      <w:rFonts w:hint="default"/>
                      <w:lang w:val="en-US" w:eastAsia="zh-CN"/>
                    </w:rPr>
                  </w:pPr>
                  <w:r>
                    <w:rPr>
                      <w:rFonts w:hint="eastAsia"/>
                      <w:lang w:val="en-US" w:eastAsia="zh-CN"/>
                    </w:rPr>
                    <w:t>75</w:t>
                  </w:r>
                </w:p>
              </w:tc>
              <w:tc>
                <w:tcPr>
                  <w:tcW w:w="390" w:type="pct"/>
                  <w:vMerge w:val="continue"/>
                  <w:tcBorders>
                    <w:tl2br w:val="nil"/>
                    <w:tr2bl w:val="nil"/>
                  </w:tcBorders>
                  <w:shd w:val="clear" w:color="auto" w:fill="auto"/>
                  <w:vAlign w:val="center"/>
                </w:tcPr>
                <w:p w14:paraId="406DE267">
                  <w:pPr>
                    <w:pStyle w:val="93"/>
                    <w:bidi w:val="0"/>
                    <w:rPr>
                      <w:rFonts w:hint="eastAsia"/>
                    </w:rPr>
                  </w:pPr>
                </w:p>
              </w:tc>
              <w:tc>
                <w:tcPr>
                  <w:tcW w:w="238" w:type="pct"/>
                  <w:tcBorders>
                    <w:tl2br w:val="nil"/>
                    <w:tr2bl w:val="nil"/>
                  </w:tcBorders>
                  <w:shd w:val="clear" w:color="auto" w:fill="auto"/>
                  <w:vAlign w:val="center"/>
                </w:tcPr>
                <w:p w14:paraId="12A20F11">
                  <w:pPr>
                    <w:pStyle w:val="93"/>
                    <w:bidi w:val="0"/>
                    <w:rPr>
                      <w:rFonts w:hint="default"/>
                      <w:lang w:val="en-US"/>
                    </w:rPr>
                  </w:pPr>
                  <w:r>
                    <w:rPr>
                      <w:rFonts w:hint="default"/>
                      <w:lang w:val="en-US" w:eastAsia="zh-CN"/>
                    </w:rPr>
                    <w:t>38</w:t>
                  </w:r>
                </w:p>
              </w:tc>
              <w:tc>
                <w:tcPr>
                  <w:tcW w:w="358" w:type="pct"/>
                  <w:tcBorders>
                    <w:tl2br w:val="nil"/>
                    <w:tr2bl w:val="nil"/>
                  </w:tcBorders>
                  <w:shd w:val="clear" w:color="auto" w:fill="auto"/>
                  <w:vAlign w:val="center"/>
                </w:tcPr>
                <w:p w14:paraId="17E94D03">
                  <w:pPr>
                    <w:pStyle w:val="93"/>
                    <w:bidi w:val="0"/>
                    <w:rPr>
                      <w:rFonts w:hint="default"/>
                      <w:lang w:val="en-US"/>
                    </w:rPr>
                  </w:pPr>
                  <w:r>
                    <w:rPr>
                      <w:rFonts w:hint="default"/>
                      <w:lang w:val="en-US" w:eastAsia="zh-CN"/>
                    </w:rPr>
                    <w:t>31</w:t>
                  </w:r>
                </w:p>
              </w:tc>
              <w:tc>
                <w:tcPr>
                  <w:tcW w:w="317" w:type="pct"/>
                  <w:tcBorders>
                    <w:tl2br w:val="nil"/>
                    <w:tr2bl w:val="nil"/>
                  </w:tcBorders>
                  <w:shd w:val="clear" w:color="auto" w:fill="auto"/>
                  <w:vAlign w:val="center"/>
                </w:tcPr>
                <w:p w14:paraId="04E9240D">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104F7122">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5E3C20DE">
                  <w:pPr>
                    <w:pStyle w:val="93"/>
                    <w:bidi w:val="0"/>
                    <w:rPr>
                      <w:rFonts w:hint="default"/>
                      <w:lang w:val="en-US" w:eastAsia="zh-CN"/>
                    </w:rPr>
                  </w:pPr>
                </w:p>
              </w:tc>
            </w:tr>
            <w:tr w14:paraId="541C02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36" w:type="pct"/>
                  <w:tcBorders>
                    <w:tl2br w:val="nil"/>
                    <w:tr2bl w:val="nil"/>
                  </w:tcBorders>
                  <w:shd w:val="clear" w:color="auto" w:fill="auto"/>
                  <w:vAlign w:val="center"/>
                </w:tcPr>
                <w:p w14:paraId="30B823E3">
                  <w:pPr>
                    <w:pStyle w:val="93"/>
                    <w:bidi w:val="0"/>
                    <w:rPr>
                      <w:rFonts w:hint="eastAsia"/>
                    </w:rPr>
                  </w:pPr>
                  <w:r>
                    <w:rPr>
                      <w:rFonts w:hint="eastAsia"/>
                      <w:lang w:val="en-US" w:eastAsia="zh-CN"/>
                    </w:rPr>
                    <w:t>5</w:t>
                  </w:r>
                </w:p>
              </w:tc>
              <w:tc>
                <w:tcPr>
                  <w:tcW w:w="345" w:type="pct"/>
                  <w:vMerge w:val="continue"/>
                  <w:tcBorders>
                    <w:tl2br w:val="nil"/>
                    <w:tr2bl w:val="nil"/>
                  </w:tcBorders>
                  <w:shd w:val="clear" w:color="auto" w:fill="auto"/>
                  <w:vAlign w:val="center"/>
                </w:tcPr>
                <w:p w14:paraId="69262047">
                  <w:pPr>
                    <w:pStyle w:val="93"/>
                    <w:bidi w:val="0"/>
                    <w:rPr>
                      <w:rFonts w:hint="eastAsia"/>
                    </w:rPr>
                  </w:pPr>
                </w:p>
              </w:tc>
              <w:tc>
                <w:tcPr>
                  <w:tcW w:w="1146" w:type="pct"/>
                  <w:tcBorders>
                    <w:tl2br w:val="nil"/>
                    <w:tr2bl w:val="nil"/>
                  </w:tcBorders>
                  <w:shd w:val="clear" w:color="auto" w:fill="auto"/>
                  <w:vAlign w:val="center"/>
                </w:tcPr>
                <w:p w14:paraId="16CCAA39">
                  <w:pPr>
                    <w:bidi w:val="0"/>
                    <w:rPr>
                      <w:rFonts w:hint="eastAsia"/>
                    </w:rPr>
                  </w:pPr>
                  <w:r>
                    <w:rPr>
                      <w:rFonts w:hint="eastAsia"/>
                      <w:lang w:val="en-US" w:eastAsia="zh-CN"/>
                    </w:rPr>
                    <w:t>****</w:t>
                  </w:r>
                </w:p>
              </w:tc>
              <w:tc>
                <w:tcPr>
                  <w:tcW w:w="575" w:type="pct"/>
                  <w:tcBorders>
                    <w:tl2br w:val="nil"/>
                    <w:tr2bl w:val="nil"/>
                  </w:tcBorders>
                  <w:shd w:val="clear" w:color="auto" w:fill="auto"/>
                  <w:vAlign w:val="center"/>
                </w:tcPr>
                <w:p w14:paraId="213F301E">
                  <w:pPr>
                    <w:pStyle w:val="93"/>
                    <w:bidi w:val="0"/>
                    <w:rPr>
                      <w:rFonts w:hint="default"/>
                      <w:lang w:val="en-US" w:eastAsia="zh-CN"/>
                    </w:rPr>
                  </w:pPr>
                  <w:r>
                    <w:rPr>
                      <w:rFonts w:hint="eastAsia"/>
                      <w:lang w:val="en-US" w:eastAsia="zh-CN"/>
                    </w:rPr>
                    <w:t>75</w:t>
                  </w:r>
                </w:p>
              </w:tc>
              <w:tc>
                <w:tcPr>
                  <w:tcW w:w="390" w:type="pct"/>
                  <w:vMerge w:val="continue"/>
                  <w:tcBorders>
                    <w:tl2br w:val="nil"/>
                    <w:tr2bl w:val="nil"/>
                  </w:tcBorders>
                  <w:shd w:val="clear" w:color="auto" w:fill="auto"/>
                  <w:vAlign w:val="center"/>
                </w:tcPr>
                <w:p w14:paraId="587F13D7">
                  <w:pPr>
                    <w:pStyle w:val="93"/>
                    <w:bidi w:val="0"/>
                    <w:rPr>
                      <w:rFonts w:hint="eastAsia"/>
                    </w:rPr>
                  </w:pPr>
                </w:p>
              </w:tc>
              <w:tc>
                <w:tcPr>
                  <w:tcW w:w="238" w:type="pct"/>
                  <w:tcBorders>
                    <w:tl2br w:val="nil"/>
                    <w:tr2bl w:val="nil"/>
                  </w:tcBorders>
                  <w:shd w:val="clear" w:color="auto" w:fill="auto"/>
                  <w:vAlign w:val="center"/>
                </w:tcPr>
                <w:p w14:paraId="7C539B6D">
                  <w:pPr>
                    <w:pStyle w:val="93"/>
                    <w:bidi w:val="0"/>
                    <w:rPr>
                      <w:rFonts w:hint="default"/>
                      <w:lang w:val="en-US"/>
                    </w:rPr>
                  </w:pPr>
                  <w:r>
                    <w:rPr>
                      <w:rFonts w:hint="default"/>
                      <w:lang w:val="en-US" w:eastAsia="zh-CN"/>
                    </w:rPr>
                    <w:t>34</w:t>
                  </w:r>
                </w:p>
              </w:tc>
              <w:tc>
                <w:tcPr>
                  <w:tcW w:w="358" w:type="pct"/>
                  <w:tcBorders>
                    <w:tl2br w:val="nil"/>
                    <w:tr2bl w:val="nil"/>
                  </w:tcBorders>
                  <w:shd w:val="clear" w:color="auto" w:fill="auto"/>
                  <w:vAlign w:val="center"/>
                </w:tcPr>
                <w:p w14:paraId="2647EB72">
                  <w:pPr>
                    <w:pStyle w:val="93"/>
                    <w:bidi w:val="0"/>
                    <w:rPr>
                      <w:rFonts w:hint="default"/>
                      <w:lang w:val="en-US"/>
                    </w:rPr>
                  </w:pPr>
                  <w:r>
                    <w:rPr>
                      <w:rFonts w:hint="default"/>
                      <w:lang w:val="en-US" w:eastAsia="zh-CN"/>
                    </w:rPr>
                    <w:t>37</w:t>
                  </w:r>
                </w:p>
              </w:tc>
              <w:tc>
                <w:tcPr>
                  <w:tcW w:w="317" w:type="pct"/>
                  <w:tcBorders>
                    <w:tl2br w:val="nil"/>
                    <w:tr2bl w:val="nil"/>
                  </w:tcBorders>
                  <w:shd w:val="clear" w:color="auto" w:fill="auto"/>
                  <w:vAlign w:val="center"/>
                </w:tcPr>
                <w:p w14:paraId="7DD2F9B0">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3BC75E50">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49ABBDE7">
                  <w:pPr>
                    <w:pStyle w:val="93"/>
                    <w:bidi w:val="0"/>
                    <w:rPr>
                      <w:rFonts w:hint="default"/>
                      <w:lang w:val="en-US" w:eastAsia="zh-CN"/>
                    </w:rPr>
                  </w:pPr>
                </w:p>
              </w:tc>
            </w:tr>
            <w:tr w14:paraId="0A6125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36" w:type="pct"/>
                  <w:tcBorders>
                    <w:tl2br w:val="nil"/>
                    <w:tr2bl w:val="nil"/>
                  </w:tcBorders>
                  <w:shd w:val="clear" w:color="auto" w:fill="auto"/>
                  <w:vAlign w:val="center"/>
                </w:tcPr>
                <w:p w14:paraId="19F7B78C">
                  <w:pPr>
                    <w:pStyle w:val="93"/>
                    <w:bidi w:val="0"/>
                    <w:rPr>
                      <w:rFonts w:hint="eastAsia"/>
                    </w:rPr>
                  </w:pPr>
                  <w:r>
                    <w:rPr>
                      <w:rFonts w:hint="eastAsia"/>
                      <w:lang w:val="en-US" w:eastAsia="zh-CN"/>
                    </w:rPr>
                    <w:t>6</w:t>
                  </w:r>
                </w:p>
              </w:tc>
              <w:tc>
                <w:tcPr>
                  <w:tcW w:w="345" w:type="pct"/>
                  <w:vMerge w:val="continue"/>
                  <w:tcBorders>
                    <w:tl2br w:val="nil"/>
                    <w:tr2bl w:val="nil"/>
                  </w:tcBorders>
                  <w:shd w:val="clear" w:color="auto" w:fill="auto"/>
                  <w:vAlign w:val="center"/>
                </w:tcPr>
                <w:p w14:paraId="2FEE7DED">
                  <w:pPr>
                    <w:pStyle w:val="93"/>
                    <w:bidi w:val="0"/>
                    <w:rPr>
                      <w:rFonts w:hint="eastAsia"/>
                    </w:rPr>
                  </w:pPr>
                </w:p>
              </w:tc>
              <w:tc>
                <w:tcPr>
                  <w:tcW w:w="1146" w:type="pct"/>
                  <w:tcBorders>
                    <w:tl2br w:val="nil"/>
                    <w:tr2bl w:val="nil"/>
                  </w:tcBorders>
                  <w:shd w:val="clear" w:color="auto" w:fill="auto"/>
                  <w:vAlign w:val="center"/>
                </w:tcPr>
                <w:p w14:paraId="62309B58">
                  <w:pPr>
                    <w:bidi w:val="0"/>
                    <w:rPr>
                      <w:rFonts w:hint="eastAsia"/>
                    </w:rPr>
                  </w:pPr>
                  <w:r>
                    <w:rPr>
                      <w:rFonts w:hint="eastAsia"/>
                      <w:lang w:val="en-US" w:eastAsia="zh-CN"/>
                    </w:rPr>
                    <w:t>****</w:t>
                  </w:r>
                </w:p>
              </w:tc>
              <w:tc>
                <w:tcPr>
                  <w:tcW w:w="575" w:type="pct"/>
                  <w:tcBorders>
                    <w:tl2br w:val="nil"/>
                    <w:tr2bl w:val="nil"/>
                  </w:tcBorders>
                  <w:shd w:val="clear" w:color="auto" w:fill="auto"/>
                  <w:vAlign w:val="center"/>
                </w:tcPr>
                <w:p w14:paraId="155F1B92">
                  <w:pPr>
                    <w:pStyle w:val="93"/>
                    <w:bidi w:val="0"/>
                    <w:rPr>
                      <w:rFonts w:hint="default"/>
                      <w:lang w:val="en-US"/>
                    </w:rPr>
                  </w:pPr>
                  <w:r>
                    <w:rPr>
                      <w:rFonts w:hint="default"/>
                      <w:lang w:val="en-US" w:eastAsia="zh-CN"/>
                    </w:rPr>
                    <w:t>7</w:t>
                  </w:r>
                  <w:r>
                    <w:rPr>
                      <w:rFonts w:hint="eastAsia"/>
                      <w:lang w:val="en-US" w:eastAsia="zh-CN"/>
                    </w:rPr>
                    <w:t>5</w:t>
                  </w:r>
                </w:p>
              </w:tc>
              <w:tc>
                <w:tcPr>
                  <w:tcW w:w="390" w:type="pct"/>
                  <w:vMerge w:val="continue"/>
                  <w:tcBorders>
                    <w:tl2br w:val="nil"/>
                    <w:tr2bl w:val="nil"/>
                  </w:tcBorders>
                  <w:shd w:val="clear" w:color="auto" w:fill="auto"/>
                  <w:vAlign w:val="center"/>
                </w:tcPr>
                <w:p w14:paraId="65882EA8">
                  <w:pPr>
                    <w:pStyle w:val="93"/>
                    <w:bidi w:val="0"/>
                    <w:rPr>
                      <w:rFonts w:hint="eastAsia"/>
                    </w:rPr>
                  </w:pPr>
                </w:p>
              </w:tc>
              <w:tc>
                <w:tcPr>
                  <w:tcW w:w="238" w:type="pct"/>
                  <w:tcBorders>
                    <w:tl2br w:val="nil"/>
                    <w:tr2bl w:val="nil"/>
                  </w:tcBorders>
                  <w:shd w:val="clear" w:color="auto" w:fill="auto"/>
                  <w:vAlign w:val="center"/>
                </w:tcPr>
                <w:p w14:paraId="44819BE3">
                  <w:pPr>
                    <w:pStyle w:val="93"/>
                    <w:bidi w:val="0"/>
                    <w:rPr>
                      <w:rFonts w:hint="default"/>
                      <w:lang w:val="en-US"/>
                    </w:rPr>
                  </w:pPr>
                  <w:r>
                    <w:rPr>
                      <w:rFonts w:hint="default"/>
                      <w:lang w:val="en-US" w:eastAsia="zh-CN"/>
                    </w:rPr>
                    <w:t>32</w:t>
                  </w:r>
                </w:p>
              </w:tc>
              <w:tc>
                <w:tcPr>
                  <w:tcW w:w="358" w:type="pct"/>
                  <w:tcBorders>
                    <w:tl2br w:val="nil"/>
                    <w:tr2bl w:val="nil"/>
                  </w:tcBorders>
                  <w:shd w:val="clear" w:color="auto" w:fill="auto"/>
                  <w:vAlign w:val="center"/>
                </w:tcPr>
                <w:p w14:paraId="6BB2274E">
                  <w:pPr>
                    <w:pStyle w:val="93"/>
                    <w:bidi w:val="0"/>
                    <w:rPr>
                      <w:rFonts w:hint="default"/>
                      <w:lang w:val="en-US"/>
                    </w:rPr>
                  </w:pPr>
                  <w:r>
                    <w:rPr>
                      <w:rFonts w:hint="default"/>
                      <w:lang w:val="en-US" w:eastAsia="zh-CN"/>
                    </w:rPr>
                    <w:t>40</w:t>
                  </w:r>
                </w:p>
              </w:tc>
              <w:tc>
                <w:tcPr>
                  <w:tcW w:w="317" w:type="pct"/>
                  <w:tcBorders>
                    <w:tl2br w:val="nil"/>
                    <w:tr2bl w:val="nil"/>
                  </w:tcBorders>
                  <w:shd w:val="clear" w:color="auto" w:fill="auto"/>
                  <w:vAlign w:val="center"/>
                </w:tcPr>
                <w:p w14:paraId="09F64AF7">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341EA333">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48177F16">
                  <w:pPr>
                    <w:pStyle w:val="93"/>
                    <w:bidi w:val="0"/>
                    <w:rPr>
                      <w:rFonts w:hint="default"/>
                      <w:lang w:val="en-US" w:eastAsia="zh-CN"/>
                    </w:rPr>
                  </w:pPr>
                </w:p>
              </w:tc>
            </w:tr>
            <w:tr w14:paraId="6CD07F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23" w:hRule="atLeast"/>
                <w:jc w:val="center"/>
              </w:trPr>
              <w:tc>
                <w:tcPr>
                  <w:tcW w:w="236" w:type="pct"/>
                  <w:tcBorders>
                    <w:tl2br w:val="nil"/>
                    <w:tr2bl w:val="nil"/>
                  </w:tcBorders>
                  <w:shd w:val="clear" w:color="auto" w:fill="auto"/>
                  <w:vAlign w:val="center"/>
                </w:tcPr>
                <w:p w14:paraId="67D73054">
                  <w:pPr>
                    <w:pStyle w:val="93"/>
                    <w:bidi w:val="0"/>
                    <w:rPr>
                      <w:rFonts w:hint="eastAsia"/>
                    </w:rPr>
                  </w:pPr>
                  <w:r>
                    <w:rPr>
                      <w:rFonts w:hint="eastAsia"/>
                      <w:lang w:val="en-US" w:eastAsia="zh-CN"/>
                    </w:rPr>
                    <w:t>7</w:t>
                  </w:r>
                </w:p>
              </w:tc>
              <w:tc>
                <w:tcPr>
                  <w:tcW w:w="345" w:type="pct"/>
                  <w:vMerge w:val="continue"/>
                  <w:tcBorders>
                    <w:tl2br w:val="nil"/>
                    <w:tr2bl w:val="nil"/>
                  </w:tcBorders>
                  <w:shd w:val="clear" w:color="auto" w:fill="auto"/>
                  <w:vAlign w:val="center"/>
                </w:tcPr>
                <w:p w14:paraId="0E0DEA0D">
                  <w:pPr>
                    <w:pStyle w:val="93"/>
                    <w:bidi w:val="0"/>
                    <w:rPr>
                      <w:rFonts w:hint="eastAsia"/>
                    </w:rPr>
                  </w:pPr>
                </w:p>
              </w:tc>
              <w:tc>
                <w:tcPr>
                  <w:tcW w:w="1146" w:type="pct"/>
                  <w:tcBorders>
                    <w:tl2br w:val="nil"/>
                    <w:tr2bl w:val="nil"/>
                  </w:tcBorders>
                  <w:shd w:val="clear" w:color="auto" w:fill="auto"/>
                  <w:vAlign w:val="center"/>
                </w:tcPr>
                <w:p w14:paraId="4D8D1830">
                  <w:pPr>
                    <w:bidi w:val="0"/>
                    <w:rPr>
                      <w:rFonts w:hint="eastAsia"/>
                    </w:rPr>
                  </w:pPr>
                  <w:r>
                    <w:rPr>
                      <w:rFonts w:hint="eastAsia"/>
                      <w:lang w:val="en-US" w:eastAsia="zh-CN"/>
                    </w:rPr>
                    <w:t>****</w:t>
                  </w:r>
                </w:p>
              </w:tc>
              <w:tc>
                <w:tcPr>
                  <w:tcW w:w="575" w:type="pct"/>
                  <w:tcBorders>
                    <w:tl2br w:val="nil"/>
                    <w:tr2bl w:val="nil"/>
                  </w:tcBorders>
                  <w:shd w:val="clear" w:color="auto" w:fill="auto"/>
                  <w:vAlign w:val="center"/>
                </w:tcPr>
                <w:p w14:paraId="34A114E1">
                  <w:pPr>
                    <w:pStyle w:val="93"/>
                    <w:bidi w:val="0"/>
                    <w:rPr>
                      <w:rFonts w:hint="default"/>
                    </w:rPr>
                  </w:pPr>
                  <w:r>
                    <w:rPr>
                      <w:rFonts w:hint="default"/>
                      <w:lang w:val="en-US" w:eastAsia="zh-CN"/>
                    </w:rPr>
                    <w:t>75</w:t>
                  </w:r>
                </w:p>
              </w:tc>
              <w:tc>
                <w:tcPr>
                  <w:tcW w:w="390" w:type="pct"/>
                  <w:vMerge w:val="continue"/>
                  <w:tcBorders>
                    <w:tl2br w:val="nil"/>
                    <w:tr2bl w:val="nil"/>
                  </w:tcBorders>
                  <w:shd w:val="clear" w:color="auto" w:fill="auto"/>
                  <w:vAlign w:val="center"/>
                </w:tcPr>
                <w:p w14:paraId="5314F86D">
                  <w:pPr>
                    <w:pStyle w:val="93"/>
                    <w:bidi w:val="0"/>
                    <w:rPr>
                      <w:rFonts w:hint="eastAsia"/>
                    </w:rPr>
                  </w:pPr>
                </w:p>
              </w:tc>
              <w:tc>
                <w:tcPr>
                  <w:tcW w:w="238" w:type="pct"/>
                  <w:tcBorders>
                    <w:tl2br w:val="nil"/>
                    <w:tr2bl w:val="nil"/>
                  </w:tcBorders>
                  <w:shd w:val="clear" w:color="auto" w:fill="auto"/>
                  <w:vAlign w:val="center"/>
                </w:tcPr>
                <w:p w14:paraId="51276436">
                  <w:pPr>
                    <w:pStyle w:val="93"/>
                    <w:bidi w:val="0"/>
                    <w:rPr>
                      <w:rFonts w:hint="default"/>
                      <w:lang w:val="en-US" w:eastAsia="zh-CN"/>
                    </w:rPr>
                  </w:pPr>
                  <w:r>
                    <w:rPr>
                      <w:rFonts w:hint="default"/>
                      <w:lang w:val="en-US" w:eastAsia="zh-CN"/>
                    </w:rPr>
                    <w:t>29</w:t>
                  </w:r>
                </w:p>
              </w:tc>
              <w:tc>
                <w:tcPr>
                  <w:tcW w:w="358" w:type="pct"/>
                  <w:tcBorders>
                    <w:tl2br w:val="nil"/>
                    <w:tr2bl w:val="nil"/>
                  </w:tcBorders>
                  <w:shd w:val="clear" w:color="auto" w:fill="auto"/>
                  <w:vAlign w:val="center"/>
                </w:tcPr>
                <w:p w14:paraId="06DC1CE6">
                  <w:pPr>
                    <w:pStyle w:val="93"/>
                    <w:bidi w:val="0"/>
                    <w:rPr>
                      <w:rFonts w:hint="default"/>
                      <w:lang w:val="en-US"/>
                    </w:rPr>
                  </w:pPr>
                  <w:r>
                    <w:rPr>
                      <w:rFonts w:hint="default"/>
                      <w:lang w:val="en-US" w:eastAsia="zh-CN"/>
                    </w:rPr>
                    <w:t>38</w:t>
                  </w:r>
                </w:p>
              </w:tc>
              <w:tc>
                <w:tcPr>
                  <w:tcW w:w="317" w:type="pct"/>
                  <w:tcBorders>
                    <w:tl2br w:val="nil"/>
                    <w:tr2bl w:val="nil"/>
                  </w:tcBorders>
                  <w:shd w:val="clear" w:color="auto" w:fill="auto"/>
                  <w:vAlign w:val="center"/>
                </w:tcPr>
                <w:p w14:paraId="6A7DE183">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37C405CE">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79273149">
                  <w:pPr>
                    <w:pStyle w:val="93"/>
                    <w:bidi w:val="0"/>
                    <w:rPr>
                      <w:rFonts w:hint="default"/>
                      <w:lang w:val="en-US" w:eastAsia="zh-CN"/>
                    </w:rPr>
                  </w:pPr>
                </w:p>
              </w:tc>
            </w:tr>
            <w:tr w14:paraId="7C8498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236" w:type="pct"/>
                  <w:tcBorders>
                    <w:tl2br w:val="nil"/>
                    <w:tr2bl w:val="nil"/>
                  </w:tcBorders>
                  <w:shd w:val="clear" w:color="auto" w:fill="auto"/>
                  <w:vAlign w:val="center"/>
                </w:tcPr>
                <w:p w14:paraId="4031B6DE">
                  <w:pPr>
                    <w:pStyle w:val="93"/>
                    <w:bidi w:val="0"/>
                    <w:rPr>
                      <w:rFonts w:hint="eastAsia"/>
                    </w:rPr>
                  </w:pPr>
                  <w:r>
                    <w:rPr>
                      <w:rFonts w:hint="eastAsia"/>
                      <w:lang w:val="en-US" w:eastAsia="zh-CN"/>
                    </w:rPr>
                    <w:t>8</w:t>
                  </w:r>
                </w:p>
              </w:tc>
              <w:tc>
                <w:tcPr>
                  <w:tcW w:w="345" w:type="pct"/>
                  <w:vMerge w:val="continue"/>
                  <w:tcBorders>
                    <w:tl2br w:val="nil"/>
                    <w:tr2bl w:val="nil"/>
                  </w:tcBorders>
                  <w:shd w:val="clear" w:color="auto" w:fill="auto"/>
                  <w:vAlign w:val="center"/>
                </w:tcPr>
                <w:p w14:paraId="18EE8A54">
                  <w:pPr>
                    <w:pStyle w:val="93"/>
                    <w:bidi w:val="0"/>
                    <w:rPr>
                      <w:rFonts w:hint="eastAsia"/>
                    </w:rPr>
                  </w:pPr>
                </w:p>
              </w:tc>
              <w:tc>
                <w:tcPr>
                  <w:tcW w:w="1146" w:type="pct"/>
                  <w:tcBorders>
                    <w:tl2br w:val="nil"/>
                    <w:tr2bl w:val="nil"/>
                  </w:tcBorders>
                  <w:shd w:val="clear" w:color="auto" w:fill="auto"/>
                  <w:vAlign w:val="center"/>
                </w:tcPr>
                <w:p w14:paraId="0A0EA579">
                  <w:pPr>
                    <w:bidi w:val="0"/>
                    <w:rPr>
                      <w:rFonts w:hint="eastAsia"/>
                    </w:rPr>
                  </w:pPr>
                  <w:r>
                    <w:rPr>
                      <w:rFonts w:hint="eastAsia"/>
                      <w:lang w:val="en-US" w:eastAsia="zh-CN"/>
                    </w:rPr>
                    <w:t>****</w:t>
                  </w:r>
                </w:p>
              </w:tc>
              <w:tc>
                <w:tcPr>
                  <w:tcW w:w="575" w:type="pct"/>
                  <w:tcBorders>
                    <w:tl2br w:val="nil"/>
                    <w:tr2bl w:val="nil"/>
                  </w:tcBorders>
                  <w:shd w:val="clear" w:color="auto" w:fill="auto"/>
                  <w:vAlign w:val="center"/>
                </w:tcPr>
                <w:p w14:paraId="10F079BC">
                  <w:pPr>
                    <w:pStyle w:val="93"/>
                    <w:bidi w:val="0"/>
                    <w:rPr>
                      <w:rFonts w:hint="default"/>
                      <w:lang w:val="en-US" w:eastAsia="zh-CN"/>
                    </w:rPr>
                  </w:pPr>
                  <w:r>
                    <w:rPr>
                      <w:rFonts w:hint="eastAsia"/>
                      <w:lang w:val="en-US" w:eastAsia="zh-CN"/>
                    </w:rPr>
                    <w:t>75</w:t>
                  </w:r>
                </w:p>
              </w:tc>
              <w:tc>
                <w:tcPr>
                  <w:tcW w:w="390" w:type="pct"/>
                  <w:vMerge w:val="continue"/>
                  <w:tcBorders>
                    <w:tl2br w:val="nil"/>
                    <w:tr2bl w:val="nil"/>
                  </w:tcBorders>
                  <w:shd w:val="clear" w:color="auto" w:fill="auto"/>
                  <w:vAlign w:val="center"/>
                </w:tcPr>
                <w:p w14:paraId="7B42789B">
                  <w:pPr>
                    <w:pStyle w:val="93"/>
                    <w:bidi w:val="0"/>
                    <w:rPr>
                      <w:rFonts w:hint="eastAsia"/>
                    </w:rPr>
                  </w:pPr>
                </w:p>
              </w:tc>
              <w:tc>
                <w:tcPr>
                  <w:tcW w:w="238" w:type="pct"/>
                  <w:tcBorders>
                    <w:tl2br w:val="nil"/>
                    <w:tr2bl w:val="nil"/>
                  </w:tcBorders>
                  <w:shd w:val="clear" w:color="auto" w:fill="auto"/>
                  <w:vAlign w:val="center"/>
                </w:tcPr>
                <w:p w14:paraId="061769DB">
                  <w:pPr>
                    <w:pStyle w:val="93"/>
                    <w:bidi w:val="0"/>
                    <w:rPr>
                      <w:rFonts w:hint="default"/>
                      <w:lang w:val="en-US" w:eastAsia="zh-CN"/>
                    </w:rPr>
                  </w:pPr>
                  <w:r>
                    <w:rPr>
                      <w:rFonts w:hint="default"/>
                      <w:lang w:val="en-US" w:eastAsia="zh-CN"/>
                    </w:rPr>
                    <w:t>18</w:t>
                  </w:r>
                </w:p>
              </w:tc>
              <w:tc>
                <w:tcPr>
                  <w:tcW w:w="358" w:type="pct"/>
                  <w:tcBorders>
                    <w:tl2br w:val="nil"/>
                    <w:tr2bl w:val="nil"/>
                  </w:tcBorders>
                  <w:shd w:val="clear" w:color="auto" w:fill="auto"/>
                  <w:vAlign w:val="center"/>
                </w:tcPr>
                <w:p w14:paraId="0EB7F167">
                  <w:pPr>
                    <w:pStyle w:val="93"/>
                    <w:bidi w:val="0"/>
                    <w:rPr>
                      <w:rFonts w:hint="default"/>
                      <w:lang w:val="en-US"/>
                    </w:rPr>
                  </w:pPr>
                  <w:r>
                    <w:rPr>
                      <w:rFonts w:hint="default"/>
                      <w:lang w:val="en-US" w:eastAsia="zh-CN"/>
                    </w:rPr>
                    <w:t>32</w:t>
                  </w:r>
                </w:p>
              </w:tc>
              <w:tc>
                <w:tcPr>
                  <w:tcW w:w="317" w:type="pct"/>
                  <w:tcBorders>
                    <w:tl2br w:val="nil"/>
                    <w:tr2bl w:val="nil"/>
                  </w:tcBorders>
                  <w:shd w:val="clear" w:color="auto" w:fill="auto"/>
                  <w:vAlign w:val="center"/>
                </w:tcPr>
                <w:p w14:paraId="7638A473">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4459E14B">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308996BB">
                  <w:pPr>
                    <w:pStyle w:val="93"/>
                    <w:bidi w:val="0"/>
                    <w:rPr>
                      <w:rFonts w:hint="default"/>
                      <w:lang w:val="en-US" w:eastAsia="zh-CN"/>
                    </w:rPr>
                  </w:pPr>
                </w:p>
              </w:tc>
            </w:tr>
            <w:tr w14:paraId="55B2E8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36" w:type="pct"/>
                  <w:tcBorders>
                    <w:tl2br w:val="nil"/>
                    <w:tr2bl w:val="nil"/>
                  </w:tcBorders>
                  <w:shd w:val="clear" w:color="auto" w:fill="auto"/>
                  <w:vAlign w:val="center"/>
                </w:tcPr>
                <w:p w14:paraId="7BAB80D6">
                  <w:pPr>
                    <w:pStyle w:val="93"/>
                    <w:bidi w:val="0"/>
                    <w:rPr>
                      <w:rFonts w:hint="eastAsia"/>
                      <w:lang w:val="en-US" w:eastAsia="zh-CN"/>
                    </w:rPr>
                  </w:pPr>
                  <w:r>
                    <w:rPr>
                      <w:rFonts w:hint="eastAsia"/>
                      <w:lang w:val="en-US" w:eastAsia="zh-CN"/>
                    </w:rPr>
                    <w:t>9</w:t>
                  </w:r>
                </w:p>
              </w:tc>
              <w:tc>
                <w:tcPr>
                  <w:tcW w:w="345" w:type="pct"/>
                  <w:vMerge w:val="continue"/>
                  <w:tcBorders>
                    <w:tl2br w:val="nil"/>
                    <w:tr2bl w:val="nil"/>
                  </w:tcBorders>
                  <w:shd w:val="clear" w:color="auto" w:fill="auto"/>
                  <w:vAlign w:val="center"/>
                </w:tcPr>
                <w:p w14:paraId="32F7CD72">
                  <w:pPr>
                    <w:pStyle w:val="93"/>
                    <w:bidi w:val="0"/>
                    <w:rPr>
                      <w:rFonts w:hint="eastAsia"/>
                    </w:rPr>
                  </w:pPr>
                </w:p>
              </w:tc>
              <w:tc>
                <w:tcPr>
                  <w:tcW w:w="1146" w:type="pct"/>
                  <w:tcBorders>
                    <w:tl2br w:val="nil"/>
                    <w:tr2bl w:val="nil"/>
                  </w:tcBorders>
                  <w:shd w:val="clear" w:color="auto" w:fill="auto"/>
                  <w:vAlign w:val="center"/>
                </w:tcPr>
                <w:p w14:paraId="12527A44">
                  <w:pPr>
                    <w:bidi w:val="0"/>
                    <w:rPr>
                      <w:rFonts w:hint="eastAsia"/>
                      <w:lang w:val="en-US" w:eastAsia="zh-CN"/>
                    </w:rPr>
                  </w:pPr>
                  <w:r>
                    <w:rPr>
                      <w:rFonts w:hint="eastAsia"/>
                      <w:lang w:val="en-US" w:eastAsia="zh-CN"/>
                    </w:rPr>
                    <w:t>****</w:t>
                  </w:r>
                </w:p>
              </w:tc>
              <w:tc>
                <w:tcPr>
                  <w:tcW w:w="575" w:type="pct"/>
                  <w:tcBorders>
                    <w:tl2br w:val="nil"/>
                    <w:tr2bl w:val="nil"/>
                  </w:tcBorders>
                  <w:shd w:val="clear" w:color="auto" w:fill="auto"/>
                  <w:vAlign w:val="center"/>
                </w:tcPr>
                <w:p w14:paraId="716AD2EE">
                  <w:pPr>
                    <w:pStyle w:val="93"/>
                    <w:bidi w:val="0"/>
                    <w:rPr>
                      <w:rFonts w:hint="default"/>
                      <w:lang w:val="en-US" w:eastAsia="zh-CN"/>
                    </w:rPr>
                  </w:pPr>
                  <w:r>
                    <w:rPr>
                      <w:rFonts w:hint="eastAsia"/>
                      <w:lang w:val="en-US" w:eastAsia="zh-CN"/>
                    </w:rPr>
                    <w:t>75</w:t>
                  </w:r>
                </w:p>
              </w:tc>
              <w:tc>
                <w:tcPr>
                  <w:tcW w:w="390" w:type="pct"/>
                  <w:vMerge w:val="continue"/>
                  <w:tcBorders>
                    <w:tl2br w:val="nil"/>
                    <w:tr2bl w:val="nil"/>
                  </w:tcBorders>
                  <w:shd w:val="clear" w:color="auto" w:fill="auto"/>
                  <w:vAlign w:val="center"/>
                </w:tcPr>
                <w:p w14:paraId="550C87A4">
                  <w:pPr>
                    <w:pStyle w:val="93"/>
                    <w:bidi w:val="0"/>
                    <w:rPr>
                      <w:rFonts w:hint="eastAsia"/>
                    </w:rPr>
                  </w:pPr>
                </w:p>
              </w:tc>
              <w:tc>
                <w:tcPr>
                  <w:tcW w:w="238" w:type="pct"/>
                  <w:tcBorders>
                    <w:tl2br w:val="nil"/>
                    <w:tr2bl w:val="nil"/>
                  </w:tcBorders>
                  <w:shd w:val="clear" w:color="auto" w:fill="auto"/>
                  <w:vAlign w:val="center"/>
                </w:tcPr>
                <w:p w14:paraId="2C584EFF">
                  <w:pPr>
                    <w:pStyle w:val="93"/>
                    <w:bidi w:val="0"/>
                    <w:rPr>
                      <w:rFonts w:hint="default"/>
                      <w:lang w:val="en-US" w:eastAsia="zh-CN"/>
                    </w:rPr>
                  </w:pPr>
                  <w:r>
                    <w:rPr>
                      <w:rFonts w:hint="default"/>
                      <w:lang w:val="en-US" w:eastAsia="zh-CN"/>
                    </w:rPr>
                    <w:t>20</w:t>
                  </w:r>
                </w:p>
              </w:tc>
              <w:tc>
                <w:tcPr>
                  <w:tcW w:w="358" w:type="pct"/>
                  <w:tcBorders>
                    <w:tl2br w:val="nil"/>
                    <w:tr2bl w:val="nil"/>
                  </w:tcBorders>
                  <w:shd w:val="clear" w:color="auto" w:fill="auto"/>
                  <w:vAlign w:val="center"/>
                </w:tcPr>
                <w:p w14:paraId="7C426ECA">
                  <w:pPr>
                    <w:pStyle w:val="93"/>
                    <w:bidi w:val="0"/>
                    <w:rPr>
                      <w:rFonts w:hint="default"/>
                      <w:lang w:val="en-US" w:eastAsia="zh-CN"/>
                    </w:rPr>
                  </w:pPr>
                  <w:r>
                    <w:rPr>
                      <w:rFonts w:hint="default"/>
                      <w:lang w:val="en-US" w:eastAsia="zh-CN"/>
                    </w:rPr>
                    <w:t>33</w:t>
                  </w:r>
                </w:p>
              </w:tc>
              <w:tc>
                <w:tcPr>
                  <w:tcW w:w="317" w:type="pct"/>
                  <w:tcBorders>
                    <w:tl2br w:val="nil"/>
                    <w:tr2bl w:val="nil"/>
                  </w:tcBorders>
                  <w:shd w:val="clear" w:color="auto" w:fill="auto"/>
                  <w:vAlign w:val="center"/>
                </w:tcPr>
                <w:p w14:paraId="5B8CC2B3">
                  <w:pPr>
                    <w:pStyle w:val="93"/>
                    <w:bidi w:val="0"/>
                    <w:rPr>
                      <w:rFonts w:hint="default"/>
                      <w:lang w:val="en-US" w:eastAsia="zh-CN"/>
                    </w:rPr>
                  </w:pPr>
                  <w:r>
                    <w:rPr>
                      <w:rFonts w:hint="default"/>
                      <w:lang w:val="en-US" w:eastAsia="zh-CN"/>
                    </w:rPr>
                    <w:t>12</w:t>
                  </w:r>
                </w:p>
              </w:tc>
              <w:tc>
                <w:tcPr>
                  <w:tcW w:w="691" w:type="pct"/>
                  <w:tcBorders>
                    <w:tl2br w:val="nil"/>
                    <w:tr2bl w:val="nil"/>
                  </w:tcBorders>
                  <w:shd w:val="clear" w:color="auto" w:fill="auto"/>
                  <w:vAlign w:val="center"/>
                </w:tcPr>
                <w:p w14:paraId="11EA7504">
                  <w:pPr>
                    <w:pStyle w:val="93"/>
                    <w:bidi w:val="0"/>
                    <w:rPr>
                      <w:rFonts w:hint="default"/>
                      <w:lang w:val="en-US" w:eastAsia="zh-CN"/>
                    </w:rPr>
                  </w:pPr>
                  <w:r>
                    <w:rPr>
                      <w:rFonts w:hint="default"/>
                      <w:lang w:val="en-US" w:eastAsia="zh-CN"/>
                    </w:rPr>
                    <w:t>20</w:t>
                  </w:r>
                </w:p>
              </w:tc>
              <w:tc>
                <w:tcPr>
                  <w:tcW w:w="701" w:type="pct"/>
                  <w:vMerge w:val="continue"/>
                  <w:tcBorders>
                    <w:tl2br w:val="nil"/>
                    <w:tr2bl w:val="nil"/>
                  </w:tcBorders>
                  <w:shd w:val="clear" w:color="auto" w:fill="auto"/>
                  <w:vAlign w:val="center"/>
                </w:tcPr>
                <w:p w14:paraId="4715D862">
                  <w:pPr>
                    <w:pStyle w:val="93"/>
                    <w:bidi w:val="0"/>
                    <w:rPr>
                      <w:rFonts w:hint="default"/>
                      <w:lang w:val="en-US" w:eastAsia="zh-CN"/>
                    </w:rPr>
                  </w:pPr>
                </w:p>
              </w:tc>
            </w:tr>
            <w:tr w14:paraId="6DA0CD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236" w:type="pct"/>
                  <w:tcBorders>
                    <w:tl2br w:val="nil"/>
                    <w:tr2bl w:val="nil"/>
                  </w:tcBorders>
                  <w:shd w:val="clear" w:color="auto" w:fill="auto"/>
                  <w:vAlign w:val="center"/>
                </w:tcPr>
                <w:p w14:paraId="6BC11E68">
                  <w:pPr>
                    <w:pStyle w:val="93"/>
                    <w:bidi w:val="0"/>
                    <w:rPr>
                      <w:rFonts w:hint="eastAsia"/>
                    </w:rPr>
                  </w:pPr>
                  <w:r>
                    <w:rPr>
                      <w:rFonts w:hint="eastAsia"/>
                      <w:lang w:val="en-US" w:eastAsia="zh-CN"/>
                    </w:rPr>
                    <w:t>10</w:t>
                  </w:r>
                </w:p>
              </w:tc>
              <w:tc>
                <w:tcPr>
                  <w:tcW w:w="345" w:type="pct"/>
                  <w:vMerge w:val="continue"/>
                  <w:tcBorders>
                    <w:tl2br w:val="nil"/>
                    <w:tr2bl w:val="nil"/>
                  </w:tcBorders>
                  <w:shd w:val="clear" w:color="auto" w:fill="auto"/>
                  <w:vAlign w:val="center"/>
                </w:tcPr>
                <w:p w14:paraId="02994113">
                  <w:pPr>
                    <w:pStyle w:val="93"/>
                    <w:bidi w:val="0"/>
                    <w:rPr>
                      <w:rFonts w:hint="eastAsia"/>
                    </w:rPr>
                  </w:pPr>
                </w:p>
              </w:tc>
              <w:tc>
                <w:tcPr>
                  <w:tcW w:w="1146" w:type="pct"/>
                  <w:tcBorders>
                    <w:tl2br w:val="nil"/>
                    <w:tr2bl w:val="nil"/>
                  </w:tcBorders>
                  <w:shd w:val="clear" w:color="auto" w:fill="auto"/>
                  <w:vAlign w:val="center"/>
                </w:tcPr>
                <w:p w14:paraId="4E353674">
                  <w:pPr>
                    <w:bidi w:val="0"/>
                    <w:rPr>
                      <w:rFonts w:hint="eastAsia"/>
                    </w:rPr>
                  </w:pPr>
                  <w:r>
                    <w:rPr>
                      <w:rFonts w:hint="eastAsia"/>
                      <w:lang w:val="en-US" w:eastAsia="zh-CN"/>
                    </w:rPr>
                    <w:t>****</w:t>
                  </w:r>
                </w:p>
              </w:tc>
              <w:tc>
                <w:tcPr>
                  <w:tcW w:w="575" w:type="pct"/>
                  <w:tcBorders>
                    <w:tl2br w:val="nil"/>
                    <w:tr2bl w:val="nil"/>
                  </w:tcBorders>
                  <w:shd w:val="clear" w:color="auto" w:fill="auto"/>
                  <w:vAlign w:val="center"/>
                </w:tcPr>
                <w:p w14:paraId="49650A28">
                  <w:pPr>
                    <w:pStyle w:val="93"/>
                    <w:bidi w:val="0"/>
                    <w:rPr>
                      <w:rFonts w:hint="default"/>
                      <w:lang w:val="en-US" w:eastAsia="zh-CN"/>
                    </w:rPr>
                  </w:pPr>
                  <w:r>
                    <w:rPr>
                      <w:rFonts w:hint="eastAsia"/>
                      <w:lang w:val="en-US" w:eastAsia="zh-CN"/>
                    </w:rPr>
                    <w:t>75</w:t>
                  </w:r>
                </w:p>
              </w:tc>
              <w:tc>
                <w:tcPr>
                  <w:tcW w:w="390" w:type="pct"/>
                  <w:vMerge w:val="continue"/>
                  <w:tcBorders>
                    <w:tl2br w:val="nil"/>
                    <w:tr2bl w:val="nil"/>
                  </w:tcBorders>
                  <w:shd w:val="clear" w:color="auto" w:fill="auto"/>
                  <w:vAlign w:val="center"/>
                </w:tcPr>
                <w:p w14:paraId="10D54874">
                  <w:pPr>
                    <w:pStyle w:val="93"/>
                    <w:bidi w:val="0"/>
                    <w:rPr>
                      <w:rFonts w:hint="eastAsia"/>
                    </w:rPr>
                  </w:pPr>
                </w:p>
              </w:tc>
              <w:tc>
                <w:tcPr>
                  <w:tcW w:w="238" w:type="pct"/>
                  <w:tcBorders>
                    <w:tl2br w:val="nil"/>
                    <w:tr2bl w:val="nil"/>
                  </w:tcBorders>
                  <w:shd w:val="clear" w:color="auto" w:fill="auto"/>
                  <w:vAlign w:val="center"/>
                </w:tcPr>
                <w:p w14:paraId="40D361E8">
                  <w:pPr>
                    <w:pStyle w:val="93"/>
                    <w:bidi w:val="0"/>
                    <w:rPr>
                      <w:rFonts w:hint="eastAsia"/>
                      <w:lang w:val="en-US" w:eastAsia="zh-CN"/>
                    </w:rPr>
                  </w:pPr>
                  <w:r>
                    <w:rPr>
                      <w:rFonts w:hint="default"/>
                      <w:lang w:val="en-US" w:eastAsia="zh-CN"/>
                    </w:rPr>
                    <w:t>8</w:t>
                  </w:r>
                </w:p>
              </w:tc>
              <w:tc>
                <w:tcPr>
                  <w:tcW w:w="358" w:type="pct"/>
                  <w:tcBorders>
                    <w:tl2br w:val="nil"/>
                    <w:tr2bl w:val="nil"/>
                  </w:tcBorders>
                  <w:shd w:val="clear" w:color="auto" w:fill="auto"/>
                  <w:vAlign w:val="center"/>
                </w:tcPr>
                <w:p w14:paraId="3E8165C2">
                  <w:pPr>
                    <w:pStyle w:val="93"/>
                    <w:bidi w:val="0"/>
                    <w:rPr>
                      <w:rFonts w:hint="default"/>
                      <w:lang w:val="en-US" w:eastAsia="zh-CN"/>
                    </w:rPr>
                  </w:pPr>
                  <w:r>
                    <w:rPr>
                      <w:rFonts w:hint="default"/>
                      <w:lang w:val="en-US" w:eastAsia="zh-CN"/>
                    </w:rPr>
                    <w:t>24</w:t>
                  </w:r>
                </w:p>
              </w:tc>
              <w:tc>
                <w:tcPr>
                  <w:tcW w:w="317" w:type="pct"/>
                  <w:tcBorders>
                    <w:tl2br w:val="nil"/>
                    <w:tr2bl w:val="nil"/>
                  </w:tcBorders>
                  <w:shd w:val="clear" w:color="auto" w:fill="auto"/>
                  <w:vAlign w:val="center"/>
                </w:tcPr>
                <w:p w14:paraId="30647B98">
                  <w:pPr>
                    <w:pStyle w:val="93"/>
                    <w:bidi w:val="0"/>
                    <w:rPr>
                      <w:rFonts w:hint="default"/>
                    </w:rPr>
                  </w:pPr>
                  <w:r>
                    <w:rPr>
                      <w:rFonts w:hint="default"/>
                      <w:lang w:val="en-US" w:eastAsia="zh-CN"/>
                    </w:rPr>
                    <w:t>12</w:t>
                  </w:r>
                </w:p>
              </w:tc>
              <w:tc>
                <w:tcPr>
                  <w:tcW w:w="691" w:type="pct"/>
                  <w:tcBorders>
                    <w:tl2br w:val="nil"/>
                    <w:tr2bl w:val="nil"/>
                  </w:tcBorders>
                  <w:shd w:val="clear" w:color="auto" w:fill="auto"/>
                  <w:vAlign w:val="center"/>
                </w:tcPr>
                <w:p w14:paraId="75D4E6F5">
                  <w:pPr>
                    <w:pStyle w:val="93"/>
                    <w:bidi w:val="0"/>
                    <w:rPr>
                      <w:rFonts w:hint="default"/>
                    </w:rPr>
                  </w:pPr>
                  <w:r>
                    <w:rPr>
                      <w:rFonts w:hint="default"/>
                      <w:lang w:val="en-US" w:eastAsia="zh-CN"/>
                    </w:rPr>
                    <w:t>20</w:t>
                  </w:r>
                </w:p>
              </w:tc>
              <w:tc>
                <w:tcPr>
                  <w:tcW w:w="701" w:type="pct"/>
                  <w:vMerge w:val="continue"/>
                  <w:tcBorders>
                    <w:tl2br w:val="nil"/>
                    <w:tr2bl w:val="nil"/>
                  </w:tcBorders>
                  <w:shd w:val="clear" w:color="auto" w:fill="auto"/>
                  <w:vAlign w:val="center"/>
                </w:tcPr>
                <w:p w14:paraId="7A6D4B45">
                  <w:pPr>
                    <w:pStyle w:val="93"/>
                    <w:bidi w:val="0"/>
                    <w:rPr>
                      <w:rFonts w:hint="default"/>
                      <w:lang w:val="en-US" w:eastAsia="zh-CN"/>
                    </w:rPr>
                  </w:pPr>
                </w:p>
              </w:tc>
            </w:tr>
          </w:tbl>
          <w:p w14:paraId="40ECB938">
            <w:pPr>
              <w:pStyle w:val="43"/>
              <w:bidi w:val="0"/>
              <w:ind w:firstLine="0" w:firstLineChars="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注：空间相对位置X，Y，Z以厂房西北侧建筑物左下角为起点(0,0,0)</w:t>
            </w:r>
          </w:p>
          <w:p w14:paraId="1082103A">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参照高等教育出版社，《环境噪声控制工程》</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洪宗辉主编、潘仲麟副主编</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书籍中表8-2 常见双层墙的隔声量可知，双层75厚加气混凝土(中空75</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表面粉刷)，平均隔声量为54</w:t>
            </w:r>
            <w:r>
              <w:rPr>
                <w:rFonts w:hint="default" w:ascii="Times New Roman" w:hAnsi="Times New Roman" w:cs="Times New Roman"/>
                <w:color w:val="000000" w:themeColor="text1"/>
                <w:lang w:eastAsia="zh-CN"/>
                <w14:textFill>
                  <w14:solidFill>
                    <w14:schemeClr w14:val="tx1"/>
                  </w14:solidFill>
                </w14:textFill>
              </w:rPr>
              <w:t>dB(A</w:t>
            </w:r>
            <w:r>
              <w:rPr>
                <w:rFonts w:hint="default" w:ascii="Times New Roman" w:hAnsi="Times New Roman" w:cs="Times New Roman"/>
                <w:color w:val="000000" w:themeColor="text1"/>
                <w:lang w:val="en-US" w:eastAsia="zh-CN"/>
                <w14:textFill>
                  <w14:solidFill>
                    <w14:schemeClr w14:val="tx1"/>
                  </w14:solidFill>
                </w14:textFill>
              </w:rPr>
              <w:t>)。由于考虑实际运营生产中需门窗通风，导致不能一直保持密闭状态。因此本评价考虑最不利因素，采取双层75厚加气混凝土(中空75</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表面粉刷)、设备基础减振等、设备基础减振等措施后，噪声隔声量取</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lang w:eastAsia="zh-CN"/>
                <w14:textFill>
                  <w14:solidFill>
                    <w14:schemeClr w14:val="tx1"/>
                  </w14:solidFill>
                </w14:textFill>
              </w:rPr>
              <w:t>dB(A</w:t>
            </w:r>
            <w:r>
              <w:rPr>
                <w:rFonts w:hint="default" w:ascii="Times New Roman" w:hAnsi="Times New Roman" w:cs="Times New Roman"/>
                <w:color w:val="000000" w:themeColor="text1"/>
                <w:lang w:val="en-US" w:eastAsia="zh-CN"/>
                <w14:textFill>
                  <w14:solidFill>
                    <w14:schemeClr w14:val="tx1"/>
                  </w14:solidFill>
                </w14:textFill>
              </w:rPr>
              <w:t>)。</w:t>
            </w:r>
          </w:p>
          <w:p w14:paraId="4020220C">
            <w:pPr>
              <w:pStyle w:val="81"/>
              <w:bidi w:val="0"/>
            </w:pPr>
            <w:r>
              <w:rPr>
                <w:rFonts w:hint="default"/>
                <w:lang w:val="en-US" w:eastAsia="zh-CN"/>
              </w:rPr>
              <w:t>表4.</w:t>
            </w:r>
            <w:r>
              <w:rPr>
                <w:rFonts w:hint="eastAsia"/>
                <w:lang w:val="en-US" w:eastAsia="zh-CN"/>
              </w:rPr>
              <w:t>4</w:t>
            </w:r>
            <w:r>
              <w:rPr>
                <w:rFonts w:hint="default"/>
                <w:lang w:val="en-US" w:eastAsia="zh-CN"/>
              </w:rPr>
              <w:t>-2</w:t>
            </w:r>
            <w:r>
              <w:rPr>
                <w:rFonts w:hint="eastAsia"/>
                <w:lang w:val="en-US" w:eastAsia="zh-CN"/>
              </w:rPr>
              <w:t xml:space="preserve">  </w:t>
            </w:r>
            <w:r>
              <w:t>工业企业噪声源强调查清单（室外声源）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35"/>
              <w:gridCol w:w="815"/>
              <w:gridCol w:w="526"/>
              <w:gridCol w:w="504"/>
              <w:gridCol w:w="389"/>
              <w:gridCol w:w="332"/>
              <w:gridCol w:w="670"/>
              <w:gridCol w:w="2478"/>
              <w:gridCol w:w="1558"/>
              <w:gridCol w:w="811"/>
            </w:tblGrid>
            <w:tr w14:paraId="5E1ABDB8">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99" w:type="pct"/>
                  <w:vMerge w:val="restart"/>
                  <w:tcBorders>
                    <w:tl2br w:val="nil"/>
                    <w:tr2bl w:val="nil"/>
                  </w:tcBorders>
                  <w:noWrap w:val="0"/>
                  <w:vAlign w:val="center"/>
                </w:tcPr>
                <w:p w14:paraId="0DF00A03">
                  <w:pPr>
                    <w:pStyle w:val="91"/>
                    <w:bidi w:val="0"/>
                  </w:pPr>
                  <w:r>
                    <w:t>序号</w:t>
                  </w:r>
                </w:p>
              </w:tc>
              <w:tc>
                <w:tcPr>
                  <w:tcW w:w="484" w:type="pct"/>
                  <w:vMerge w:val="restart"/>
                  <w:tcBorders>
                    <w:tl2br w:val="nil"/>
                    <w:tr2bl w:val="nil"/>
                  </w:tcBorders>
                  <w:noWrap w:val="0"/>
                  <w:vAlign w:val="center"/>
                </w:tcPr>
                <w:p w14:paraId="0B866784">
                  <w:pPr>
                    <w:pStyle w:val="91"/>
                    <w:bidi w:val="0"/>
                  </w:pPr>
                  <w:r>
                    <w:t>声源名称</w:t>
                  </w:r>
                </w:p>
              </w:tc>
              <w:tc>
                <w:tcPr>
                  <w:tcW w:w="312" w:type="pct"/>
                  <w:vMerge w:val="restart"/>
                  <w:tcBorders>
                    <w:tl2br w:val="nil"/>
                    <w:tr2bl w:val="nil"/>
                  </w:tcBorders>
                  <w:noWrap w:val="0"/>
                  <w:vAlign w:val="center"/>
                </w:tcPr>
                <w:p w14:paraId="7369517F">
                  <w:pPr>
                    <w:pStyle w:val="91"/>
                    <w:bidi w:val="0"/>
                  </w:pPr>
                  <w:r>
                    <w:t>型号</w:t>
                  </w:r>
                </w:p>
              </w:tc>
              <w:tc>
                <w:tcPr>
                  <w:tcW w:w="727" w:type="pct"/>
                  <w:gridSpan w:val="3"/>
                  <w:tcBorders>
                    <w:tl2br w:val="nil"/>
                    <w:tr2bl w:val="nil"/>
                  </w:tcBorders>
                  <w:noWrap w:val="0"/>
                  <w:vAlign w:val="center"/>
                </w:tcPr>
                <w:p w14:paraId="6118D1F1">
                  <w:pPr>
                    <w:pStyle w:val="91"/>
                    <w:bidi w:val="0"/>
                  </w:pPr>
                  <w:r>
                    <w:t>空间相对位置/m</w:t>
                  </w:r>
                </w:p>
              </w:tc>
              <w:tc>
                <w:tcPr>
                  <w:tcW w:w="1869" w:type="pct"/>
                  <w:gridSpan w:val="2"/>
                  <w:tcBorders>
                    <w:tl2br w:val="nil"/>
                    <w:tr2bl w:val="nil"/>
                  </w:tcBorders>
                  <w:noWrap w:val="0"/>
                  <w:vAlign w:val="center"/>
                </w:tcPr>
                <w:p w14:paraId="5E292BC1">
                  <w:pPr>
                    <w:pStyle w:val="91"/>
                    <w:bidi w:val="0"/>
                  </w:pPr>
                  <w:r>
                    <w:t>声源源强</w:t>
                  </w:r>
                </w:p>
              </w:tc>
              <w:tc>
                <w:tcPr>
                  <w:tcW w:w="925" w:type="pct"/>
                  <w:vMerge w:val="restart"/>
                  <w:tcBorders>
                    <w:tl2br w:val="nil"/>
                    <w:tr2bl w:val="nil"/>
                  </w:tcBorders>
                  <w:noWrap w:val="0"/>
                  <w:vAlign w:val="center"/>
                </w:tcPr>
                <w:p w14:paraId="6D078863">
                  <w:pPr>
                    <w:pStyle w:val="91"/>
                    <w:bidi w:val="0"/>
                  </w:pPr>
                  <w:r>
                    <w:t>声源控制措施</w:t>
                  </w:r>
                </w:p>
              </w:tc>
              <w:tc>
                <w:tcPr>
                  <w:tcW w:w="481" w:type="pct"/>
                  <w:vMerge w:val="restart"/>
                  <w:tcBorders>
                    <w:tl2br w:val="nil"/>
                    <w:tr2bl w:val="nil"/>
                  </w:tcBorders>
                  <w:noWrap w:val="0"/>
                  <w:vAlign w:val="center"/>
                </w:tcPr>
                <w:p w14:paraId="5D287BE7">
                  <w:pPr>
                    <w:pStyle w:val="91"/>
                    <w:bidi w:val="0"/>
                  </w:pPr>
                  <w:r>
                    <w:t>运行时段</w:t>
                  </w:r>
                </w:p>
              </w:tc>
            </w:tr>
            <w:tr w14:paraId="2146D1CE">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99" w:type="pct"/>
                  <w:vMerge w:val="continue"/>
                  <w:tcBorders>
                    <w:tl2br w:val="nil"/>
                    <w:tr2bl w:val="nil"/>
                  </w:tcBorders>
                  <w:noWrap w:val="0"/>
                  <w:vAlign w:val="center"/>
                </w:tcPr>
                <w:p w14:paraId="5F5BCDF5">
                  <w:pPr>
                    <w:pStyle w:val="91"/>
                    <w:bidi w:val="0"/>
                  </w:pPr>
                </w:p>
              </w:tc>
              <w:tc>
                <w:tcPr>
                  <w:tcW w:w="484" w:type="pct"/>
                  <w:vMerge w:val="continue"/>
                  <w:tcBorders>
                    <w:tl2br w:val="nil"/>
                    <w:tr2bl w:val="nil"/>
                  </w:tcBorders>
                  <w:noWrap w:val="0"/>
                  <w:vAlign w:val="center"/>
                </w:tcPr>
                <w:p w14:paraId="4470E738">
                  <w:pPr>
                    <w:pStyle w:val="91"/>
                    <w:bidi w:val="0"/>
                  </w:pPr>
                </w:p>
              </w:tc>
              <w:tc>
                <w:tcPr>
                  <w:tcW w:w="312" w:type="pct"/>
                  <w:vMerge w:val="continue"/>
                  <w:tcBorders>
                    <w:tl2br w:val="nil"/>
                    <w:tr2bl w:val="nil"/>
                  </w:tcBorders>
                  <w:noWrap w:val="0"/>
                  <w:vAlign w:val="center"/>
                </w:tcPr>
                <w:p w14:paraId="395EDD01">
                  <w:pPr>
                    <w:pStyle w:val="91"/>
                    <w:bidi w:val="0"/>
                  </w:pPr>
                </w:p>
              </w:tc>
              <w:tc>
                <w:tcPr>
                  <w:tcW w:w="299" w:type="pct"/>
                  <w:tcBorders>
                    <w:tl2br w:val="nil"/>
                    <w:tr2bl w:val="nil"/>
                  </w:tcBorders>
                  <w:noWrap w:val="0"/>
                  <w:vAlign w:val="center"/>
                </w:tcPr>
                <w:p w14:paraId="33214E29">
                  <w:pPr>
                    <w:pStyle w:val="91"/>
                    <w:bidi w:val="0"/>
                  </w:pPr>
                  <w:r>
                    <w:t>X</w:t>
                  </w:r>
                </w:p>
              </w:tc>
              <w:tc>
                <w:tcPr>
                  <w:tcW w:w="231" w:type="pct"/>
                  <w:tcBorders>
                    <w:tl2br w:val="nil"/>
                    <w:tr2bl w:val="nil"/>
                  </w:tcBorders>
                  <w:noWrap w:val="0"/>
                  <w:vAlign w:val="center"/>
                </w:tcPr>
                <w:p w14:paraId="795731CA">
                  <w:pPr>
                    <w:pStyle w:val="91"/>
                    <w:bidi w:val="0"/>
                  </w:pPr>
                  <w:r>
                    <w:t>Y</w:t>
                  </w:r>
                </w:p>
              </w:tc>
              <w:tc>
                <w:tcPr>
                  <w:tcW w:w="197" w:type="pct"/>
                  <w:tcBorders>
                    <w:tl2br w:val="nil"/>
                    <w:tr2bl w:val="nil"/>
                  </w:tcBorders>
                  <w:noWrap w:val="0"/>
                  <w:vAlign w:val="center"/>
                </w:tcPr>
                <w:p w14:paraId="670438BF">
                  <w:pPr>
                    <w:pStyle w:val="91"/>
                    <w:bidi w:val="0"/>
                  </w:pPr>
                  <w:r>
                    <w:t>Z</w:t>
                  </w:r>
                </w:p>
              </w:tc>
              <w:tc>
                <w:tcPr>
                  <w:tcW w:w="398" w:type="pct"/>
                  <w:tcBorders>
                    <w:tl2br w:val="nil"/>
                    <w:tr2bl w:val="nil"/>
                  </w:tcBorders>
                  <w:noWrap w:val="0"/>
                  <w:vAlign w:val="center"/>
                </w:tcPr>
                <w:p w14:paraId="00C0488C">
                  <w:pPr>
                    <w:pStyle w:val="91"/>
                    <w:bidi w:val="0"/>
                  </w:pPr>
                  <w:r>
                    <w:t>核算方法</w:t>
                  </w:r>
                </w:p>
              </w:tc>
              <w:tc>
                <w:tcPr>
                  <w:tcW w:w="1470" w:type="pct"/>
                  <w:tcBorders>
                    <w:tl2br w:val="nil"/>
                    <w:tr2bl w:val="nil"/>
                  </w:tcBorders>
                  <w:noWrap w:val="0"/>
                  <w:vAlign w:val="center"/>
                </w:tcPr>
                <w:p w14:paraId="77AC2F66">
                  <w:pPr>
                    <w:pStyle w:val="91"/>
                    <w:bidi w:val="0"/>
                  </w:pPr>
                  <w:r>
                    <w:t>（声压级/距声源距离）/（dB（A）/m）</w:t>
                  </w:r>
                </w:p>
              </w:tc>
              <w:tc>
                <w:tcPr>
                  <w:tcW w:w="925" w:type="pct"/>
                  <w:vMerge w:val="continue"/>
                  <w:tcBorders>
                    <w:tl2br w:val="nil"/>
                    <w:tr2bl w:val="nil"/>
                  </w:tcBorders>
                  <w:noWrap w:val="0"/>
                  <w:vAlign w:val="center"/>
                </w:tcPr>
                <w:p w14:paraId="04670273">
                  <w:pPr>
                    <w:pStyle w:val="91"/>
                    <w:bidi w:val="0"/>
                  </w:pPr>
                </w:p>
              </w:tc>
              <w:tc>
                <w:tcPr>
                  <w:tcW w:w="481" w:type="pct"/>
                  <w:vMerge w:val="continue"/>
                  <w:tcBorders>
                    <w:tl2br w:val="nil"/>
                    <w:tr2bl w:val="nil"/>
                  </w:tcBorders>
                  <w:noWrap w:val="0"/>
                  <w:vAlign w:val="center"/>
                </w:tcPr>
                <w:p w14:paraId="2D2D48CE">
                  <w:pPr>
                    <w:pStyle w:val="91"/>
                    <w:bidi w:val="0"/>
                  </w:pPr>
                </w:p>
              </w:tc>
            </w:tr>
            <w:tr w14:paraId="38B609DC">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99" w:type="pct"/>
                  <w:tcBorders>
                    <w:tl2br w:val="nil"/>
                    <w:tr2bl w:val="nil"/>
                  </w:tcBorders>
                  <w:noWrap w:val="0"/>
                  <w:vAlign w:val="center"/>
                </w:tcPr>
                <w:p w14:paraId="3A80F103">
                  <w:pPr>
                    <w:pStyle w:val="91"/>
                    <w:bidi w:val="0"/>
                  </w:pPr>
                  <w:r>
                    <w:t>1</w:t>
                  </w:r>
                </w:p>
              </w:tc>
              <w:tc>
                <w:tcPr>
                  <w:tcW w:w="484" w:type="pct"/>
                  <w:tcBorders>
                    <w:tl2br w:val="nil"/>
                    <w:tr2bl w:val="nil"/>
                  </w:tcBorders>
                  <w:noWrap w:val="0"/>
                  <w:vAlign w:val="center"/>
                </w:tcPr>
                <w:p w14:paraId="24F5D508">
                  <w:pPr>
                    <w:pStyle w:val="91"/>
                    <w:bidi w:val="0"/>
                  </w:pPr>
                  <w:r>
                    <w:t>风机</w:t>
                  </w:r>
                </w:p>
              </w:tc>
              <w:tc>
                <w:tcPr>
                  <w:tcW w:w="312" w:type="pct"/>
                  <w:tcBorders>
                    <w:tl2br w:val="nil"/>
                    <w:tr2bl w:val="nil"/>
                  </w:tcBorders>
                  <w:noWrap w:val="0"/>
                  <w:vAlign w:val="center"/>
                </w:tcPr>
                <w:p w14:paraId="74448222">
                  <w:pPr>
                    <w:pStyle w:val="91"/>
                    <w:bidi w:val="0"/>
                  </w:pPr>
                  <w:r>
                    <w:t>/</w:t>
                  </w:r>
                </w:p>
              </w:tc>
              <w:tc>
                <w:tcPr>
                  <w:tcW w:w="299" w:type="pct"/>
                  <w:tcBorders>
                    <w:tl2br w:val="nil"/>
                    <w:tr2bl w:val="nil"/>
                  </w:tcBorders>
                  <w:noWrap w:val="0"/>
                  <w:vAlign w:val="center"/>
                </w:tcPr>
                <w:p w14:paraId="1CD191EB">
                  <w:pPr>
                    <w:pStyle w:val="91"/>
                    <w:bidi w:val="0"/>
                    <w:rPr>
                      <w:rFonts w:hint="default" w:eastAsia="宋体"/>
                      <w:lang w:val="en-US" w:eastAsia="zh-CN"/>
                    </w:rPr>
                  </w:pPr>
                  <w:r>
                    <w:rPr>
                      <w:rFonts w:hint="eastAsia"/>
                      <w:lang w:val="en-US" w:eastAsia="zh-CN"/>
                    </w:rPr>
                    <w:t>24</w:t>
                  </w:r>
                </w:p>
              </w:tc>
              <w:tc>
                <w:tcPr>
                  <w:tcW w:w="231" w:type="pct"/>
                  <w:tcBorders>
                    <w:tl2br w:val="nil"/>
                    <w:tr2bl w:val="nil"/>
                  </w:tcBorders>
                  <w:noWrap w:val="0"/>
                  <w:vAlign w:val="center"/>
                </w:tcPr>
                <w:p w14:paraId="36DC367D">
                  <w:pPr>
                    <w:pStyle w:val="91"/>
                    <w:bidi w:val="0"/>
                    <w:rPr>
                      <w:rFonts w:hint="default" w:eastAsia="宋体"/>
                      <w:lang w:val="en-US" w:eastAsia="zh-CN"/>
                    </w:rPr>
                  </w:pPr>
                  <w:r>
                    <w:rPr>
                      <w:rFonts w:hint="eastAsia"/>
                      <w:lang w:val="en-US" w:eastAsia="zh-CN"/>
                    </w:rPr>
                    <w:t>42</w:t>
                  </w:r>
                </w:p>
              </w:tc>
              <w:tc>
                <w:tcPr>
                  <w:tcW w:w="197" w:type="pct"/>
                  <w:tcBorders>
                    <w:tl2br w:val="nil"/>
                    <w:tr2bl w:val="nil"/>
                  </w:tcBorders>
                  <w:noWrap w:val="0"/>
                  <w:vAlign w:val="center"/>
                </w:tcPr>
                <w:p w14:paraId="001D97C3">
                  <w:pPr>
                    <w:pStyle w:val="91"/>
                    <w:bidi w:val="0"/>
                    <w:rPr>
                      <w:rFonts w:hint="default" w:eastAsia="宋体"/>
                      <w:lang w:val="en-US" w:eastAsia="zh-CN"/>
                    </w:rPr>
                  </w:pPr>
                  <w:r>
                    <w:rPr>
                      <w:rFonts w:hint="eastAsia"/>
                      <w:lang w:val="en-US" w:eastAsia="zh-CN"/>
                    </w:rPr>
                    <w:t>25</w:t>
                  </w:r>
                </w:p>
              </w:tc>
              <w:tc>
                <w:tcPr>
                  <w:tcW w:w="398" w:type="pct"/>
                  <w:tcBorders>
                    <w:tl2br w:val="nil"/>
                    <w:tr2bl w:val="nil"/>
                  </w:tcBorders>
                  <w:noWrap w:val="0"/>
                  <w:vAlign w:val="center"/>
                </w:tcPr>
                <w:p w14:paraId="32905FB5">
                  <w:pPr>
                    <w:pStyle w:val="91"/>
                    <w:bidi w:val="0"/>
                  </w:pPr>
                  <w:r>
                    <w:t>类比法</w:t>
                  </w:r>
                </w:p>
              </w:tc>
              <w:tc>
                <w:tcPr>
                  <w:tcW w:w="1470" w:type="pct"/>
                  <w:tcBorders>
                    <w:tl2br w:val="nil"/>
                    <w:tr2bl w:val="nil"/>
                  </w:tcBorders>
                  <w:noWrap w:val="0"/>
                  <w:vAlign w:val="center"/>
                </w:tcPr>
                <w:p w14:paraId="366733EE">
                  <w:pPr>
                    <w:pStyle w:val="91"/>
                    <w:bidi w:val="0"/>
                  </w:pPr>
                  <w:r>
                    <w:t>80/1</w:t>
                  </w:r>
                </w:p>
              </w:tc>
              <w:tc>
                <w:tcPr>
                  <w:tcW w:w="925" w:type="pct"/>
                  <w:tcBorders>
                    <w:tl2br w:val="nil"/>
                    <w:tr2bl w:val="nil"/>
                  </w:tcBorders>
                  <w:noWrap w:val="0"/>
                  <w:vAlign w:val="center"/>
                </w:tcPr>
                <w:p w14:paraId="73F28688">
                  <w:pPr>
                    <w:pStyle w:val="91"/>
                    <w:bidi w:val="0"/>
                  </w:pPr>
                  <w:r>
                    <w:t>设减振基础、消声</w:t>
                  </w:r>
                </w:p>
              </w:tc>
              <w:tc>
                <w:tcPr>
                  <w:tcW w:w="481" w:type="pct"/>
                  <w:tcBorders>
                    <w:tl2br w:val="nil"/>
                    <w:tr2bl w:val="nil"/>
                  </w:tcBorders>
                  <w:noWrap w:val="0"/>
                  <w:vAlign w:val="center"/>
                </w:tcPr>
                <w:p w14:paraId="0B2784BB">
                  <w:pPr>
                    <w:bidi w:val="0"/>
                    <w:jc w:val="center"/>
                  </w:pPr>
                  <w:r>
                    <w:rPr>
                      <w:rFonts w:hint="eastAsia"/>
                      <w:sz w:val="20"/>
                      <w:szCs w:val="20"/>
                      <w:lang w:val="en-US" w:eastAsia="zh-CN"/>
                    </w:rPr>
                    <w:t>16h/d</w:t>
                  </w:r>
                </w:p>
              </w:tc>
            </w:tr>
            <w:tr w14:paraId="38ED52B8">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99" w:type="pct"/>
                  <w:tcBorders>
                    <w:tl2br w:val="nil"/>
                    <w:tr2bl w:val="nil"/>
                  </w:tcBorders>
                  <w:noWrap w:val="0"/>
                  <w:vAlign w:val="center"/>
                </w:tcPr>
                <w:p w14:paraId="310F66F4">
                  <w:pPr>
                    <w:pStyle w:val="91"/>
                    <w:bidi w:val="0"/>
                    <w:rPr>
                      <w:rFonts w:hint="eastAsia" w:eastAsia="宋体"/>
                      <w:lang w:val="en-US" w:eastAsia="zh-CN"/>
                    </w:rPr>
                  </w:pPr>
                  <w:r>
                    <w:rPr>
                      <w:rFonts w:hint="eastAsia"/>
                      <w:lang w:val="en-US" w:eastAsia="zh-CN"/>
                    </w:rPr>
                    <w:t>2</w:t>
                  </w:r>
                </w:p>
              </w:tc>
              <w:tc>
                <w:tcPr>
                  <w:tcW w:w="484" w:type="pct"/>
                  <w:tcBorders>
                    <w:tl2br w:val="nil"/>
                    <w:tr2bl w:val="nil"/>
                  </w:tcBorders>
                  <w:noWrap w:val="0"/>
                  <w:vAlign w:val="center"/>
                </w:tcPr>
                <w:p w14:paraId="261A4A2B">
                  <w:pPr>
                    <w:pStyle w:val="91"/>
                    <w:bidi w:val="0"/>
                    <w:rPr>
                      <w:rFonts w:hint="eastAsia" w:eastAsia="宋体"/>
                      <w:lang w:eastAsia="zh-CN"/>
                    </w:rPr>
                  </w:pPr>
                  <w:r>
                    <w:rPr>
                      <w:rFonts w:hint="eastAsia"/>
                      <w:lang w:eastAsia="zh-CN"/>
                    </w:rPr>
                    <w:t>空压机</w:t>
                  </w:r>
                </w:p>
              </w:tc>
              <w:tc>
                <w:tcPr>
                  <w:tcW w:w="312" w:type="pct"/>
                  <w:tcBorders>
                    <w:tl2br w:val="nil"/>
                    <w:tr2bl w:val="nil"/>
                  </w:tcBorders>
                  <w:noWrap w:val="0"/>
                  <w:vAlign w:val="center"/>
                </w:tcPr>
                <w:p w14:paraId="410C39F3">
                  <w:pPr>
                    <w:pStyle w:val="91"/>
                    <w:bidi w:val="0"/>
                    <w:rPr>
                      <w:rFonts w:hint="eastAsia" w:eastAsia="宋体"/>
                      <w:lang w:val="en-US" w:eastAsia="zh-CN"/>
                    </w:rPr>
                  </w:pPr>
                  <w:r>
                    <w:rPr>
                      <w:rFonts w:hint="eastAsia"/>
                      <w:lang w:val="en-US" w:eastAsia="zh-CN"/>
                    </w:rPr>
                    <w:t>/</w:t>
                  </w:r>
                </w:p>
              </w:tc>
              <w:tc>
                <w:tcPr>
                  <w:tcW w:w="299" w:type="pct"/>
                  <w:tcBorders>
                    <w:tl2br w:val="nil"/>
                    <w:tr2bl w:val="nil"/>
                  </w:tcBorders>
                  <w:noWrap w:val="0"/>
                  <w:vAlign w:val="center"/>
                </w:tcPr>
                <w:p w14:paraId="60B64AE0">
                  <w:pPr>
                    <w:pStyle w:val="93"/>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lang w:val="en-US" w:eastAsia="zh-CN"/>
                    </w:rPr>
                  </w:pPr>
                  <w:r>
                    <w:rPr>
                      <w:rFonts w:hint="default"/>
                      <w:sz w:val="20"/>
                      <w:szCs w:val="20"/>
                      <w:lang w:val="en-US" w:eastAsia="zh-CN"/>
                    </w:rPr>
                    <w:t>5</w:t>
                  </w:r>
                  <w:r>
                    <w:rPr>
                      <w:rFonts w:hint="eastAsia"/>
                      <w:sz w:val="20"/>
                      <w:szCs w:val="20"/>
                      <w:lang w:val="en-US" w:eastAsia="zh-CN"/>
                    </w:rPr>
                    <w:t>8</w:t>
                  </w:r>
                </w:p>
              </w:tc>
              <w:tc>
                <w:tcPr>
                  <w:tcW w:w="231" w:type="pct"/>
                  <w:tcBorders>
                    <w:tl2br w:val="nil"/>
                    <w:tr2bl w:val="nil"/>
                  </w:tcBorders>
                  <w:noWrap w:val="0"/>
                  <w:vAlign w:val="center"/>
                </w:tcPr>
                <w:p w14:paraId="624975A2">
                  <w:pPr>
                    <w:pStyle w:val="93"/>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lang w:val="en-US" w:eastAsia="zh-CN"/>
                    </w:rPr>
                  </w:pPr>
                  <w:r>
                    <w:rPr>
                      <w:rFonts w:hint="default"/>
                      <w:sz w:val="20"/>
                      <w:szCs w:val="20"/>
                      <w:lang w:val="en-US" w:eastAsia="zh-CN"/>
                    </w:rPr>
                    <w:t>35</w:t>
                  </w:r>
                </w:p>
              </w:tc>
              <w:tc>
                <w:tcPr>
                  <w:tcW w:w="197" w:type="pct"/>
                  <w:tcBorders>
                    <w:tl2br w:val="nil"/>
                    <w:tr2bl w:val="nil"/>
                  </w:tcBorders>
                  <w:noWrap w:val="0"/>
                  <w:vAlign w:val="center"/>
                </w:tcPr>
                <w:p w14:paraId="6E666404">
                  <w:pPr>
                    <w:pStyle w:val="93"/>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lang w:val="en-US" w:eastAsia="zh-CN"/>
                    </w:rPr>
                  </w:pPr>
                  <w:r>
                    <w:rPr>
                      <w:rFonts w:hint="default"/>
                      <w:sz w:val="20"/>
                      <w:szCs w:val="20"/>
                      <w:lang w:val="en-US" w:eastAsia="zh-CN"/>
                    </w:rPr>
                    <w:t>1</w:t>
                  </w:r>
                </w:p>
              </w:tc>
              <w:tc>
                <w:tcPr>
                  <w:tcW w:w="398" w:type="pct"/>
                  <w:tcBorders>
                    <w:tl2br w:val="nil"/>
                    <w:tr2bl w:val="nil"/>
                  </w:tcBorders>
                  <w:noWrap w:val="0"/>
                  <w:vAlign w:val="center"/>
                </w:tcPr>
                <w:p w14:paraId="2F4FE61C">
                  <w:pPr>
                    <w:pStyle w:val="91"/>
                    <w:bidi w:val="0"/>
                  </w:pPr>
                  <w:r>
                    <w:t>类比法</w:t>
                  </w:r>
                </w:p>
              </w:tc>
              <w:tc>
                <w:tcPr>
                  <w:tcW w:w="1470" w:type="pct"/>
                  <w:tcBorders>
                    <w:tl2br w:val="nil"/>
                    <w:tr2bl w:val="nil"/>
                  </w:tcBorders>
                  <w:noWrap w:val="0"/>
                  <w:vAlign w:val="center"/>
                </w:tcPr>
                <w:p w14:paraId="16DD518C">
                  <w:pPr>
                    <w:pStyle w:val="91"/>
                    <w:bidi w:val="0"/>
                  </w:pPr>
                  <w:r>
                    <w:t>80/1</w:t>
                  </w:r>
                </w:p>
              </w:tc>
              <w:tc>
                <w:tcPr>
                  <w:tcW w:w="925" w:type="pct"/>
                  <w:tcBorders>
                    <w:tl2br w:val="nil"/>
                    <w:tr2bl w:val="nil"/>
                  </w:tcBorders>
                  <w:noWrap w:val="0"/>
                  <w:vAlign w:val="center"/>
                </w:tcPr>
                <w:p w14:paraId="5786684D">
                  <w:pPr>
                    <w:pStyle w:val="91"/>
                    <w:bidi w:val="0"/>
                    <w:rPr>
                      <w:rFonts w:hint="eastAsia" w:eastAsia="宋体"/>
                      <w:lang w:eastAsia="zh-CN"/>
                    </w:rPr>
                  </w:pPr>
                  <w:r>
                    <w:t>设减振基础、消声</w:t>
                  </w:r>
                  <w:r>
                    <w:rPr>
                      <w:rFonts w:hint="eastAsia"/>
                      <w:lang w:eastAsia="zh-CN"/>
                    </w:rPr>
                    <w:t>、隔间</w:t>
                  </w:r>
                </w:p>
              </w:tc>
              <w:tc>
                <w:tcPr>
                  <w:tcW w:w="481" w:type="pct"/>
                  <w:tcBorders>
                    <w:tl2br w:val="nil"/>
                    <w:tr2bl w:val="nil"/>
                  </w:tcBorders>
                  <w:noWrap w:val="0"/>
                  <w:vAlign w:val="center"/>
                </w:tcPr>
                <w:p w14:paraId="75D3B322">
                  <w:pPr>
                    <w:bidi w:val="0"/>
                    <w:jc w:val="center"/>
                    <w:rPr>
                      <w:rFonts w:hint="eastAsia"/>
                      <w:sz w:val="20"/>
                      <w:szCs w:val="20"/>
                      <w:lang w:val="en-US" w:eastAsia="zh-CN"/>
                    </w:rPr>
                  </w:pPr>
                  <w:r>
                    <w:rPr>
                      <w:rFonts w:hint="eastAsia"/>
                      <w:sz w:val="20"/>
                      <w:szCs w:val="20"/>
                      <w:lang w:val="en-US" w:eastAsia="zh-CN"/>
                    </w:rPr>
                    <w:t>16h/d</w:t>
                  </w:r>
                </w:p>
              </w:tc>
            </w:tr>
          </w:tbl>
          <w:p w14:paraId="1D3F7402">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.2运营期声环境影响分析</w:t>
            </w:r>
          </w:p>
          <w:p w14:paraId="671BF25D">
            <w:pPr>
              <w:pStyle w:val="43"/>
              <w:bidi w:val="0"/>
              <w:rPr>
                <w:rFonts w:hint="default"/>
                <w:lang w:val="en-US" w:eastAsia="zh-CN"/>
              </w:rPr>
            </w:pPr>
            <w:r>
              <w:rPr>
                <w:rFonts w:hint="default"/>
              </w:rPr>
              <w:t>项目噪声预测模式采用《环境影响评价技术导则</w:t>
            </w:r>
            <w:r>
              <w:rPr>
                <w:rFonts w:hint="eastAsia"/>
                <w:lang w:val="en-US" w:eastAsia="zh-CN"/>
              </w:rPr>
              <w:t xml:space="preserve"> </w:t>
            </w:r>
            <w:r>
              <w:rPr>
                <w:rFonts w:hint="default"/>
              </w:rPr>
              <w:t>声环境》(HJ2.4-20</w:t>
            </w:r>
            <w:r>
              <w:rPr>
                <w:rFonts w:hint="eastAsia"/>
                <w:lang w:val="en-US" w:eastAsia="zh-CN"/>
              </w:rPr>
              <w:t>21</w:t>
            </w:r>
            <w:r>
              <w:rPr>
                <w:rFonts w:hint="default"/>
              </w:rPr>
              <w:t>)中附录A户外声传播的衰减</w:t>
            </w:r>
            <w:r>
              <w:rPr>
                <w:rFonts w:hint="eastAsia"/>
                <w:lang w:val="en-US" w:eastAsia="zh-CN"/>
              </w:rPr>
              <w:t>及</w:t>
            </w:r>
            <w:r>
              <w:rPr>
                <w:rFonts w:hint="default"/>
              </w:rPr>
              <w:t>附录B典型行业噪声预测模型</w:t>
            </w:r>
            <w:r>
              <w:rPr>
                <w:rFonts w:hint="eastAsia"/>
                <w:lang w:val="en-US" w:eastAsia="zh-CN"/>
              </w:rPr>
              <w:t>进行分析。</w:t>
            </w:r>
          </w:p>
          <w:p w14:paraId="6F0C490F">
            <w:pPr>
              <w:pStyle w:val="43"/>
              <w:bidi w:val="0"/>
              <w:rPr>
                <w:rFonts w:hint="eastAsia"/>
              </w:rPr>
            </w:pPr>
            <w:r>
              <w:t>⑴室内声源</w:t>
            </w:r>
            <w:r>
              <w:rPr>
                <w:rFonts w:hint="eastAsia"/>
              </w:rPr>
              <w:t>等效室外声源声功率级计算方法</w:t>
            </w:r>
          </w:p>
          <w:p w14:paraId="0FA54BFF">
            <w:pPr>
              <w:pStyle w:val="43"/>
              <w:bidi w:val="0"/>
              <w:rPr>
                <w:rFonts w:hint="eastAsia"/>
                <w:color w:val="000000" w:themeColor="text1"/>
                <w14:textFill>
                  <w14:solidFill>
                    <w14:schemeClr w14:val="tx1"/>
                  </w14:solidFill>
                </w14:textFill>
              </w:rPr>
            </w:pPr>
            <w:r>
              <w:rPr>
                <w:rFonts w:hint="eastAsia"/>
              </w:rPr>
              <w:t>①</w:t>
            </w:r>
            <w:r>
              <w:t>如</w:t>
            </w:r>
            <w:r>
              <w:rPr>
                <w:rFonts w:hint="eastAsia"/>
              </w:rPr>
              <w:t>下</w:t>
            </w:r>
            <w:r>
              <w:t>图所示，</w:t>
            </w:r>
            <w:r>
              <w:rPr>
                <w:rFonts w:hint="eastAsia"/>
              </w:rPr>
              <w:t>声源位于室内，室内声源可采用等效室外声源声功率级法进行计算。设靠近开口处(或窗户)室内、室外某倍频带的声压级或A声级分别为</w:t>
            </w: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p1</w:t>
            </w:r>
            <w:r>
              <w:rPr>
                <w:rFonts w:hint="eastAsia"/>
                <w:color w:val="000000" w:themeColor="text1"/>
                <w14:textFill>
                  <w14:solidFill>
                    <w14:schemeClr w14:val="tx1"/>
                  </w14:solidFill>
                </w14:textFill>
              </w:rPr>
              <w:t>和L</w:t>
            </w:r>
            <w:r>
              <w:rPr>
                <w:rFonts w:hint="eastAsia"/>
                <w:color w:val="000000" w:themeColor="text1"/>
                <w:vertAlign w:val="subscript"/>
                <w14:textFill>
                  <w14:solidFill>
                    <w14:schemeClr w14:val="tx1"/>
                  </w14:solidFill>
                </w14:textFill>
              </w:rPr>
              <w:t>p2</w:t>
            </w:r>
            <w:r>
              <w:rPr>
                <w:rFonts w:hint="eastAsia"/>
                <w:color w:val="000000" w:themeColor="text1"/>
                <w14:textFill>
                  <w14:solidFill>
                    <w14:schemeClr w14:val="tx1"/>
                  </w14:solidFill>
                </w14:textFill>
              </w:rPr>
              <w:t>。若声源所在室内声场为近似扩散声场，则室外的倍频带声压级可按下式近似求出：</w:t>
            </w:r>
          </w:p>
          <w:p w14:paraId="1A74A3FE">
            <w:pPr>
              <w:adjustRightInd w:val="0"/>
              <w:snapToGrid w:val="0"/>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244600" cy="241300"/>
                  <wp:effectExtent l="0" t="0" r="5080" b="1905"/>
                  <wp:docPr id="14"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5"/>
                          <pic:cNvPicPr>
                            <a:picLocks noChangeAspect="1"/>
                          </pic:cNvPicPr>
                        </pic:nvPicPr>
                        <pic:blipFill>
                          <a:blip r:embed="rId15"/>
                          <a:stretch>
                            <a:fillRect/>
                          </a:stretch>
                        </pic:blipFill>
                        <pic:spPr>
                          <a:xfrm>
                            <a:off x="0" y="0"/>
                            <a:ext cx="1244600" cy="241300"/>
                          </a:xfrm>
                          <a:prstGeom prst="rect">
                            <a:avLst/>
                          </a:prstGeom>
                          <a:noFill/>
                          <a:ln>
                            <a:noFill/>
                          </a:ln>
                        </pic:spPr>
                      </pic:pic>
                    </a:graphicData>
                  </a:graphic>
                </wp:inline>
              </w:drawing>
            </w:r>
          </w:p>
          <w:p w14:paraId="2B41FE28">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21415B7B">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p1</w:t>
            </w:r>
            <w:r>
              <w:rPr>
                <w:rFonts w:hint="eastAsia"/>
                <w:color w:val="000000" w:themeColor="text1"/>
                <w:sz w:val="24"/>
                <w14:textFill>
                  <w14:solidFill>
                    <w14:schemeClr w14:val="tx1"/>
                  </w14:solidFill>
                </w14:textFill>
              </w:rPr>
              <w:t>—靠近开口处(或窗户)室内某倍频带的声压级或A声级，dB；</w:t>
            </w:r>
          </w:p>
          <w:p w14:paraId="670B6144">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p2</w:t>
            </w:r>
            <w:r>
              <w:rPr>
                <w:rFonts w:hint="eastAsia"/>
                <w:color w:val="000000" w:themeColor="text1"/>
                <w:sz w:val="24"/>
                <w14:textFill>
                  <w14:solidFill>
                    <w14:schemeClr w14:val="tx1"/>
                  </w14:solidFill>
                </w14:textFill>
              </w:rPr>
              <w:t>—靠近开口处(或窗户)室外某倍频带的声压级或A声级，dB；</w:t>
            </w:r>
          </w:p>
          <w:p w14:paraId="33DED49F">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T</w:t>
            </w:r>
            <w:r>
              <w:rPr>
                <w:rFonts w:hint="eastAsia"/>
                <w:color w:val="000000" w:themeColor="text1"/>
                <w:sz w:val="24"/>
                <w:lang w:val="en-US" w:eastAsia="zh-CN"/>
                <w14:textFill>
                  <w14:solidFill>
                    <w14:schemeClr w14:val="tx1"/>
                  </w14:solidFill>
                </w14:textFill>
              </w:rPr>
              <w:t>L</w:t>
            </w:r>
            <w:r>
              <w:rPr>
                <w:rFonts w:hint="eastAsia"/>
                <w:color w:val="000000" w:themeColor="text1"/>
                <w:sz w:val="24"/>
                <w14:textFill>
                  <w14:solidFill>
                    <w14:schemeClr w14:val="tx1"/>
                  </w14:solidFill>
                </w14:textFill>
              </w:rPr>
              <w:t>—隔墙(或窗户)倍频带或A声级的隔声量，dB。</w:t>
            </w:r>
          </w:p>
          <w:p w14:paraId="24A4CC05">
            <w:pPr>
              <w:adjustRightInd w:val="0"/>
              <w:snapToGrid w:val="0"/>
              <w:spacing w:line="360" w:lineRule="auto"/>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320290" cy="1279525"/>
                  <wp:effectExtent l="0" t="0" r="11430" b="635"/>
                  <wp:docPr id="8"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6"/>
                          <pic:cNvPicPr>
                            <a:picLocks noChangeAspect="1"/>
                          </pic:cNvPicPr>
                        </pic:nvPicPr>
                        <pic:blipFill>
                          <a:blip r:embed="rId16"/>
                          <a:stretch>
                            <a:fillRect/>
                          </a:stretch>
                        </pic:blipFill>
                        <pic:spPr>
                          <a:xfrm>
                            <a:off x="0" y="0"/>
                            <a:ext cx="2320290" cy="1279525"/>
                          </a:xfrm>
                          <a:prstGeom prst="rect">
                            <a:avLst/>
                          </a:prstGeom>
                          <a:noFill/>
                          <a:ln>
                            <a:noFill/>
                          </a:ln>
                        </pic:spPr>
                      </pic:pic>
                    </a:graphicData>
                  </a:graphic>
                </wp:inline>
              </w:drawing>
            </w:r>
          </w:p>
          <w:p w14:paraId="3C665980">
            <w:pPr>
              <w:adjustRightInd w:val="0"/>
              <w:snapToGrid w:val="0"/>
              <w:spacing w:line="360" w:lineRule="auto"/>
              <w:jc w:val="center"/>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图4.</w:t>
            </w:r>
            <w:r>
              <w:rPr>
                <w:rFonts w:hint="eastAsia" w:eastAsia="黑体"/>
                <w:color w:val="000000" w:themeColor="text1"/>
                <w:sz w:val="24"/>
                <w14:textFill>
                  <w14:solidFill>
                    <w14:schemeClr w14:val="tx1"/>
                  </w14:solidFill>
                </w14:textFill>
              </w:rPr>
              <w:t>4</w:t>
            </w:r>
            <w:r>
              <w:rPr>
                <w:rFonts w:eastAsia="黑体"/>
                <w:color w:val="000000" w:themeColor="text1"/>
                <w:sz w:val="24"/>
                <w14:textFill>
                  <w14:solidFill>
                    <w14:schemeClr w14:val="tx1"/>
                  </w14:solidFill>
                </w14:textFill>
              </w:rPr>
              <w:t>-1 室内声源等效室外声源图例</w:t>
            </w:r>
          </w:p>
          <w:p w14:paraId="41486C1C">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②按下式计算某一室内声源靠近围护结构处产生的倍频带声压级或A声级：</w:t>
            </w:r>
          </w:p>
          <w:p w14:paraId="32CCF3B4">
            <w:pPr>
              <w:adjustRightInd w:val="0"/>
              <w:snapToGrid w:val="0"/>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714500" cy="482600"/>
                  <wp:effectExtent l="0" t="0" r="7620" b="5715"/>
                  <wp:docPr id="9"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77"/>
                          <pic:cNvPicPr>
                            <a:picLocks noChangeAspect="1"/>
                          </pic:cNvPicPr>
                        </pic:nvPicPr>
                        <pic:blipFill>
                          <a:blip r:embed="rId17"/>
                          <a:stretch>
                            <a:fillRect/>
                          </a:stretch>
                        </pic:blipFill>
                        <pic:spPr>
                          <a:xfrm>
                            <a:off x="0" y="0"/>
                            <a:ext cx="1714500" cy="482600"/>
                          </a:xfrm>
                          <a:prstGeom prst="rect">
                            <a:avLst/>
                          </a:prstGeom>
                          <a:noFill/>
                          <a:ln>
                            <a:noFill/>
                          </a:ln>
                        </pic:spPr>
                      </pic:pic>
                    </a:graphicData>
                  </a:graphic>
                </wp:inline>
              </w:drawing>
            </w:r>
          </w:p>
          <w:p w14:paraId="370BD71D">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式中：</w:t>
            </w:r>
          </w:p>
          <w:p w14:paraId="019E068B">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Lp</w:t>
            </w:r>
            <w:r>
              <w:rPr>
                <w:rFonts w:hint="eastAsia" w:hAnsi="宋体" w:cs="宋体"/>
                <w:color w:val="000000" w:themeColor="text1"/>
                <w:sz w:val="24"/>
                <w:vertAlign w:val="subscript"/>
                <w14:textFill>
                  <w14:solidFill>
                    <w14:schemeClr w14:val="tx1"/>
                  </w14:solidFill>
                </w14:textFill>
              </w:rPr>
              <w:t>1</w:t>
            </w:r>
            <w:r>
              <w:rPr>
                <w:rFonts w:hint="eastAsia" w:hAnsi="宋体" w:cs="宋体"/>
                <w:color w:val="000000" w:themeColor="text1"/>
                <w:sz w:val="24"/>
                <w14:textFill>
                  <w14:solidFill>
                    <w14:schemeClr w14:val="tx1"/>
                  </w14:solidFill>
                </w14:textFill>
              </w:rPr>
              <w:t>—靠近开口处(或窗户)室内某倍频带的声压级或A声级，dB；</w:t>
            </w:r>
          </w:p>
          <w:p w14:paraId="32537A16">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L</w:t>
            </w:r>
            <w:r>
              <w:rPr>
                <w:rFonts w:hint="eastAsia" w:hAnsi="宋体" w:cs="宋体"/>
                <w:color w:val="000000" w:themeColor="text1"/>
                <w:sz w:val="24"/>
                <w:vertAlign w:val="subscript"/>
                <w14:textFill>
                  <w14:solidFill>
                    <w14:schemeClr w14:val="tx1"/>
                  </w14:solidFill>
                </w14:textFill>
              </w:rPr>
              <w:t>w</w:t>
            </w:r>
            <w:r>
              <w:rPr>
                <w:rFonts w:hint="eastAsia" w:hAnsi="宋体" w:cs="宋体"/>
                <w:color w:val="000000" w:themeColor="text1"/>
                <w:sz w:val="24"/>
                <w14:textFill>
                  <w14:solidFill>
                    <w14:schemeClr w14:val="tx1"/>
                  </w14:solidFill>
                </w14:textFill>
              </w:rPr>
              <w:t>—点声源声功率级(A计权或倍频带)，dB；</w:t>
            </w:r>
          </w:p>
          <w:p w14:paraId="6E51B1A6">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Q—指向性因数；通常对无指向性声源，当声源放在房间中心时，Q=1；当放在一面墙的中心时，Q=2；当放在两面墙夹角处时，Q=4；当放在三面墙夹角处时，Q=8；</w:t>
            </w:r>
          </w:p>
          <w:p w14:paraId="023CCAB0">
            <w:pPr>
              <w:adjustRightInd w:val="0"/>
              <w:snapToGrid w:val="0"/>
              <w:spacing w:line="360" w:lineRule="auto"/>
              <w:ind w:firstLine="480"/>
              <w:rPr>
                <w:rFonts w:hint="eastAsia" w:hAnsi="宋体" w:cs="宋体"/>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R—房间常数；R=Sa/(1-a)，s为房间内表面面积，m</w:t>
            </w:r>
            <w:r>
              <w:rPr>
                <w:rFonts w:hint="eastAsia" w:hAnsi="宋体" w:cs="宋体"/>
                <w:color w:val="000000" w:themeColor="text1"/>
                <w:sz w:val="24"/>
                <w:vertAlign w:val="superscript"/>
                <w14:textFill>
                  <w14:solidFill>
                    <w14:schemeClr w14:val="tx1"/>
                  </w14:solidFill>
                </w14:textFill>
              </w:rPr>
              <w:t>2</w:t>
            </w:r>
            <w:r>
              <w:rPr>
                <w:rFonts w:hint="eastAsia" w:hAnsi="宋体" w:cs="宋体"/>
                <w:color w:val="000000" w:themeColor="text1"/>
                <w:sz w:val="24"/>
                <w14:textFill>
                  <w14:solidFill>
                    <w14:schemeClr w14:val="tx1"/>
                  </w14:solidFill>
                </w14:textFill>
              </w:rPr>
              <w:t>；a为平均吸声系数；</w:t>
            </w:r>
          </w:p>
          <w:p w14:paraId="4923A3BD">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r</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声源到靠近围护结构某点处的距离，m。</w:t>
            </w:r>
          </w:p>
          <w:p w14:paraId="6CD73341">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③按下式</w:t>
            </w:r>
            <w:r>
              <w:rPr>
                <w:color w:val="000000" w:themeColor="text1"/>
                <w:sz w:val="24"/>
                <w14:textFill>
                  <w14:solidFill>
                    <w14:schemeClr w14:val="tx1"/>
                  </w14:solidFill>
                </w14:textFill>
              </w:rPr>
              <w:t>计算出所有室内声源在靠近围护结构处产生的</w:t>
            </w:r>
            <w:r>
              <w:rPr>
                <w:rFonts w:hint="eastAsia"/>
                <w:color w:val="000000" w:themeColor="text1"/>
                <w:sz w:val="24"/>
                <w14:textFill>
                  <w14:solidFill>
                    <w14:schemeClr w14:val="tx1"/>
                  </w14:solidFill>
                </w14:textFill>
              </w:rPr>
              <w:t>i</w:t>
            </w:r>
            <w:r>
              <w:rPr>
                <w:color w:val="000000" w:themeColor="text1"/>
                <w:sz w:val="24"/>
                <w14:textFill>
                  <w14:solidFill>
                    <w14:schemeClr w14:val="tx1"/>
                  </w14:solidFill>
                </w14:textFill>
              </w:rPr>
              <w:t>倍频带</w:t>
            </w:r>
            <w:r>
              <w:rPr>
                <w:rFonts w:hint="eastAsia"/>
                <w:color w:val="000000" w:themeColor="text1"/>
                <w:sz w:val="24"/>
                <w14:textFill>
                  <w14:solidFill>
                    <w14:schemeClr w14:val="tx1"/>
                  </w14:solidFill>
                </w14:textFill>
              </w:rPr>
              <w:t>叠加</w:t>
            </w:r>
            <w:r>
              <w:rPr>
                <w:color w:val="000000" w:themeColor="text1"/>
                <w:sz w:val="24"/>
                <w14:textFill>
                  <w14:solidFill>
                    <w14:schemeClr w14:val="tx1"/>
                  </w14:solidFill>
                </w14:textFill>
              </w:rPr>
              <w:t>声压级：</w:t>
            </w:r>
          </w:p>
          <w:p w14:paraId="36987F87">
            <w:pPr>
              <w:adjustRightInd w:val="0"/>
              <w:snapToGrid w:val="0"/>
              <w:spacing w:line="360" w:lineRule="auto"/>
              <w:ind w:firstLine="480"/>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688465" cy="482600"/>
                  <wp:effectExtent l="0" t="0" r="3175" b="5715"/>
                  <wp:docPr id="10"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8"/>
                          <pic:cNvPicPr>
                            <a:picLocks noChangeAspect="1"/>
                          </pic:cNvPicPr>
                        </pic:nvPicPr>
                        <pic:blipFill>
                          <a:blip r:embed="rId18"/>
                          <a:stretch>
                            <a:fillRect/>
                          </a:stretch>
                        </pic:blipFill>
                        <pic:spPr>
                          <a:xfrm>
                            <a:off x="0" y="0"/>
                            <a:ext cx="1688465" cy="482600"/>
                          </a:xfrm>
                          <a:prstGeom prst="rect">
                            <a:avLst/>
                          </a:prstGeom>
                          <a:noFill/>
                          <a:ln>
                            <a:noFill/>
                          </a:ln>
                        </pic:spPr>
                      </pic:pic>
                    </a:graphicData>
                  </a:graphic>
                </wp:inline>
              </w:drawing>
            </w:r>
          </w:p>
          <w:p w14:paraId="7E600974">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6C55829E">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p1i</w:t>
            </w:r>
            <w:r>
              <w:rPr>
                <w:rFonts w:hint="eastAsia"/>
                <w:color w:val="000000" w:themeColor="text1"/>
                <w:sz w:val="24"/>
                <w14:textFill>
                  <w14:solidFill>
                    <w14:schemeClr w14:val="tx1"/>
                  </w14:solidFill>
                </w14:textFill>
              </w:rPr>
              <w:t>(T)</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靠近围护结构处室内N个声源i倍频带的叠加声压级，dB；</w:t>
            </w:r>
          </w:p>
          <w:p w14:paraId="593BCD98">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p1ij</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室内j声源i倍频带的声压级，dB；</w:t>
            </w:r>
          </w:p>
          <w:p w14:paraId="3AD64E71">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N</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室内声源总数。</w:t>
            </w:r>
          </w:p>
          <w:p w14:paraId="5378EAB1">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在室内近似为扩散声场时，按</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式</w:t>
            </w:r>
            <w:r>
              <w:rPr>
                <w:rFonts w:hint="eastAsia"/>
                <w:color w:val="000000" w:themeColor="text1"/>
                <w:sz w:val="24"/>
                <w14:textFill>
                  <w14:solidFill>
                    <w14:schemeClr w14:val="tx1"/>
                  </w14:solidFill>
                </w14:textFill>
              </w:rPr>
              <w:t>计算出室外靠近围护结构处的声压级：</w:t>
            </w:r>
          </w:p>
          <w:p w14:paraId="4497F895">
            <w:pPr>
              <w:adjustRightInd w:val="0"/>
              <w:snapToGrid w:val="0"/>
              <w:spacing w:line="360" w:lineRule="auto"/>
              <w:ind w:firstLine="480"/>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777365" cy="241300"/>
                  <wp:effectExtent l="0" t="0" r="5715" b="1905"/>
                  <wp:docPr id="11"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79"/>
                          <pic:cNvPicPr>
                            <a:picLocks noChangeAspect="1"/>
                          </pic:cNvPicPr>
                        </pic:nvPicPr>
                        <pic:blipFill>
                          <a:blip r:embed="rId19"/>
                          <a:stretch>
                            <a:fillRect/>
                          </a:stretch>
                        </pic:blipFill>
                        <pic:spPr>
                          <a:xfrm>
                            <a:off x="0" y="0"/>
                            <a:ext cx="1777365" cy="241300"/>
                          </a:xfrm>
                          <a:prstGeom prst="rect">
                            <a:avLst/>
                          </a:prstGeom>
                          <a:noFill/>
                          <a:ln>
                            <a:noFill/>
                          </a:ln>
                        </pic:spPr>
                      </pic:pic>
                    </a:graphicData>
                  </a:graphic>
                </wp:inline>
              </w:drawing>
            </w:r>
          </w:p>
          <w:p w14:paraId="6C56C791">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4974AE0B">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p2i</w:t>
            </w:r>
            <w:r>
              <w:rPr>
                <w:rFonts w:hint="eastAsia"/>
                <w:color w:val="000000" w:themeColor="text1"/>
                <w:sz w:val="24"/>
                <w14:textFill>
                  <w14:solidFill>
                    <w14:schemeClr w14:val="tx1"/>
                  </w14:solidFill>
                </w14:textFill>
              </w:rPr>
              <w:t>(T)</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靠近围护结构处室外N个声源i倍频带的叠加声压级，dB；</w:t>
            </w:r>
          </w:p>
          <w:p w14:paraId="6A4BA6EF">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p1i</w:t>
            </w:r>
            <w:r>
              <w:rPr>
                <w:rFonts w:hint="eastAsia"/>
                <w:color w:val="000000" w:themeColor="text1"/>
                <w:sz w:val="24"/>
                <w14:textFill>
                  <w14:solidFill>
                    <w14:schemeClr w14:val="tx1"/>
                  </w14:solidFill>
                </w14:textFill>
              </w:rPr>
              <w:t>(T)</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靠近围护结构处室内N个声源i倍频带的叠加声压级，dB；</w:t>
            </w:r>
          </w:p>
          <w:p w14:paraId="3E5A7F59">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TL</w:t>
            </w:r>
            <w:r>
              <w:rPr>
                <w:rFonts w:hint="eastAsia"/>
                <w:color w:val="000000" w:themeColor="text1"/>
                <w:sz w:val="24"/>
                <w:vertAlign w:val="subscript"/>
                <w14:textFill>
                  <w14:solidFill>
                    <w14:schemeClr w14:val="tx1"/>
                  </w14:solidFill>
                </w14:textFill>
              </w:rPr>
              <w:t>i</w:t>
            </w:r>
            <w:r>
              <w:rPr>
                <w:rFonts w:hint="eastAsia"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围护结构i倍频带的隔声量，dB。</w:t>
            </w:r>
          </w:p>
          <w:p w14:paraId="40EF57F4">
            <w:pPr>
              <w:adjustRightInd w:val="0"/>
              <w:snapToGrid w:val="0"/>
              <w:spacing w:line="360" w:lineRule="auto"/>
              <w:ind w:firstLine="480"/>
              <w:rPr>
                <w:color w:val="000000" w:themeColor="text1"/>
                <w:sz w:val="24"/>
                <w14:textFill>
                  <w14:solidFill>
                    <w14:schemeClr w14:val="tx1"/>
                  </w14:solidFill>
                </w14:textFill>
              </w:rPr>
            </w:pPr>
            <w:r>
              <w:rPr>
                <w:rFonts w:hint="eastAsia" w:hAnsi="宋体" w:cs="宋体"/>
                <w:color w:val="000000" w:themeColor="text1"/>
                <w:sz w:val="24"/>
                <w14:textFill>
                  <w14:solidFill>
                    <w14:schemeClr w14:val="tx1"/>
                  </w14:solidFill>
                </w14:textFill>
              </w:rPr>
              <w:t>⑤按下式</w:t>
            </w:r>
            <w:r>
              <w:rPr>
                <w:color w:val="000000" w:themeColor="text1"/>
                <w:sz w:val="24"/>
                <w14:textFill>
                  <w14:solidFill>
                    <w14:schemeClr w14:val="tx1"/>
                  </w14:solidFill>
                </w14:textFill>
              </w:rPr>
              <w:t>将室外</w:t>
            </w:r>
            <w:r>
              <w:rPr>
                <w:rFonts w:hint="eastAsia"/>
                <w:color w:val="000000" w:themeColor="text1"/>
                <w:sz w:val="24"/>
                <w14:textFill>
                  <w14:solidFill>
                    <w14:schemeClr w14:val="tx1"/>
                  </w14:solidFill>
                </w14:textFill>
              </w:rPr>
              <w:t>声源的声压级</w:t>
            </w:r>
            <w:r>
              <w:rPr>
                <w:color w:val="000000" w:themeColor="text1"/>
                <w:sz w:val="24"/>
                <w14:textFill>
                  <w14:solidFill>
                    <w14:schemeClr w14:val="tx1"/>
                  </w14:solidFill>
                </w14:textFill>
              </w:rPr>
              <w:t>和透声面积换算成等效的室外声源，计算出</w:t>
            </w:r>
            <w:r>
              <w:rPr>
                <w:rFonts w:hint="eastAsia"/>
                <w:color w:val="000000" w:themeColor="text1"/>
                <w:sz w:val="24"/>
                <w14:textFill>
                  <w14:solidFill>
                    <w14:schemeClr w14:val="tx1"/>
                  </w14:solidFill>
                </w14:textFill>
              </w:rPr>
              <w:t>中心位置位于透声面积(S)处的</w:t>
            </w:r>
            <w:r>
              <w:rPr>
                <w:color w:val="000000" w:themeColor="text1"/>
                <w:sz w:val="24"/>
                <w14:textFill>
                  <w14:solidFill>
                    <w14:schemeClr w14:val="tx1"/>
                  </w14:solidFill>
                </w14:textFill>
              </w:rPr>
              <w:t>等效声源</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倍频带的声功率级</w:t>
            </w:r>
            <w:r>
              <w:rPr>
                <w:color w:val="000000" w:themeColor="text1"/>
                <w:sz w:val="24"/>
                <w14:textFill>
                  <w14:solidFill>
                    <w14:schemeClr w14:val="tx1"/>
                  </w14:solidFill>
                </w14:textFill>
              </w:rPr>
              <w:softHyphen/>
            </w:r>
            <w:r>
              <w:rPr>
                <w:color w:val="000000" w:themeColor="text1"/>
                <w:sz w:val="24"/>
                <w14:textFill>
                  <w14:solidFill>
                    <w14:schemeClr w14:val="tx1"/>
                  </w14:solidFill>
                </w14:textFill>
              </w:rPr>
              <w:softHyphen/>
            </w:r>
            <w:r>
              <w:rPr>
                <w:color w:val="000000" w:themeColor="text1"/>
                <w:sz w:val="24"/>
                <w14:textFill>
                  <w14:solidFill>
                    <w14:schemeClr w14:val="tx1"/>
                  </w14:solidFill>
                </w14:textFill>
              </w:rPr>
              <w:t>：</w:t>
            </w:r>
          </w:p>
          <w:p w14:paraId="59448BFD">
            <w:pPr>
              <w:adjustRightInd w:val="0"/>
              <w:snapToGrid w:val="0"/>
              <w:spacing w:line="360" w:lineRule="auto"/>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333500" cy="241300"/>
                  <wp:effectExtent l="0" t="0" r="7620" b="1905"/>
                  <wp:docPr id="12"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80"/>
                          <pic:cNvPicPr>
                            <a:picLocks noChangeAspect="1"/>
                          </pic:cNvPicPr>
                        </pic:nvPicPr>
                        <pic:blipFill>
                          <a:blip r:embed="rId20"/>
                          <a:stretch>
                            <a:fillRect/>
                          </a:stretch>
                        </pic:blipFill>
                        <pic:spPr>
                          <a:xfrm>
                            <a:off x="0" y="0"/>
                            <a:ext cx="1333500" cy="241300"/>
                          </a:xfrm>
                          <a:prstGeom prst="rect">
                            <a:avLst/>
                          </a:prstGeom>
                          <a:noFill/>
                          <a:ln>
                            <a:noFill/>
                          </a:ln>
                        </pic:spPr>
                      </pic:pic>
                    </a:graphicData>
                  </a:graphic>
                </wp:inline>
              </w:drawing>
            </w:r>
          </w:p>
          <w:p w14:paraId="31DEE4FC">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6A3F305E">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w</w:t>
            </w:r>
            <w:r>
              <w:rPr>
                <w:rFonts w:hint="eastAsia"/>
                <w:color w:val="000000" w:themeColor="text1"/>
                <w:sz w:val="24"/>
                <w14:textFill>
                  <w14:solidFill>
                    <w14:schemeClr w14:val="tx1"/>
                  </w14:solidFill>
                </w14:textFill>
              </w:rPr>
              <w:t>—中心位置位于透声面积(S)处的等效声源的倍频带声功率级，dB；</w:t>
            </w:r>
          </w:p>
          <w:p w14:paraId="13523830">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p2</w:t>
            </w:r>
            <w:r>
              <w:rPr>
                <w:rFonts w:hint="eastAsia"/>
                <w:color w:val="000000" w:themeColor="text1"/>
                <w:sz w:val="24"/>
                <w14:textFill>
                  <w14:solidFill>
                    <w14:schemeClr w14:val="tx1"/>
                  </w14:solidFill>
                </w14:textFill>
              </w:rPr>
              <w:t>(T)—靠近围护结构处室外声源的声压级，dB；</w:t>
            </w:r>
          </w:p>
          <w:p w14:paraId="3D19C80C">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S透声面积，m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p>
          <w:p w14:paraId="16F0277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户外声传播的衰减</w:t>
            </w:r>
          </w:p>
          <w:p w14:paraId="4619BC1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户外声传播衰减包括几何发散</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Adiv</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、大气吸收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Aatm</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、地面效应</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Agr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、障碍物屏蔽</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Abar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、其他多方面效应</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Amisc</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引起的衰减。</w:t>
            </w:r>
          </w:p>
          <w:p w14:paraId="22374BC4">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基本公式</w:t>
            </w:r>
          </w:p>
          <w:p w14:paraId="20DA944D">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某个声源在预测点处声压级的计算公式如下：</w:t>
            </w:r>
          </w:p>
          <w:p w14:paraId="1F4B62C5">
            <w:pPr>
              <w:adjustRightInd w:val="0"/>
              <w:snapToGrid w:val="0"/>
              <w:spacing w:line="360" w:lineRule="auto"/>
              <w:ind w:firstLine="480"/>
              <w:jc w:val="center"/>
              <w:rPr>
                <w:color w:val="000000" w:themeColor="text1"/>
                <w:sz w:val="24"/>
                <w14:textFill>
                  <w14:solidFill>
                    <w14:schemeClr w14:val="tx1"/>
                  </w14:solidFill>
                </w14:textFill>
              </w:rPr>
            </w:pPr>
            <w:r>
              <w:rPr>
                <w:rFonts w:eastAsia="Times New Roman"/>
                <w:i/>
                <w:color w:val="000000" w:themeColor="text1"/>
                <w:sz w:val="24"/>
                <w14:textFill>
                  <w14:solidFill>
                    <w14:schemeClr w14:val="tx1"/>
                  </w14:solidFill>
                </w14:textFill>
              </w:rPr>
              <w:t>Lp</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14:textFill>
                  <w14:solidFill>
                    <w14:schemeClr w14:val="tx1"/>
                  </w14:solidFill>
                </w14:textFill>
              </w:rPr>
              <w:t>)</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Lw</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D</w:t>
            </w:r>
            <w:r>
              <w:rPr>
                <w:rFonts w:eastAsia="Times New Roman"/>
                <w:color w:val="000000" w:themeColor="text1"/>
                <w:sz w:val="24"/>
                <w:vertAlign w:val="subscript"/>
                <w14:textFill>
                  <w14:solidFill>
                    <w14:schemeClr w14:val="tx1"/>
                  </w14:solidFill>
                </w14:textFill>
              </w:rPr>
              <w:t>C</w:t>
            </w:r>
            <w:r>
              <w:rPr>
                <w:rFonts w:hint="eastAsia" w:eastAsia="宋体"/>
                <w:color w:val="000000" w:themeColor="text1"/>
                <w:sz w:val="24"/>
                <w:lang w:eastAsia="zh-CN"/>
                <w14:textFill>
                  <w14:solidFill>
                    <w14:schemeClr w14:val="tx1"/>
                  </w14:solidFill>
                </w14:textFill>
              </w:rPr>
              <w:t>-</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div</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atm</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gr</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bar</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misc)</w:t>
            </w:r>
          </w:p>
          <w:p w14:paraId="677BB7E7">
            <w:pPr>
              <w:adjustRightInd w:val="0"/>
              <w:snapToGrid w:val="0"/>
              <w:spacing w:line="360" w:lineRule="auto"/>
              <w:ind w:firstLine="480"/>
              <w:jc w:val="center"/>
              <w:rPr>
                <w:rFonts w:hint="eastAsia"/>
                <w:color w:val="000000" w:themeColor="text1"/>
                <w:sz w:val="24"/>
                <w14:textFill>
                  <w14:solidFill>
                    <w14:schemeClr w14:val="tx1"/>
                  </w14:solidFill>
                </w14:textFill>
              </w:rPr>
            </w:pPr>
            <w:r>
              <w:rPr>
                <w:rFonts w:eastAsia="Times New Roman"/>
                <w:i/>
                <w:color w:val="000000" w:themeColor="text1"/>
                <w:sz w:val="24"/>
                <w14:textFill>
                  <w14:solidFill>
                    <w14:schemeClr w14:val="tx1"/>
                  </w14:solidFill>
                </w14:textFill>
              </w:rPr>
              <w:t>Lp</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14:textFill>
                  <w14:solidFill>
                    <w14:schemeClr w14:val="tx1"/>
                  </w14:solidFill>
                </w14:textFill>
              </w:rPr>
              <w:t>)</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Lp</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vertAlign w:val="subscript"/>
                <w14:textFill>
                  <w14:solidFill>
                    <w14:schemeClr w14:val="tx1"/>
                  </w14:solidFill>
                </w14:textFill>
              </w:rPr>
              <w:t>0</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D</w:t>
            </w:r>
            <w:r>
              <w:rPr>
                <w:rFonts w:eastAsia="Times New Roman"/>
                <w:color w:val="000000" w:themeColor="text1"/>
                <w:sz w:val="24"/>
                <w:vertAlign w:val="subscript"/>
                <w14:textFill>
                  <w14:solidFill>
                    <w14:schemeClr w14:val="tx1"/>
                  </w14:solidFill>
                </w14:textFill>
              </w:rPr>
              <w:t>C</w:t>
            </w:r>
            <w:r>
              <w:rPr>
                <w:rFonts w:hint="eastAsia" w:eastAsia="宋体"/>
                <w:color w:val="000000" w:themeColor="text1"/>
                <w:sz w:val="24"/>
                <w:lang w:eastAsia="zh-CN"/>
                <w14:textFill>
                  <w14:solidFill>
                    <w14:schemeClr w14:val="tx1"/>
                  </w14:solidFill>
                </w14:textFill>
              </w:rPr>
              <w:t>-</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div</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atm</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gr</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bar</w:t>
            </w:r>
            <w:r>
              <w:rPr>
                <w:rFonts w:hint="eastAsia" w:eastAsia="宋体"/>
                <w:color w:val="000000" w:themeColor="text1"/>
                <w:sz w:val="24"/>
                <w:lang w:eastAsia="zh-CN"/>
                <w14:textFill>
                  <w14:solidFill>
                    <w14:schemeClr w14:val="tx1"/>
                  </w14:solidFill>
                </w14:textFill>
              </w:rPr>
              <w:t>+</w:t>
            </w:r>
            <w:r>
              <w:rPr>
                <w:rFonts w:eastAsia="Times New Roman"/>
                <w:i/>
                <w:color w:val="000000" w:themeColor="text1"/>
                <w:sz w:val="24"/>
                <w14:textFill>
                  <w14:solidFill>
                    <w14:schemeClr w14:val="tx1"/>
                  </w14:solidFill>
                </w14:textFill>
              </w:rPr>
              <w:t>A</w:t>
            </w:r>
            <w:r>
              <w:rPr>
                <w:rFonts w:eastAsia="Times New Roman"/>
                <w:color w:val="000000" w:themeColor="text1"/>
                <w:sz w:val="24"/>
                <w14:textFill>
                  <w14:solidFill>
                    <w14:schemeClr w14:val="tx1"/>
                  </w14:solidFill>
                </w14:textFill>
              </w:rPr>
              <w:t>misc)</w:t>
            </w:r>
          </w:p>
          <w:p w14:paraId="616AE5DA">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0C3A113F">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Lp(r)—预测点处声压级，dB； </w:t>
            </w:r>
          </w:p>
          <w:p w14:paraId="45AA0F9A">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softHyphen/>
            </w:r>
            <w:r>
              <w:rPr>
                <w:rFonts w:hint="eastAsia"/>
                <w:color w:val="000000" w:themeColor="text1"/>
                <w:sz w:val="24"/>
                <w14:textFill>
                  <w14:solidFill>
                    <w14:schemeClr w14:val="tx1"/>
                  </w14:solidFill>
                </w14:textFill>
              </w:rPr>
              <w:softHyphen/>
            </w:r>
            <w:r>
              <w:rPr>
                <w:rFonts w:hint="eastAsia"/>
                <w:color w:val="000000" w:themeColor="text1"/>
                <w:sz w:val="24"/>
                <w14:textFill>
                  <w14:solidFill>
                    <w14:schemeClr w14:val="tx1"/>
                  </w14:solidFill>
                </w14:textFill>
              </w:rPr>
              <w:t>w—由点声源产生的声功率级(A计权或倍频带)，dB；</w:t>
            </w:r>
          </w:p>
          <w:p w14:paraId="5F463C37">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Lp(r</w:t>
            </w:r>
            <w:r>
              <w:rPr>
                <w:rFonts w:hint="eastAsia"/>
                <w:color w:val="000000" w:themeColor="text1"/>
                <w:sz w:val="24"/>
                <w:vertAlign w:val="subscript"/>
                <w14:textFill>
                  <w14:solidFill>
                    <w14:schemeClr w14:val="tx1"/>
                  </w14:solidFill>
                </w14:textFill>
              </w:rPr>
              <w:t>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参考位置</w:t>
            </w:r>
            <w:r>
              <w:rPr>
                <w:rFonts w:hint="eastAsia"/>
                <w:color w:val="000000" w:themeColor="text1"/>
                <w:sz w:val="24"/>
                <w14:textFill>
                  <w14:solidFill>
                    <w14:schemeClr w14:val="tx1"/>
                  </w14:solidFill>
                </w14:textFill>
              </w:rPr>
              <w:t>r0</w:t>
            </w:r>
            <w:r>
              <w:rPr>
                <w:color w:val="000000" w:themeColor="text1"/>
                <w:sz w:val="24"/>
                <w14:textFill>
                  <w14:solidFill>
                    <w14:schemeClr w14:val="tx1"/>
                  </w14:solidFill>
                </w14:textFill>
              </w:rPr>
              <w:t>处的声压级，</w:t>
            </w:r>
            <w:r>
              <w:rPr>
                <w:rFonts w:hint="eastAsia"/>
                <w:color w:val="000000" w:themeColor="text1"/>
                <w:sz w:val="24"/>
                <w14:textFill>
                  <w14:solidFill>
                    <w14:schemeClr w14:val="tx1"/>
                  </w14:solidFill>
                </w14:textFill>
              </w:rPr>
              <w:t>dB</w:t>
            </w:r>
            <w:r>
              <w:rPr>
                <w:color w:val="000000" w:themeColor="text1"/>
                <w:sz w:val="24"/>
                <w14:textFill>
                  <w14:solidFill>
                    <w14:schemeClr w14:val="tx1"/>
                  </w14:solidFill>
                </w14:textFill>
              </w:rPr>
              <w:t>；</w:t>
            </w:r>
          </w:p>
          <w:p w14:paraId="42E7A4D2">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Dc—指向性校正，它描述点声源的等效连续声压级与产生声功率级Lw的全向点声源在规定方向的声级的偏差程度，dB； </w:t>
            </w:r>
          </w:p>
          <w:p w14:paraId="56C05E27">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Adiv—几何发散引起的衰减，dB； </w:t>
            </w:r>
          </w:p>
          <w:p w14:paraId="22796A12">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Aatm—大气吸收引起的衰减，dB； </w:t>
            </w:r>
          </w:p>
          <w:p w14:paraId="19A376A0">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Agr—地面效应引起的衰减，dB；</w:t>
            </w:r>
          </w:p>
          <w:p w14:paraId="2904DD79">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Abar—障碍物屏蔽引起的衰减，dB；</w:t>
            </w:r>
          </w:p>
          <w:p w14:paraId="52F968A9">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Amisc—其他多方面效应引起的衰减，dB。</w:t>
            </w:r>
          </w:p>
          <w:p w14:paraId="6666EBA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w:t>
            </w:r>
            <w:r>
              <w:rPr>
                <w:rFonts w:ascii="宋体" w:hAnsi="宋体"/>
                <w:color w:val="000000" w:themeColor="text1"/>
                <w:sz w:val="24"/>
                <w14:textFill>
                  <w14:solidFill>
                    <w14:schemeClr w14:val="tx1"/>
                  </w14:solidFill>
                </w14:textFill>
              </w:rPr>
              <w:t>预测点的</w:t>
            </w:r>
            <w:r>
              <w:rPr>
                <w:rFonts w:eastAsia="Times New Roman"/>
                <w:color w:val="000000" w:themeColor="text1"/>
                <w:sz w:val="24"/>
                <w14:textFill>
                  <w14:solidFill>
                    <w14:schemeClr w14:val="tx1"/>
                  </w14:solidFill>
                </w14:textFill>
              </w:rPr>
              <w:t>A</w:t>
            </w:r>
            <w:r>
              <w:rPr>
                <w:rFonts w:ascii="宋体" w:hAnsi="宋体"/>
                <w:color w:val="000000" w:themeColor="text1"/>
                <w:sz w:val="24"/>
                <w14:textFill>
                  <w14:solidFill>
                    <w14:schemeClr w14:val="tx1"/>
                  </w14:solidFill>
                </w14:textFill>
              </w:rPr>
              <w:t>声级</w:t>
            </w:r>
            <w:r>
              <w:rPr>
                <w:rFonts w:eastAsia="Times New Roman"/>
                <w:i/>
                <w:color w:val="000000" w:themeColor="text1"/>
                <w:sz w:val="24"/>
                <w14:textFill>
                  <w14:solidFill>
                    <w14:schemeClr w14:val="tx1"/>
                  </w14:solidFill>
                </w14:textFill>
              </w:rPr>
              <w:t>L</w:t>
            </w:r>
            <w:r>
              <w:rPr>
                <w:rFonts w:eastAsia="Times New Roman"/>
                <w:color w:val="000000" w:themeColor="text1"/>
                <w:sz w:val="24"/>
                <w:vertAlign w:val="subscript"/>
                <w14:textFill>
                  <w14:solidFill>
                    <w14:schemeClr w14:val="tx1"/>
                  </w14:solidFill>
                </w14:textFill>
              </w:rPr>
              <w:t>A</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可按</w:t>
            </w:r>
            <w:r>
              <w:rPr>
                <w:rFonts w:hint="eastAsia" w:ascii="宋体" w:hAnsi="宋体"/>
                <w:color w:val="000000" w:themeColor="text1"/>
                <w:sz w:val="24"/>
                <w14:textFill>
                  <w14:solidFill>
                    <w14:schemeClr w14:val="tx1"/>
                  </w14:solidFill>
                </w14:textFill>
              </w:rPr>
              <w:t>下式</w:t>
            </w:r>
            <w:r>
              <w:rPr>
                <w:rFonts w:ascii="宋体" w:hAnsi="宋体"/>
                <w:color w:val="000000" w:themeColor="text1"/>
                <w:sz w:val="24"/>
                <w14:textFill>
                  <w14:solidFill>
                    <w14:schemeClr w14:val="tx1"/>
                  </w14:solidFill>
                </w14:textFill>
              </w:rPr>
              <w:t>计算，即将</w:t>
            </w:r>
            <w:r>
              <w:rPr>
                <w:rFonts w:eastAsia="Times New Roman"/>
                <w:color w:val="000000" w:themeColor="text1"/>
                <w:sz w:val="24"/>
                <w14:textFill>
                  <w14:solidFill>
                    <w14:schemeClr w14:val="tx1"/>
                  </w14:solidFill>
                </w14:textFill>
              </w:rPr>
              <w:t>8</w:t>
            </w:r>
            <w:r>
              <w:rPr>
                <w:rFonts w:ascii="宋体" w:hAnsi="宋体"/>
                <w:color w:val="000000" w:themeColor="text1"/>
                <w:sz w:val="24"/>
                <w14:textFill>
                  <w14:solidFill>
                    <w14:schemeClr w14:val="tx1"/>
                  </w14:solidFill>
                </w14:textFill>
              </w:rPr>
              <w:t>个倍频带声压级合成，计算出预测点的</w:t>
            </w:r>
            <w:r>
              <w:rPr>
                <w:rFonts w:eastAsia="Times New Roman"/>
                <w:color w:val="000000" w:themeColor="text1"/>
                <w:sz w:val="24"/>
                <w14:textFill>
                  <w14:solidFill>
                    <w14:schemeClr w14:val="tx1"/>
                  </w14:solidFill>
                </w14:textFill>
              </w:rPr>
              <w:t>A</w:t>
            </w:r>
            <w:r>
              <w:rPr>
                <w:rFonts w:ascii="宋体" w:hAnsi="宋体"/>
                <w:color w:val="000000" w:themeColor="text1"/>
                <w:sz w:val="24"/>
                <w14:textFill>
                  <w14:solidFill>
                    <w14:schemeClr w14:val="tx1"/>
                  </w14:solidFill>
                </w14:textFill>
              </w:rPr>
              <w:t>声级</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L</w:t>
            </w:r>
            <w:r>
              <w:rPr>
                <w:rFonts w:eastAsia="Times New Roman"/>
                <w:color w:val="000000" w:themeColor="text1"/>
                <w:sz w:val="24"/>
                <w:vertAlign w:val="subscript"/>
                <w14:textFill>
                  <w14:solidFill>
                    <w14:schemeClr w14:val="tx1"/>
                  </w14:solidFill>
                </w14:textFill>
              </w:rPr>
              <w:t>A</w:t>
            </w:r>
            <w:r>
              <w:rPr>
                <w:rFonts w:eastAsia="Times New Roman"/>
                <w:color w:val="000000" w:themeColor="text1"/>
                <w:sz w:val="24"/>
                <w14:textFill>
                  <w14:solidFill>
                    <w14:schemeClr w14:val="tx1"/>
                  </w14:solidFill>
                </w14:textFill>
              </w:rPr>
              <w:t>(</w:t>
            </w:r>
            <w:r>
              <w:rPr>
                <w:rFonts w:eastAsia="Times New Roman"/>
                <w:i/>
                <w:color w:val="000000" w:themeColor="text1"/>
                <w:sz w:val="24"/>
                <w14:textFill>
                  <w14:solidFill>
                    <w14:schemeClr w14:val="tx1"/>
                  </w14:solidFill>
                </w14:textFill>
              </w:rPr>
              <w:t>r</w:t>
            </w:r>
            <w:r>
              <w:rPr>
                <w:rFonts w:eastAsia="Times New Roman"/>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w:t>
            </w:r>
          </w:p>
          <w:p w14:paraId="4E6F8992">
            <w:pPr>
              <w:spacing w:line="360" w:lineRule="auto"/>
              <w:ind w:firstLine="1778" w:firstLineChars="738"/>
              <w:rPr>
                <w:b/>
                <w:color w:val="000000" w:themeColor="text1"/>
                <w:sz w:val="24"/>
                <w14:textFill>
                  <w14:solidFill>
                    <w14:schemeClr w14:val="tx1"/>
                  </w14:solidFill>
                </w14:textFill>
              </w:rPr>
            </w:pPr>
            <w:r>
              <w:rPr>
                <w:b/>
                <w:color w:val="000000" w:themeColor="text1"/>
                <w:sz w:val="24"/>
                <w14:textFill>
                  <w14:solidFill>
                    <w14:schemeClr w14:val="tx1"/>
                  </w14:solidFill>
                </w14:textFill>
              </w:rPr>
              <w:drawing>
                <wp:inline distT="0" distB="0" distL="114300" distR="114300">
                  <wp:extent cx="1935480" cy="419100"/>
                  <wp:effectExtent l="0" t="0" r="0" b="7620"/>
                  <wp:docPr id="13"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1"/>
                          <pic:cNvPicPr>
                            <a:picLocks noChangeAspect="1"/>
                          </pic:cNvPicPr>
                        </pic:nvPicPr>
                        <pic:blipFill>
                          <a:blip r:embed="rId21"/>
                          <a:stretch>
                            <a:fillRect/>
                          </a:stretch>
                        </pic:blipFill>
                        <pic:spPr>
                          <a:xfrm>
                            <a:off x="0" y="0"/>
                            <a:ext cx="1935480" cy="419100"/>
                          </a:xfrm>
                          <a:prstGeom prst="rect">
                            <a:avLst/>
                          </a:prstGeom>
                          <a:noFill/>
                          <a:ln>
                            <a:noFill/>
                          </a:ln>
                        </pic:spPr>
                      </pic:pic>
                    </a:graphicData>
                  </a:graphic>
                </wp:inline>
              </w:drawing>
            </w:r>
            <w:r>
              <w:rPr>
                <w:b/>
                <w:color w:val="000000" w:themeColor="text1"/>
                <w:sz w:val="24"/>
                <w14:textFill>
                  <w14:solidFill>
                    <w14:schemeClr w14:val="tx1"/>
                  </w14:solidFill>
                </w14:textFill>
              </w:rPr>
              <w:t xml:space="preserve">                       </w:t>
            </w:r>
          </w:p>
          <w:p w14:paraId="33339A46">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72357D3D">
            <w:pPr>
              <w:adjustRightInd w:val="0"/>
              <w:snapToGrid w:val="0"/>
              <w:spacing w:line="360" w:lineRule="auto"/>
              <w:ind w:firstLine="48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w:t>
            </w: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距声源r处的A声级，dB(A)；</w:t>
            </w:r>
          </w:p>
          <w:p w14:paraId="4CC973B9">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pi</w:t>
            </w:r>
            <w:r>
              <w:rPr>
                <w:rFonts w:hint="eastAsia"/>
                <w:color w:val="000000" w:themeColor="text1"/>
                <w:sz w:val="24"/>
                <w14:textFill>
                  <w14:solidFill>
                    <w14:schemeClr w14:val="tx1"/>
                  </w14:solidFill>
                </w14:textFill>
              </w:rPr>
              <w:t>(r)—预测点(r)处，第i倍频带声压级，dB；</w:t>
            </w:r>
          </w:p>
          <w:p w14:paraId="69B8BEB3">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—i倍频带A计算网络修正值，dB(根据导则附录B计算)。</w:t>
            </w:r>
          </w:p>
          <w:p w14:paraId="174E4B86">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衰减项计算按导则附录A中A.3相关模式计算。</w:t>
            </w:r>
          </w:p>
          <w:p w14:paraId="5B37067E">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(3)噪声贡献值计算</w:t>
            </w:r>
          </w:p>
          <w:p w14:paraId="5CB860B3">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设第</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个室外声源在预测点产生的</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声级为</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Ai</w:t>
            </w:r>
            <w:r>
              <w:rPr>
                <w:rFonts w:hint="eastAsia"/>
                <w:color w:val="000000" w:themeColor="text1"/>
                <w:sz w:val="24"/>
                <w14:textFill>
                  <w14:solidFill>
                    <w14:schemeClr w14:val="tx1"/>
                  </w14:solidFill>
                </w14:textFill>
              </w:rPr>
              <w:t>，在</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时间内该声源工作时间为</w:t>
            </w: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j</w:t>
            </w:r>
            <w:r>
              <w:rPr>
                <w:rFonts w:hint="eastAsia"/>
                <w:color w:val="000000" w:themeColor="text1"/>
                <w:sz w:val="24"/>
                <w14:textFill>
                  <w14:solidFill>
                    <w14:schemeClr w14:val="tx1"/>
                  </w14:solidFill>
                </w14:textFill>
              </w:rPr>
              <w:t>个等效室外声源在预测点产生的</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声级为</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Aj</w:t>
            </w:r>
            <w:r>
              <w:rPr>
                <w:rFonts w:hint="eastAsia"/>
                <w:color w:val="000000" w:themeColor="text1"/>
                <w:sz w:val="24"/>
                <w14:textFill>
                  <w14:solidFill>
                    <w14:schemeClr w14:val="tx1"/>
                  </w14:solidFill>
                </w14:textFill>
              </w:rPr>
              <w:t>，在</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时间内该声源工作时间为</w:t>
            </w: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 xml:space="preserve"> j</w:t>
            </w:r>
            <w:r>
              <w:rPr>
                <w:rFonts w:hint="eastAsia"/>
                <w:color w:val="000000" w:themeColor="text1"/>
                <w:sz w:val="24"/>
                <w14:textFill>
                  <w14:solidFill>
                    <w14:schemeClr w14:val="tx1"/>
                  </w14:solidFill>
                </w14:textFill>
              </w:rPr>
              <w:t>，则拟建工程声源对预测点产生的贡献值(</w:t>
            </w:r>
            <w:r>
              <w:rPr>
                <w:color w:val="000000" w:themeColor="text1"/>
                <w:sz w:val="24"/>
                <w14:textFill>
                  <w14:solidFill>
                    <w14:schemeClr w14:val="tx1"/>
                  </w14:solidFill>
                </w14:textFill>
              </w:rPr>
              <w:t>Leqg</w:t>
            </w:r>
            <w:r>
              <w:rPr>
                <w:rFonts w:hint="eastAsia"/>
                <w:color w:val="000000" w:themeColor="text1"/>
                <w:sz w:val="24"/>
                <w14:textFill>
                  <w14:solidFill>
                    <w14:schemeClr w14:val="tx1"/>
                  </w14:solidFill>
                </w14:textFill>
              </w:rPr>
              <w:t>)为：</w:t>
            </w:r>
          </w:p>
          <w:p w14:paraId="250BF3DC">
            <w:pPr>
              <w:spacing w:line="360" w:lineRule="auto"/>
              <w:ind w:firstLine="555"/>
              <w:jc w:val="center"/>
              <w:rPr>
                <w:color w:val="000000" w:themeColor="text1"/>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2367280" cy="485775"/>
                  <wp:effectExtent l="0" t="0" r="10160" b="1905"/>
                  <wp:docPr id="15"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82"/>
                          <pic:cNvPicPr>
                            <a:picLocks noChangeAspect="1"/>
                          </pic:cNvPicPr>
                        </pic:nvPicPr>
                        <pic:blipFill>
                          <a:blip r:embed="rId22"/>
                          <a:stretch>
                            <a:fillRect/>
                          </a:stretch>
                        </pic:blipFill>
                        <pic:spPr>
                          <a:xfrm>
                            <a:off x="0" y="0"/>
                            <a:ext cx="2367280" cy="485775"/>
                          </a:xfrm>
                          <a:prstGeom prst="rect">
                            <a:avLst/>
                          </a:prstGeom>
                          <a:noFill/>
                          <a:ln>
                            <a:noFill/>
                          </a:ln>
                        </pic:spPr>
                      </pic:pic>
                    </a:graphicData>
                  </a:graphic>
                </wp:inline>
              </w:drawing>
            </w:r>
            <w:r>
              <w:rPr>
                <w:color w:val="000000" w:themeColor="text1"/>
                <w:szCs w:val="28"/>
                <w14:textFill>
                  <w14:solidFill>
                    <w14:schemeClr w14:val="tx1"/>
                  </w14:solidFill>
                </w14:textFill>
              </w:rPr>
              <w:t xml:space="preserve">  </w:t>
            </w:r>
          </w:p>
          <w:p w14:paraId="5D106E4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r>
              <w:rPr>
                <w:color w:val="000000" w:themeColor="text1"/>
                <w:sz w:val="24"/>
                <w14:textFill>
                  <w14:solidFill>
                    <w14:schemeClr w14:val="tx1"/>
                  </w14:solidFill>
                </w14:textFill>
              </w:rPr>
              <w:t>Leqg——</w:t>
            </w:r>
            <w:r>
              <w:rPr>
                <w:rFonts w:hint="eastAsia"/>
                <w:color w:val="000000" w:themeColor="text1"/>
                <w:sz w:val="24"/>
                <w14:textFill>
                  <w14:solidFill>
                    <w14:schemeClr w14:val="tx1"/>
                  </w14:solidFill>
                </w14:textFill>
              </w:rPr>
              <w:t>建设项目声源在预测点产生的噪声贡献值，</w:t>
            </w:r>
            <w:r>
              <w:rPr>
                <w:color w:val="000000" w:themeColor="text1"/>
                <w:sz w:val="24"/>
                <w14:textFill>
                  <w14:solidFill>
                    <w14:schemeClr w14:val="tx1"/>
                  </w14:solidFill>
                </w14:textFill>
              </w:rPr>
              <w:t>dB(A)</w:t>
            </w:r>
            <w:r>
              <w:rPr>
                <w:rFonts w:hint="eastAsia"/>
                <w:color w:val="000000" w:themeColor="text1"/>
                <w:sz w:val="24"/>
                <w14:textFill>
                  <w14:solidFill>
                    <w14:schemeClr w14:val="tx1"/>
                  </w14:solidFill>
                </w14:textFill>
              </w:rPr>
              <w:t xml:space="preserve">； </w:t>
            </w:r>
          </w:p>
          <w:p w14:paraId="211ED3B7">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用于计算等效声级的时间，</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 xml:space="preserve">； </w:t>
            </w:r>
          </w:p>
          <w:p w14:paraId="44A8CF8E">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N——</w:t>
            </w:r>
            <w:r>
              <w:rPr>
                <w:rFonts w:hint="eastAsia"/>
                <w:color w:val="000000" w:themeColor="text1"/>
                <w:sz w:val="24"/>
                <w14:textFill>
                  <w14:solidFill>
                    <w14:schemeClr w14:val="tx1"/>
                  </w14:solidFill>
                </w14:textFill>
              </w:rPr>
              <w:t xml:space="preserve">室外声源个数； </w:t>
            </w:r>
          </w:p>
          <w:p w14:paraId="6088E8FD">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在</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时间内</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声源工作时间，</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 xml:space="preserve">； </w:t>
            </w:r>
          </w:p>
          <w:p w14:paraId="099CBA04">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 xml:space="preserve">等效室外声源个数； </w:t>
            </w:r>
          </w:p>
          <w:p w14:paraId="4C6C1A31">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 xml:space="preserve">j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在</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时间内</w:t>
            </w:r>
            <w:r>
              <w:rPr>
                <w:color w:val="000000" w:themeColor="text1"/>
                <w:sz w:val="24"/>
                <w14:textFill>
                  <w14:solidFill>
                    <w14:schemeClr w14:val="tx1"/>
                  </w14:solidFill>
                </w14:textFill>
              </w:rPr>
              <w:t>j</w:t>
            </w:r>
            <w:r>
              <w:rPr>
                <w:rFonts w:hint="eastAsia"/>
                <w:color w:val="000000" w:themeColor="text1"/>
                <w:sz w:val="24"/>
                <w14:textFill>
                  <w14:solidFill>
                    <w14:schemeClr w14:val="tx1"/>
                  </w14:solidFill>
                </w14:textFill>
              </w:rPr>
              <w:t>声源工作时间，</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w:t>
            </w:r>
          </w:p>
          <w:p w14:paraId="3E1E6CDC">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(4)噪声预测值计算</w:t>
            </w:r>
          </w:p>
          <w:p w14:paraId="6A7764E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预测点的贡献值和背景值按能量叠加方法计算得到的声级</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计算公式：</w:t>
            </w:r>
          </w:p>
          <w:p w14:paraId="367116F6">
            <w:pPr>
              <w:spacing w:line="360" w:lineRule="auto"/>
              <w:ind w:firstLine="1680" w:firstLineChars="700"/>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907540" cy="304165"/>
                  <wp:effectExtent l="0" t="0" r="12700" b="635"/>
                  <wp:docPr id="16"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3"/>
                          <pic:cNvPicPr>
                            <a:picLocks noChangeAspect="1"/>
                          </pic:cNvPicPr>
                        </pic:nvPicPr>
                        <pic:blipFill>
                          <a:blip r:embed="rId23"/>
                          <a:stretch>
                            <a:fillRect/>
                          </a:stretch>
                        </pic:blipFill>
                        <pic:spPr>
                          <a:xfrm>
                            <a:off x="0" y="0"/>
                            <a:ext cx="1907540" cy="304165"/>
                          </a:xfrm>
                          <a:prstGeom prst="rect">
                            <a:avLst/>
                          </a:prstGeom>
                          <a:noFill/>
                          <a:ln>
                            <a:noFill/>
                          </a:ln>
                        </pic:spPr>
                      </pic:pic>
                    </a:graphicData>
                  </a:graphic>
                </wp:inline>
              </w:drawing>
            </w:r>
            <w:r>
              <w:rPr>
                <w:color w:val="000000" w:themeColor="text1"/>
                <w:sz w:val="24"/>
                <w14:textFill>
                  <w14:solidFill>
                    <w14:schemeClr w14:val="tx1"/>
                  </w14:solidFill>
                </w14:textFill>
              </w:rPr>
              <w:t xml:space="preserve">            (2)</w:t>
            </w:r>
          </w:p>
          <w:p w14:paraId="562BDD88">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5029A220">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rFonts w:hint="eastAsia"/>
                <w:color w:val="000000" w:themeColor="text1"/>
                <w:sz w:val="24"/>
                <w:vertAlign w:val="subscript"/>
                <w14:textFill>
                  <w14:solidFill>
                    <w14:schemeClr w14:val="tx1"/>
                  </w14:solidFill>
                </w14:textFill>
              </w:rPr>
              <w:t>eq</w:t>
            </w:r>
            <w:r>
              <w:rPr>
                <w:color w:val="000000" w:themeColor="text1"/>
                <w:sz w:val="24"/>
                <w14:textFill>
                  <w14:solidFill>
                    <w14:schemeClr w14:val="tx1"/>
                  </w14:solidFill>
                </w14:textFill>
              </w:rPr>
              <w:t>—预测点的噪声预测值，dB；</w:t>
            </w:r>
          </w:p>
          <w:p w14:paraId="0285ABD7">
            <w:pPr>
              <w:spacing w:line="360" w:lineRule="auto"/>
              <w:ind w:firstLine="48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eqg</w:t>
            </w:r>
            <w:r>
              <w:rPr>
                <w:color w:val="000000" w:themeColor="text1"/>
                <w:sz w:val="24"/>
                <w14:textFill>
                  <w14:solidFill>
                    <w14:schemeClr w14:val="tx1"/>
                  </w14:solidFill>
                </w14:textFill>
              </w:rPr>
              <w:t>—建设项目声源在预测点产生的噪声贡献值，dB</w:t>
            </w:r>
            <w:r>
              <w:rPr>
                <w:rFonts w:hint="eastAsia"/>
                <w:color w:val="000000" w:themeColor="text1"/>
                <w:sz w:val="24"/>
                <w14:textFill>
                  <w14:solidFill>
                    <w14:schemeClr w14:val="tx1"/>
                  </w14:solidFill>
                </w14:textFill>
              </w:rPr>
              <w:t>；</w:t>
            </w:r>
          </w:p>
          <w:p w14:paraId="12F99440">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w:t>
            </w:r>
            <w:r>
              <w:rPr>
                <w:rFonts w:hint="eastAsia"/>
                <w:color w:val="000000" w:themeColor="text1"/>
                <w:sz w:val="24"/>
                <w:vertAlign w:val="subscript"/>
                <w14:textFill>
                  <w14:solidFill>
                    <w14:schemeClr w14:val="tx1"/>
                  </w14:solidFill>
                </w14:textFill>
              </w:rPr>
              <w:t>b</w:t>
            </w:r>
            <w:r>
              <w:rPr>
                <w:color w:val="000000" w:themeColor="text1"/>
                <w:sz w:val="24"/>
                <w14:textFill>
                  <w14:solidFill>
                    <w14:schemeClr w14:val="tx1"/>
                  </w14:solidFill>
                </w14:textFill>
              </w:rPr>
              <w:t>—预测点的背景噪声值，dB。</w:t>
            </w:r>
          </w:p>
          <w:p w14:paraId="6B8DE5B3">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预测结果</w:t>
            </w:r>
          </w:p>
          <w:p w14:paraId="37E5B146">
            <w:pPr>
              <w:pStyle w:val="43"/>
              <w:bidi w:val="0"/>
            </w:pPr>
            <w:r>
              <w:rPr>
                <w:rFonts w:hint="eastAsia"/>
                <w:lang w:val="zh-CN"/>
              </w:rPr>
              <w:t>①</w:t>
            </w:r>
            <w:r>
              <w:rPr>
                <w:rFonts w:hint="eastAsia"/>
              </w:rPr>
              <w:t>厂界噪声预测结果</w:t>
            </w:r>
          </w:p>
          <w:p w14:paraId="12CADFF3">
            <w:pPr>
              <w:pStyle w:val="43"/>
              <w:bidi w:val="0"/>
              <w:rPr>
                <w:lang w:val="zh-CN"/>
              </w:rPr>
            </w:pPr>
            <w:r>
              <w:rPr>
                <w:lang w:val="zh-CN"/>
              </w:rPr>
              <w:t>利用上述模式计算本项目噪声源同时工作时</w:t>
            </w:r>
            <w:r>
              <w:rPr>
                <w:rFonts w:hint="eastAsia"/>
                <w:lang w:val="zh-CN"/>
              </w:rPr>
              <w:t>噪声对厂界的影响</w:t>
            </w:r>
            <w:r>
              <w:rPr>
                <w:lang w:val="zh-CN"/>
              </w:rPr>
              <w:t>，具体预测结果见表</w:t>
            </w:r>
            <w:r>
              <w:rPr>
                <w:rFonts w:hint="eastAsia"/>
              </w:rPr>
              <w:t>4.4-</w:t>
            </w:r>
            <w:r>
              <w:rPr>
                <w:rFonts w:hint="eastAsia"/>
                <w:lang w:val="en-US" w:eastAsia="zh-CN"/>
              </w:rPr>
              <w:t>3</w:t>
            </w:r>
            <w:r>
              <w:rPr>
                <w:lang w:val="zh-CN"/>
              </w:rPr>
              <w:t>所示。</w:t>
            </w:r>
          </w:p>
          <w:p w14:paraId="4BB97039">
            <w:pPr>
              <w:pStyle w:val="81"/>
              <w:bidi w:val="0"/>
              <w:rPr>
                <w:rFonts w:hint="default"/>
                <w:highlight w:val="yellow"/>
              </w:rPr>
            </w:pPr>
          </w:p>
          <w:p w14:paraId="79010CD1">
            <w:pPr>
              <w:pStyle w:val="81"/>
              <w:bidi w:val="0"/>
              <w:rPr>
                <w:rFonts w:hint="default"/>
                <w:highlight w:val="yellow"/>
              </w:rPr>
            </w:pPr>
          </w:p>
          <w:p w14:paraId="57646588">
            <w:pPr>
              <w:pStyle w:val="81"/>
              <w:bidi w:val="0"/>
              <w:rPr>
                <w:rFonts w:hint="default"/>
                <w:highlight w:val="none"/>
              </w:rPr>
            </w:pPr>
            <w:r>
              <w:rPr>
                <w:rFonts w:hint="default"/>
                <w:highlight w:val="none"/>
              </w:rPr>
              <w:t>表</w:t>
            </w:r>
            <w:r>
              <w:rPr>
                <w:rFonts w:hint="default"/>
                <w:highlight w:val="none"/>
                <w:lang w:val="en-US" w:eastAsia="zh-CN"/>
              </w:rPr>
              <w:t>4.</w:t>
            </w:r>
            <w:r>
              <w:rPr>
                <w:rFonts w:hint="eastAsia"/>
                <w:highlight w:val="none"/>
                <w:lang w:val="en-US" w:eastAsia="zh-CN"/>
              </w:rPr>
              <w:t>4</w:t>
            </w:r>
            <w:r>
              <w:rPr>
                <w:rFonts w:hint="default"/>
                <w:highlight w:val="none"/>
                <w:lang w:val="en-US" w:eastAsia="zh-CN"/>
              </w:rPr>
              <w:t>-</w:t>
            </w:r>
            <w:r>
              <w:rPr>
                <w:rFonts w:hint="eastAsia"/>
                <w:highlight w:val="none"/>
                <w:lang w:val="en-US" w:eastAsia="zh-CN"/>
              </w:rPr>
              <w:t>3</w:t>
            </w:r>
            <w:r>
              <w:rPr>
                <w:rFonts w:hint="default"/>
                <w:highlight w:val="none"/>
              </w:rPr>
              <w:t xml:space="preserve">  厂界噪声预测结果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752"/>
              <w:gridCol w:w="1039"/>
              <w:gridCol w:w="1039"/>
              <w:gridCol w:w="1059"/>
              <w:gridCol w:w="1059"/>
              <w:gridCol w:w="1470"/>
            </w:tblGrid>
            <w:tr w14:paraId="51C49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34" w:type="pct"/>
                  <w:vMerge w:val="restart"/>
                  <w:noWrap w:val="0"/>
                  <w:vAlign w:val="center"/>
                </w:tcPr>
                <w:p w14:paraId="3825987B">
                  <w:pPr>
                    <w:pStyle w:val="64"/>
                    <w:bidi w:val="0"/>
                    <w:rPr>
                      <w:rFonts w:hint="default"/>
                      <w:highlight w:val="none"/>
                    </w:rPr>
                  </w:pPr>
                  <w:r>
                    <w:rPr>
                      <w:rFonts w:hint="default"/>
                      <w:highlight w:val="none"/>
                    </w:rPr>
                    <w:t>测点位置</w:t>
                  </w:r>
                </w:p>
              </w:tc>
              <w:tc>
                <w:tcPr>
                  <w:tcW w:w="617" w:type="pct"/>
                  <w:noWrap w:val="0"/>
                  <w:vAlign w:val="center"/>
                </w:tcPr>
                <w:p w14:paraId="0B1BF07D">
                  <w:pPr>
                    <w:pStyle w:val="64"/>
                    <w:bidi w:val="0"/>
                    <w:rPr>
                      <w:rFonts w:hint="eastAsia"/>
                      <w:highlight w:val="none"/>
                      <w:lang w:eastAsia="zh-CN"/>
                    </w:rPr>
                  </w:pPr>
                  <w:r>
                    <w:rPr>
                      <w:rFonts w:hint="eastAsia"/>
                      <w:highlight w:val="none"/>
                      <w:lang w:eastAsia="zh-CN"/>
                    </w:rPr>
                    <w:t>现状值</w:t>
                  </w:r>
                </w:p>
              </w:tc>
              <w:tc>
                <w:tcPr>
                  <w:tcW w:w="617" w:type="pct"/>
                  <w:noWrap w:val="0"/>
                  <w:vAlign w:val="center"/>
                </w:tcPr>
                <w:p w14:paraId="41E69572">
                  <w:pPr>
                    <w:pStyle w:val="64"/>
                    <w:bidi w:val="0"/>
                    <w:rPr>
                      <w:rFonts w:hint="eastAsia"/>
                      <w:highlight w:val="none"/>
                      <w:lang w:eastAsia="zh-CN"/>
                    </w:rPr>
                  </w:pPr>
                  <w:r>
                    <w:rPr>
                      <w:rFonts w:hint="eastAsia"/>
                      <w:highlight w:val="none"/>
                      <w:lang w:eastAsia="zh-CN"/>
                    </w:rPr>
                    <w:t>贡献值</w:t>
                  </w:r>
                </w:p>
              </w:tc>
              <w:tc>
                <w:tcPr>
                  <w:tcW w:w="629" w:type="pct"/>
                  <w:noWrap w:val="0"/>
                  <w:vAlign w:val="center"/>
                </w:tcPr>
                <w:p w14:paraId="40FD2438">
                  <w:pPr>
                    <w:pStyle w:val="64"/>
                    <w:bidi w:val="0"/>
                    <w:rPr>
                      <w:rFonts w:hint="eastAsia"/>
                      <w:highlight w:val="none"/>
                      <w:lang w:eastAsia="zh-CN"/>
                    </w:rPr>
                  </w:pPr>
                  <w:r>
                    <w:rPr>
                      <w:rFonts w:hint="eastAsia"/>
                      <w:highlight w:val="none"/>
                      <w:lang w:eastAsia="zh-CN"/>
                    </w:rPr>
                    <w:t>预测值</w:t>
                  </w:r>
                </w:p>
              </w:tc>
              <w:tc>
                <w:tcPr>
                  <w:tcW w:w="629" w:type="pct"/>
                  <w:noWrap w:val="0"/>
                  <w:vAlign w:val="center"/>
                </w:tcPr>
                <w:p w14:paraId="0020E7BF">
                  <w:pPr>
                    <w:pStyle w:val="64"/>
                    <w:bidi w:val="0"/>
                    <w:rPr>
                      <w:rFonts w:hint="eastAsia"/>
                      <w:highlight w:val="none"/>
                      <w:lang w:eastAsia="zh-CN"/>
                    </w:rPr>
                  </w:pPr>
                  <w:r>
                    <w:rPr>
                      <w:rFonts w:hint="eastAsia"/>
                      <w:highlight w:val="none"/>
                      <w:lang w:eastAsia="zh-CN"/>
                    </w:rPr>
                    <w:t>标准限值</w:t>
                  </w:r>
                </w:p>
              </w:tc>
              <w:tc>
                <w:tcPr>
                  <w:tcW w:w="872" w:type="pct"/>
                  <w:vMerge w:val="restart"/>
                  <w:noWrap w:val="0"/>
                  <w:vAlign w:val="center"/>
                </w:tcPr>
                <w:p w14:paraId="04865124">
                  <w:pPr>
                    <w:pStyle w:val="64"/>
                    <w:bidi w:val="0"/>
                    <w:rPr>
                      <w:rFonts w:hint="default"/>
                      <w:highlight w:val="none"/>
                    </w:rPr>
                  </w:pPr>
                  <w:r>
                    <w:rPr>
                      <w:rFonts w:hint="default"/>
                      <w:highlight w:val="none"/>
                    </w:rPr>
                    <w:t>达标情况</w:t>
                  </w:r>
                </w:p>
              </w:tc>
            </w:tr>
            <w:tr w14:paraId="649A0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34" w:type="pct"/>
                  <w:vMerge w:val="continue"/>
                  <w:noWrap w:val="0"/>
                  <w:vAlign w:val="center"/>
                </w:tcPr>
                <w:p w14:paraId="53EEF267">
                  <w:pPr>
                    <w:pStyle w:val="64"/>
                    <w:bidi w:val="0"/>
                    <w:rPr>
                      <w:rFonts w:hint="default"/>
                      <w:highlight w:val="none"/>
                    </w:rPr>
                  </w:pPr>
                </w:p>
              </w:tc>
              <w:tc>
                <w:tcPr>
                  <w:tcW w:w="617" w:type="pct"/>
                  <w:noWrap w:val="0"/>
                  <w:vAlign w:val="center"/>
                </w:tcPr>
                <w:p w14:paraId="6C7C0403">
                  <w:pPr>
                    <w:pStyle w:val="64"/>
                    <w:bidi w:val="0"/>
                    <w:rPr>
                      <w:rFonts w:hint="eastAsia"/>
                      <w:highlight w:val="none"/>
                      <w:lang w:eastAsia="zh-CN"/>
                    </w:rPr>
                  </w:pPr>
                  <w:r>
                    <w:rPr>
                      <w:rFonts w:hint="eastAsia"/>
                      <w:highlight w:val="none"/>
                      <w:lang w:eastAsia="zh-CN"/>
                    </w:rPr>
                    <w:t>昼间</w:t>
                  </w:r>
                </w:p>
              </w:tc>
              <w:tc>
                <w:tcPr>
                  <w:tcW w:w="617" w:type="pct"/>
                  <w:noWrap w:val="0"/>
                  <w:vAlign w:val="center"/>
                </w:tcPr>
                <w:p w14:paraId="01400013">
                  <w:pPr>
                    <w:pStyle w:val="64"/>
                    <w:bidi w:val="0"/>
                    <w:rPr>
                      <w:rFonts w:hint="eastAsia"/>
                      <w:highlight w:val="none"/>
                      <w:lang w:eastAsia="zh-CN"/>
                    </w:rPr>
                  </w:pPr>
                  <w:r>
                    <w:rPr>
                      <w:rFonts w:hint="eastAsia"/>
                      <w:highlight w:val="none"/>
                      <w:lang w:eastAsia="zh-CN"/>
                    </w:rPr>
                    <w:t>昼间</w:t>
                  </w:r>
                </w:p>
              </w:tc>
              <w:tc>
                <w:tcPr>
                  <w:tcW w:w="629" w:type="pct"/>
                  <w:noWrap w:val="0"/>
                  <w:vAlign w:val="center"/>
                </w:tcPr>
                <w:p w14:paraId="37B4337C">
                  <w:pPr>
                    <w:pStyle w:val="64"/>
                    <w:bidi w:val="0"/>
                    <w:rPr>
                      <w:rFonts w:hint="eastAsia"/>
                      <w:highlight w:val="none"/>
                      <w:lang w:eastAsia="zh-CN"/>
                    </w:rPr>
                  </w:pPr>
                  <w:r>
                    <w:rPr>
                      <w:rFonts w:hint="eastAsia"/>
                      <w:highlight w:val="none"/>
                      <w:lang w:eastAsia="zh-CN"/>
                    </w:rPr>
                    <w:t>昼间</w:t>
                  </w:r>
                </w:p>
              </w:tc>
              <w:tc>
                <w:tcPr>
                  <w:tcW w:w="629" w:type="pct"/>
                  <w:noWrap w:val="0"/>
                  <w:vAlign w:val="center"/>
                </w:tcPr>
                <w:p w14:paraId="33CA1B1C">
                  <w:pPr>
                    <w:pStyle w:val="64"/>
                    <w:bidi w:val="0"/>
                    <w:rPr>
                      <w:rFonts w:hint="eastAsia"/>
                      <w:highlight w:val="none"/>
                      <w:lang w:eastAsia="zh-CN"/>
                    </w:rPr>
                  </w:pPr>
                  <w:r>
                    <w:rPr>
                      <w:rFonts w:hint="eastAsia"/>
                      <w:highlight w:val="none"/>
                      <w:lang w:eastAsia="zh-CN"/>
                    </w:rPr>
                    <w:t>昼间</w:t>
                  </w:r>
                </w:p>
              </w:tc>
              <w:tc>
                <w:tcPr>
                  <w:tcW w:w="872" w:type="pct"/>
                  <w:vMerge w:val="continue"/>
                  <w:noWrap w:val="0"/>
                  <w:vAlign w:val="center"/>
                </w:tcPr>
                <w:p w14:paraId="16545CAF">
                  <w:pPr>
                    <w:pStyle w:val="64"/>
                    <w:bidi w:val="0"/>
                    <w:rPr>
                      <w:rFonts w:hint="default"/>
                      <w:highlight w:val="none"/>
                    </w:rPr>
                  </w:pPr>
                </w:p>
              </w:tc>
            </w:tr>
            <w:tr w14:paraId="01C71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3A1F0FA5">
                  <w:pPr>
                    <w:pStyle w:val="64"/>
                    <w:bidi w:val="0"/>
                    <w:rPr>
                      <w:rFonts w:hint="default"/>
                      <w:highlight w:val="none"/>
                      <w:lang w:val="en-US"/>
                    </w:rPr>
                  </w:pPr>
                  <w:r>
                    <w:rPr>
                      <w:rFonts w:hint="eastAsia"/>
                      <w:highlight w:val="none"/>
                      <w:lang w:val="en-US" w:eastAsia="zh-CN"/>
                    </w:rPr>
                    <w:t>东北侧</w:t>
                  </w:r>
                  <w:r>
                    <w:rPr>
                      <w:rFonts w:hint="default"/>
                      <w:highlight w:val="none"/>
                      <w:lang w:val="en-US" w:eastAsia="zh-CN"/>
                    </w:rPr>
                    <w:t>厂界外</w:t>
                  </w:r>
                  <w:r>
                    <w:rPr>
                      <w:rFonts w:hint="eastAsia"/>
                      <w:highlight w:val="none"/>
                      <w:lang w:val="en-US" w:eastAsia="zh-CN"/>
                    </w:rPr>
                    <w:t>1米</w:t>
                  </w:r>
                  <w:r>
                    <w:rPr>
                      <w:rFonts w:hint="default"/>
                      <w:highlight w:val="none"/>
                      <w:lang w:val="en-US" w:eastAsia="zh-CN"/>
                    </w:rPr>
                    <w:t>处</w:t>
                  </w:r>
                  <w:r>
                    <w:rPr>
                      <w:rFonts w:hint="eastAsia"/>
                      <w:highlight w:val="none"/>
                      <w:lang w:val="en-US" w:eastAsia="zh-CN"/>
                    </w:rPr>
                    <w:t>N1</w:t>
                  </w:r>
                </w:p>
              </w:tc>
              <w:tc>
                <w:tcPr>
                  <w:tcW w:w="617" w:type="pct"/>
                  <w:noWrap w:val="0"/>
                  <w:vAlign w:val="center"/>
                </w:tcPr>
                <w:p w14:paraId="5C362790">
                  <w:pPr>
                    <w:pStyle w:val="64"/>
                    <w:bidi w:val="0"/>
                    <w:rPr>
                      <w:rFonts w:hint="default"/>
                      <w:highlight w:val="none"/>
                      <w:lang w:val="en-US" w:eastAsia="zh-CN"/>
                    </w:rPr>
                  </w:pPr>
                  <w:r>
                    <w:rPr>
                      <w:rFonts w:hint="eastAsia"/>
                      <w:highlight w:val="none"/>
                      <w:lang w:val="en-US" w:eastAsia="zh-CN"/>
                    </w:rPr>
                    <w:t>56.2</w:t>
                  </w:r>
                </w:p>
              </w:tc>
              <w:tc>
                <w:tcPr>
                  <w:tcW w:w="617" w:type="pct"/>
                  <w:noWrap w:val="0"/>
                  <w:vAlign w:val="center"/>
                </w:tcPr>
                <w:p w14:paraId="746D7856">
                  <w:pPr>
                    <w:pStyle w:val="64"/>
                    <w:bidi w:val="0"/>
                    <w:rPr>
                      <w:rFonts w:hint="default"/>
                      <w:highlight w:val="none"/>
                      <w:lang w:val="en-US" w:eastAsia="zh-CN"/>
                    </w:rPr>
                  </w:pPr>
                  <w:r>
                    <w:rPr>
                      <w:rFonts w:hint="eastAsia"/>
                      <w:highlight w:val="none"/>
                    </w:rPr>
                    <w:t>52.94</w:t>
                  </w:r>
                </w:p>
              </w:tc>
              <w:tc>
                <w:tcPr>
                  <w:tcW w:w="629" w:type="pct"/>
                  <w:noWrap w:val="0"/>
                  <w:vAlign w:val="center"/>
                </w:tcPr>
                <w:p w14:paraId="14347304">
                  <w:pPr>
                    <w:pStyle w:val="64"/>
                    <w:bidi w:val="0"/>
                    <w:rPr>
                      <w:rFonts w:hint="default"/>
                      <w:highlight w:val="none"/>
                      <w:lang w:val="en-US" w:eastAsia="zh-CN"/>
                    </w:rPr>
                  </w:pPr>
                  <w:r>
                    <w:rPr>
                      <w:rFonts w:hint="eastAsia"/>
                      <w:highlight w:val="none"/>
                      <w:lang w:val="en-US" w:eastAsia="zh-CN"/>
                    </w:rPr>
                    <w:t>57.88</w:t>
                  </w:r>
                </w:p>
              </w:tc>
              <w:tc>
                <w:tcPr>
                  <w:tcW w:w="629" w:type="pct"/>
                  <w:noWrap w:val="0"/>
                  <w:vAlign w:val="center"/>
                </w:tcPr>
                <w:p w14:paraId="15EC79A9">
                  <w:pPr>
                    <w:pStyle w:val="64"/>
                    <w:bidi w:val="0"/>
                    <w:rPr>
                      <w:rFonts w:hint="default"/>
                      <w:highlight w:val="none"/>
                      <w:lang w:val="en-US"/>
                    </w:rPr>
                  </w:pPr>
                  <w:r>
                    <w:rPr>
                      <w:rFonts w:hint="eastAsia"/>
                      <w:highlight w:val="none"/>
                      <w:lang w:val="en-US" w:eastAsia="zh-CN"/>
                    </w:rPr>
                    <w:t>60</w:t>
                  </w:r>
                </w:p>
              </w:tc>
              <w:tc>
                <w:tcPr>
                  <w:tcW w:w="872" w:type="pct"/>
                  <w:noWrap w:val="0"/>
                  <w:vAlign w:val="center"/>
                </w:tcPr>
                <w:p w14:paraId="33BB61A5">
                  <w:pPr>
                    <w:pStyle w:val="64"/>
                    <w:bidi w:val="0"/>
                    <w:rPr>
                      <w:rFonts w:hint="default"/>
                      <w:highlight w:val="none"/>
                    </w:rPr>
                  </w:pPr>
                  <w:r>
                    <w:rPr>
                      <w:rFonts w:hint="default"/>
                      <w:highlight w:val="none"/>
                    </w:rPr>
                    <w:t>达标</w:t>
                  </w:r>
                </w:p>
              </w:tc>
            </w:tr>
            <w:tr w14:paraId="393B0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013697BB">
                  <w:pPr>
                    <w:pStyle w:val="64"/>
                    <w:bidi w:val="0"/>
                    <w:rPr>
                      <w:rFonts w:hint="default"/>
                      <w:highlight w:val="none"/>
                    </w:rPr>
                  </w:pPr>
                  <w:r>
                    <w:rPr>
                      <w:rFonts w:hint="eastAsia"/>
                      <w:highlight w:val="none"/>
                      <w:lang w:val="en-US" w:eastAsia="zh-CN"/>
                    </w:rPr>
                    <w:t>西北侧</w:t>
                  </w:r>
                  <w:r>
                    <w:rPr>
                      <w:rFonts w:hint="default"/>
                      <w:highlight w:val="none"/>
                      <w:lang w:val="en-US" w:eastAsia="zh-CN"/>
                    </w:rPr>
                    <w:t>厂界外</w:t>
                  </w:r>
                  <w:r>
                    <w:rPr>
                      <w:rFonts w:hint="eastAsia"/>
                      <w:highlight w:val="none"/>
                      <w:lang w:val="en-US" w:eastAsia="zh-CN"/>
                    </w:rPr>
                    <w:t>1米</w:t>
                  </w:r>
                  <w:r>
                    <w:rPr>
                      <w:rFonts w:hint="default"/>
                      <w:highlight w:val="none"/>
                      <w:lang w:val="en-US" w:eastAsia="zh-CN"/>
                    </w:rPr>
                    <w:t>处N2</w:t>
                  </w:r>
                </w:p>
              </w:tc>
              <w:tc>
                <w:tcPr>
                  <w:tcW w:w="617" w:type="pct"/>
                  <w:noWrap w:val="0"/>
                  <w:vAlign w:val="center"/>
                </w:tcPr>
                <w:p w14:paraId="7911D2CA">
                  <w:pPr>
                    <w:pStyle w:val="64"/>
                    <w:bidi w:val="0"/>
                    <w:rPr>
                      <w:rFonts w:hint="default"/>
                      <w:highlight w:val="none"/>
                      <w:lang w:val="en-US" w:eastAsia="zh-CN"/>
                    </w:rPr>
                  </w:pPr>
                  <w:r>
                    <w:rPr>
                      <w:rFonts w:hint="eastAsia"/>
                      <w:highlight w:val="none"/>
                      <w:lang w:val="en-US" w:eastAsia="zh-CN"/>
                    </w:rPr>
                    <w:t>56.0</w:t>
                  </w:r>
                </w:p>
              </w:tc>
              <w:tc>
                <w:tcPr>
                  <w:tcW w:w="617" w:type="pct"/>
                  <w:noWrap w:val="0"/>
                  <w:vAlign w:val="center"/>
                </w:tcPr>
                <w:p w14:paraId="43118AD0">
                  <w:pPr>
                    <w:pStyle w:val="64"/>
                    <w:bidi w:val="0"/>
                    <w:rPr>
                      <w:rFonts w:hint="default"/>
                      <w:highlight w:val="none"/>
                      <w:lang w:val="en-US" w:eastAsia="zh-CN"/>
                    </w:rPr>
                  </w:pPr>
                  <w:r>
                    <w:rPr>
                      <w:rFonts w:hint="eastAsia"/>
                      <w:highlight w:val="none"/>
                    </w:rPr>
                    <w:t>52.56</w:t>
                  </w:r>
                </w:p>
              </w:tc>
              <w:tc>
                <w:tcPr>
                  <w:tcW w:w="629" w:type="pct"/>
                  <w:noWrap w:val="0"/>
                  <w:vAlign w:val="center"/>
                </w:tcPr>
                <w:p w14:paraId="4D0A0BB1">
                  <w:pPr>
                    <w:pStyle w:val="64"/>
                    <w:bidi w:val="0"/>
                    <w:rPr>
                      <w:rFonts w:hint="default"/>
                      <w:highlight w:val="none"/>
                      <w:lang w:val="en-US" w:eastAsia="zh-CN"/>
                    </w:rPr>
                  </w:pPr>
                  <w:r>
                    <w:rPr>
                      <w:rFonts w:hint="eastAsia"/>
                      <w:highlight w:val="none"/>
                      <w:lang w:val="en-US" w:eastAsia="zh-CN"/>
                    </w:rPr>
                    <w:t>57.62</w:t>
                  </w:r>
                </w:p>
              </w:tc>
              <w:tc>
                <w:tcPr>
                  <w:tcW w:w="629" w:type="pct"/>
                  <w:noWrap w:val="0"/>
                  <w:vAlign w:val="center"/>
                </w:tcPr>
                <w:p w14:paraId="5B787A81">
                  <w:pPr>
                    <w:pStyle w:val="64"/>
                    <w:bidi w:val="0"/>
                    <w:rPr>
                      <w:rFonts w:hint="default"/>
                      <w:highlight w:val="none"/>
                      <w:lang w:val="en-US"/>
                    </w:rPr>
                  </w:pPr>
                  <w:r>
                    <w:rPr>
                      <w:rFonts w:hint="eastAsia"/>
                      <w:highlight w:val="none"/>
                      <w:lang w:val="en-US" w:eastAsia="zh-CN"/>
                    </w:rPr>
                    <w:t>60</w:t>
                  </w:r>
                </w:p>
              </w:tc>
              <w:tc>
                <w:tcPr>
                  <w:tcW w:w="872" w:type="pct"/>
                  <w:noWrap w:val="0"/>
                  <w:vAlign w:val="center"/>
                </w:tcPr>
                <w:p w14:paraId="0A6D8B9E">
                  <w:pPr>
                    <w:pStyle w:val="64"/>
                    <w:bidi w:val="0"/>
                    <w:rPr>
                      <w:rFonts w:hint="default"/>
                      <w:highlight w:val="none"/>
                    </w:rPr>
                  </w:pPr>
                  <w:r>
                    <w:rPr>
                      <w:rFonts w:hint="default"/>
                      <w:highlight w:val="none"/>
                    </w:rPr>
                    <w:t>达标</w:t>
                  </w:r>
                </w:p>
              </w:tc>
            </w:tr>
            <w:tr w14:paraId="7F151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742062A1">
                  <w:pPr>
                    <w:pStyle w:val="64"/>
                    <w:bidi w:val="0"/>
                    <w:rPr>
                      <w:rFonts w:hint="default"/>
                      <w:highlight w:val="none"/>
                      <w:lang w:eastAsia="zh-CN"/>
                    </w:rPr>
                  </w:pPr>
                  <w:r>
                    <w:rPr>
                      <w:rFonts w:hint="eastAsia"/>
                      <w:highlight w:val="none"/>
                      <w:lang w:val="en-US" w:eastAsia="zh-CN"/>
                    </w:rPr>
                    <w:t>西南侧</w:t>
                  </w:r>
                  <w:r>
                    <w:rPr>
                      <w:rFonts w:hint="default"/>
                      <w:highlight w:val="none"/>
                      <w:lang w:val="en-US" w:eastAsia="zh-CN"/>
                    </w:rPr>
                    <w:t>厂界外</w:t>
                  </w:r>
                  <w:r>
                    <w:rPr>
                      <w:rFonts w:hint="eastAsia"/>
                      <w:highlight w:val="none"/>
                      <w:lang w:val="en-US" w:eastAsia="zh-CN"/>
                    </w:rPr>
                    <w:t>1米</w:t>
                  </w:r>
                  <w:r>
                    <w:rPr>
                      <w:rFonts w:hint="default"/>
                      <w:highlight w:val="none"/>
                      <w:lang w:val="en-US" w:eastAsia="zh-CN"/>
                    </w:rPr>
                    <w:t>处N3</w:t>
                  </w:r>
                </w:p>
              </w:tc>
              <w:tc>
                <w:tcPr>
                  <w:tcW w:w="617" w:type="pct"/>
                  <w:noWrap w:val="0"/>
                  <w:vAlign w:val="center"/>
                </w:tcPr>
                <w:p w14:paraId="2F807217">
                  <w:pPr>
                    <w:pStyle w:val="64"/>
                    <w:bidi w:val="0"/>
                    <w:rPr>
                      <w:rFonts w:hint="default"/>
                      <w:highlight w:val="none"/>
                      <w:lang w:val="en-US" w:eastAsia="zh-CN"/>
                    </w:rPr>
                  </w:pPr>
                  <w:r>
                    <w:rPr>
                      <w:rFonts w:hint="eastAsia"/>
                      <w:highlight w:val="none"/>
                      <w:lang w:val="en-US" w:eastAsia="zh-CN"/>
                    </w:rPr>
                    <w:t>56.9</w:t>
                  </w:r>
                </w:p>
              </w:tc>
              <w:tc>
                <w:tcPr>
                  <w:tcW w:w="617" w:type="pct"/>
                  <w:noWrap w:val="0"/>
                  <w:vAlign w:val="center"/>
                </w:tcPr>
                <w:p w14:paraId="1305252C">
                  <w:pPr>
                    <w:pStyle w:val="64"/>
                    <w:bidi w:val="0"/>
                    <w:rPr>
                      <w:rFonts w:hint="default"/>
                      <w:highlight w:val="none"/>
                      <w:lang w:val="en-US" w:eastAsia="zh-CN"/>
                    </w:rPr>
                  </w:pPr>
                  <w:r>
                    <w:rPr>
                      <w:rFonts w:hint="eastAsia"/>
                      <w:highlight w:val="none"/>
                    </w:rPr>
                    <w:t>50.77</w:t>
                  </w:r>
                </w:p>
              </w:tc>
              <w:tc>
                <w:tcPr>
                  <w:tcW w:w="629" w:type="pct"/>
                  <w:noWrap w:val="0"/>
                  <w:vAlign w:val="center"/>
                </w:tcPr>
                <w:p w14:paraId="4DA12239">
                  <w:pPr>
                    <w:pStyle w:val="64"/>
                    <w:bidi w:val="0"/>
                    <w:rPr>
                      <w:rFonts w:hint="default"/>
                      <w:highlight w:val="none"/>
                      <w:lang w:val="en-US" w:eastAsia="zh-CN"/>
                    </w:rPr>
                  </w:pPr>
                  <w:r>
                    <w:rPr>
                      <w:rFonts w:hint="eastAsia"/>
                      <w:highlight w:val="none"/>
                      <w:lang w:val="en-US" w:eastAsia="zh-CN"/>
                    </w:rPr>
                    <w:t>57.85</w:t>
                  </w:r>
                </w:p>
              </w:tc>
              <w:tc>
                <w:tcPr>
                  <w:tcW w:w="629" w:type="pct"/>
                  <w:noWrap w:val="0"/>
                  <w:vAlign w:val="center"/>
                </w:tcPr>
                <w:p w14:paraId="4CA560A7">
                  <w:pPr>
                    <w:pStyle w:val="64"/>
                    <w:bidi w:val="0"/>
                    <w:rPr>
                      <w:rFonts w:hint="default"/>
                      <w:highlight w:val="none"/>
                      <w:lang w:val="en-US"/>
                    </w:rPr>
                  </w:pPr>
                  <w:r>
                    <w:rPr>
                      <w:rFonts w:hint="eastAsia"/>
                      <w:highlight w:val="none"/>
                      <w:lang w:val="en-US" w:eastAsia="zh-CN"/>
                    </w:rPr>
                    <w:t>60</w:t>
                  </w:r>
                </w:p>
              </w:tc>
              <w:tc>
                <w:tcPr>
                  <w:tcW w:w="872" w:type="pct"/>
                  <w:noWrap w:val="0"/>
                  <w:vAlign w:val="center"/>
                </w:tcPr>
                <w:p w14:paraId="2CCB5C58">
                  <w:pPr>
                    <w:pStyle w:val="64"/>
                    <w:bidi w:val="0"/>
                    <w:rPr>
                      <w:rFonts w:hint="default"/>
                      <w:highlight w:val="none"/>
                    </w:rPr>
                  </w:pPr>
                  <w:r>
                    <w:rPr>
                      <w:rFonts w:hint="default"/>
                      <w:highlight w:val="none"/>
                    </w:rPr>
                    <w:t>达标</w:t>
                  </w:r>
                </w:p>
              </w:tc>
            </w:tr>
            <w:tr w14:paraId="65B13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0DC70544">
                  <w:pPr>
                    <w:pStyle w:val="64"/>
                    <w:bidi w:val="0"/>
                    <w:rPr>
                      <w:rFonts w:hint="eastAsia"/>
                      <w:highlight w:val="none"/>
                      <w:lang w:val="en-US" w:eastAsia="zh-CN"/>
                    </w:rPr>
                  </w:pPr>
                  <w:r>
                    <w:rPr>
                      <w:rFonts w:hint="eastAsia"/>
                      <w:highlight w:val="none"/>
                      <w:lang w:val="en-US" w:eastAsia="zh-CN"/>
                    </w:rPr>
                    <w:t>东南侧</w:t>
                  </w:r>
                  <w:r>
                    <w:rPr>
                      <w:rFonts w:hint="default"/>
                      <w:highlight w:val="none"/>
                      <w:lang w:val="en-US" w:eastAsia="zh-CN"/>
                    </w:rPr>
                    <w:t>厂界外</w:t>
                  </w:r>
                  <w:r>
                    <w:rPr>
                      <w:rFonts w:hint="eastAsia"/>
                      <w:highlight w:val="none"/>
                      <w:lang w:val="en-US" w:eastAsia="zh-CN"/>
                    </w:rPr>
                    <w:t>1米</w:t>
                  </w:r>
                  <w:r>
                    <w:rPr>
                      <w:rFonts w:hint="default"/>
                      <w:highlight w:val="none"/>
                      <w:lang w:val="en-US" w:eastAsia="zh-CN"/>
                    </w:rPr>
                    <w:t>处N</w:t>
                  </w:r>
                  <w:r>
                    <w:rPr>
                      <w:rFonts w:hint="eastAsia"/>
                      <w:highlight w:val="none"/>
                      <w:lang w:val="en-US" w:eastAsia="zh-CN"/>
                    </w:rPr>
                    <w:t>4</w:t>
                  </w:r>
                </w:p>
              </w:tc>
              <w:tc>
                <w:tcPr>
                  <w:tcW w:w="617" w:type="pct"/>
                  <w:noWrap w:val="0"/>
                  <w:vAlign w:val="center"/>
                </w:tcPr>
                <w:p w14:paraId="349FD4EF">
                  <w:pPr>
                    <w:pStyle w:val="64"/>
                    <w:bidi w:val="0"/>
                    <w:rPr>
                      <w:rFonts w:hint="default"/>
                      <w:highlight w:val="none"/>
                      <w:lang w:val="en-US" w:eastAsia="zh-CN"/>
                    </w:rPr>
                  </w:pPr>
                  <w:r>
                    <w:rPr>
                      <w:rFonts w:hint="eastAsia"/>
                      <w:highlight w:val="none"/>
                      <w:lang w:val="en-US" w:eastAsia="zh-CN"/>
                    </w:rPr>
                    <w:t>56.0</w:t>
                  </w:r>
                </w:p>
              </w:tc>
              <w:tc>
                <w:tcPr>
                  <w:tcW w:w="617" w:type="pct"/>
                  <w:noWrap w:val="0"/>
                  <w:vAlign w:val="center"/>
                </w:tcPr>
                <w:p w14:paraId="595F0287">
                  <w:pPr>
                    <w:pStyle w:val="64"/>
                    <w:bidi w:val="0"/>
                    <w:rPr>
                      <w:rFonts w:hint="default"/>
                      <w:highlight w:val="none"/>
                      <w:lang w:val="en-US" w:eastAsia="zh-CN"/>
                    </w:rPr>
                  </w:pPr>
                  <w:r>
                    <w:rPr>
                      <w:rFonts w:hint="eastAsia"/>
                      <w:highlight w:val="none"/>
                    </w:rPr>
                    <w:t>53.13</w:t>
                  </w:r>
                </w:p>
              </w:tc>
              <w:tc>
                <w:tcPr>
                  <w:tcW w:w="629" w:type="pct"/>
                  <w:noWrap w:val="0"/>
                  <w:vAlign w:val="center"/>
                </w:tcPr>
                <w:p w14:paraId="295011E5">
                  <w:pPr>
                    <w:pStyle w:val="64"/>
                    <w:bidi w:val="0"/>
                    <w:rPr>
                      <w:rFonts w:hint="default"/>
                      <w:highlight w:val="none"/>
                      <w:lang w:val="en-US" w:eastAsia="zh-CN"/>
                    </w:rPr>
                  </w:pPr>
                  <w:r>
                    <w:rPr>
                      <w:rFonts w:hint="eastAsia"/>
                      <w:highlight w:val="none"/>
                      <w:lang w:val="en-US" w:eastAsia="zh-CN"/>
                    </w:rPr>
                    <w:t>57.81</w:t>
                  </w:r>
                </w:p>
              </w:tc>
              <w:tc>
                <w:tcPr>
                  <w:tcW w:w="629" w:type="pct"/>
                  <w:noWrap w:val="0"/>
                  <w:vAlign w:val="center"/>
                </w:tcPr>
                <w:p w14:paraId="038F6266">
                  <w:pPr>
                    <w:pStyle w:val="64"/>
                    <w:bidi w:val="0"/>
                    <w:rPr>
                      <w:rFonts w:hint="default"/>
                      <w:highlight w:val="none"/>
                      <w:lang w:val="en-US" w:eastAsia="zh-CN"/>
                    </w:rPr>
                  </w:pPr>
                  <w:r>
                    <w:rPr>
                      <w:rFonts w:hint="eastAsia"/>
                      <w:highlight w:val="none"/>
                      <w:lang w:val="en-US" w:eastAsia="zh-CN"/>
                    </w:rPr>
                    <w:t>60</w:t>
                  </w:r>
                </w:p>
              </w:tc>
              <w:tc>
                <w:tcPr>
                  <w:tcW w:w="872" w:type="pct"/>
                  <w:noWrap w:val="0"/>
                  <w:vAlign w:val="center"/>
                </w:tcPr>
                <w:p w14:paraId="277C4244">
                  <w:pPr>
                    <w:pStyle w:val="64"/>
                    <w:bidi w:val="0"/>
                    <w:rPr>
                      <w:rFonts w:hint="default"/>
                      <w:highlight w:val="none"/>
                    </w:rPr>
                  </w:pPr>
                  <w:r>
                    <w:rPr>
                      <w:rFonts w:hint="default"/>
                      <w:highlight w:val="none"/>
                    </w:rPr>
                    <w:t>达标</w:t>
                  </w:r>
                </w:p>
              </w:tc>
            </w:tr>
          </w:tbl>
          <w:p w14:paraId="4C2E7CEA">
            <w:pPr>
              <w:keepLines w:val="0"/>
              <w:pageBreakBefore w:val="0"/>
              <w:kinsoku/>
              <w:wordWrap/>
              <w:topLinePunct w:val="0"/>
              <w:autoSpaceDE/>
              <w:autoSpaceDN/>
              <w:bidi w:val="0"/>
              <w:adjustRightInd/>
              <w:spacing w:line="360" w:lineRule="auto"/>
              <w:ind w:left="0" w:firstLine="480" w:firstLineChars="200"/>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由</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4.4-</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的预测结果可知，本项目厂界噪声排放符合《工业企业厂界环境噪声排放标准》（GB12348-2008）</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中</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2类标准，对周边环境影响不大。</w:t>
            </w:r>
          </w:p>
          <w:p w14:paraId="6267FC8D">
            <w:pPr>
              <w:keepLines w:val="0"/>
              <w:pageBreakBefore w:val="0"/>
              <w:kinsoku/>
              <w:wordWrap/>
              <w:topLinePunct w:val="0"/>
              <w:autoSpaceDE/>
              <w:autoSpaceDN/>
              <w:bidi w:val="0"/>
              <w:adjustRightInd/>
              <w:spacing w:line="360" w:lineRule="auto"/>
              <w:ind w:left="0" w:firstLine="480" w:firstLineChars="200"/>
              <w:textAlignment w:val="auto"/>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敏感点噪声预测结果分析</w:t>
            </w:r>
          </w:p>
          <w:p w14:paraId="1867B3B8">
            <w:pPr>
              <w:pStyle w:val="81"/>
              <w:bidi w:val="0"/>
              <w:rPr>
                <w:rFonts w:hint="default"/>
                <w:highlight w:val="none"/>
              </w:rPr>
            </w:pPr>
            <w:r>
              <w:rPr>
                <w:rFonts w:hint="default"/>
                <w:highlight w:val="none"/>
              </w:rPr>
              <w:t>表</w:t>
            </w:r>
            <w:r>
              <w:rPr>
                <w:rFonts w:hint="default"/>
                <w:highlight w:val="none"/>
                <w:lang w:val="en-US" w:eastAsia="zh-CN"/>
              </w:rPr>
              <w:t>4.</w:t>
            </w:r>
            <w:r>
              <w:rPr>
                <w:rFonts w:hint="eastAsia"/>
                <w:highlight w:val="none"/>
                <w:lang w:val="en-US" w:eastAsia="zh-CN"/>
              </w:rPr>
              <w:t>4</w:t>
            </w:r>
            <w:r>
              <w:rPr>
                <w:rFonts w:hint="default"/>
                <w:highlight w:val="none"/>
                <w:lang w:val="en-US" w:eastAsia="zh-CN"/>
              </w:rPr>
              <w:t>-</w:t>
            </w:r>
            <w:r>
              <w:rPr>
                <w:rFonts w:hint="eastAsia"/>
                <w:highlight w:val="none"/>
                <w:lang w:val="en-US" w:eastAsia="zh-CN"/>
              </w:rPr>
              <w:t>4</w:t>
            </w:r>
            <w:r>
              <w:rPr>
                <w:rFonts w:hint="default"/>
                <w:highlight w:val="none"/>
              </w:rPr>
              <w:t xml:space="preserve">  </w:t>
            </w:r>
            <w:r>
              <w:rPr>
                <w:rFonts w:hint="eastAsia"/>
                <w:highlight w:val="none"/>
                <w:lang w:eastAsia="zh-CN"/>
              </w:rPr>
              <w:t>敏感点</w:t>
            </w:r>
            <w:r>
              <w:rPr>
                <w:rFonts w:hint="default"/>
                <w:highlight w:val="none"/>
              </w:rPr>
              <w:t>噪声预测结果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752"/>
              <w:gridCol w:w="1039"/>
              <w:gridCol w:w="1039"/>
              <w:gridCol w:w="1059"/>
              <w:gridCol w:w="1059"/>
              <w:gridCol w:w="1470"/>
            </w:tblGrid>
            <w:tr w14:paraId="18203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34" w:type="pct"/>
                  <w:vMerge w:val="restart"/>
                  <w:noWrap w:val="0"/>
                  <w:vAlign w:val="center"/>
                </w:tcPr>
                <w:p w14:paraId="6B86ADE7">
                  <w:pPr>
                    <w:pStyle w:val="91"/>
                    <w:bidi w:val="0"/>
                    <w:rPr>
                      <w:rFonts w:hint="default"/>
                    </w:rPr>
                  </w:pPr>
                  <w:r>
                    <w:rPr>
                      <w:rFonts w:hint="default"/>
                    </w:rPr>
                    <w:t>测点位置</w:t>
                  </w:r>
                </w:p>
              </w:tc>
              <w:tc>
                <w:tcPr>
                  <w:tcW w:w="617" w:type="pct"/>
                  <w:noWrap w:val="0"/>
                  <w:vAlign w:val="center"/>
                </w:tcPr>
                <w:p w14:paraId="2D579F90">
                  <w:pPr>
                    <w:pStyle w:val="91"/>
                    <w:bidi w:val="0"/>
                    <w:rPr>
                      <w:rFonts w:hint="eastAsia"/>
                      <w:lang w:eastAsia="zh-CN"/>
                    </w:rPr>
                  </w:pPr>
                  <w:r>
                    <w:rPr>
                      <w:rFonts w:hint="eastAsia"/>
                      <w:lang w:eastAsia="zh-CN"/>
                    </w:rPr>
                    <w:t>现状值</w:t>
                  </w:r>
                </w:p>
              </w:tc>
              <w:tc>
                <w:tcPr>
                  <w:tcW w:w="617" w:type="pct"/>
                  <w:noWrap w:val="0"/>
                  <w:vAlign w:val="center"/>
                </w:tcPr>
                <w:p w14:paraId="69C460D7">
                  <w:pPr>
                    <w:pStyle w:val="91"/>
                    <w:bidi w:val="0"/>
                    <w:rPr>
                      <w:rFonts w:hint="eastAsia"/>
                      <w:lang w:eastAsia="zh-CN"/>
                    </w:rPr>
                  </w:pPr>
                  <w:r>
                    <w:rPr>
                      <w:rFonts w:hint="eastAsia"/>
                      <w:lang w:eastAsia="zh-CN"/>
                    </w:rPr>
                    <w:t>贡献值</w:t>
                  </w:r>
                </w:p>
              </w:tc>
              <w:tc>
                <w:tcPr>
                  <w:tcW w:w="629" w:type="pct"/>
                  <w:noWrap w:val="0"/>
                  <w:vAlign w:val="center"/>
                </w:tcPr>
                <w:p w14:paraId="65703206">
                  <w:pPr>
                    <w:pStyle w:val="91"/>
                    <w:bidi w:val="0"/>
                    <w:rPr>
                      <w:rFonts w:hint="eastAsia"/>
                      <w:lang w:eastAsia="zh-CN"/>
                    </w:rPr>
                  </w:pPr>
                  <w:r>
                    <w:rPr>
                      <w:rFonts w:hint="eastAsia"/>
                      <w:lang w:eastAsia="zh-CN"/>
                    </w:rPr>
                    <w:t>预测值</w:t>
                  </w:r>
                </w:p>
              </w:tc>
              <w:tc>
                <w:tcPr>
                  <w:tcW w:w="629" w:type="pct"/>
                  <w:noWrap w:val="0"/>
                  <w:vAlign w:val="center"/>
                </w:tcPr>
                <w:p w14:paraId="6F9BD0E8">
                  <w:pPr>
                    <w:pStyle w:val="91"/>
                    <w:bidi w:val="0"/>
                    <w:rPr>
                      <w:rFonts w:hint="eastAsia"/>
                      <w:lang w:eastAsia="zh-CN"/>
                    </w:rPr>
                  </w:pPr>
                  <w:r>
                    <w:rPr>
                      <w:rFonts w:hint="eastAsia"/>
                      <w:lang w:eastAsia="zh-CN"/>
                    </w:rPr>
                    <w:t>标准限值</w:t>
                  </w:r>
                </w:p>
              </w:tc>
              <w:tc>
                <w:tcPr>
                  <w:tcW w:w="872" w:type="pct"/>
                  <w:vMerge w:val="restart"/>
                  <w:noWrap w:val="0"/>
                  <w:vAlign w:val="center"/>
                </w:tcPr>
                <w:p w14:paraId="55FF139A">
                  <w:pPr>
                    <w:pStyle w:val="91"/>
                    <w:bidi w:val="0"/>
                    <w:rPr>
                      <w:rFonts w:hint="default"/>
                    </w:rPr>
                  </w:pPr>
                  <w:r>
                    <w:rPr>
                      <w:rFonts w:hint="default"/>
                    </w:rPr>
                    <w:t>达标情况</w:t>
                  </w:r>
                </w:p>
              </w:tc>
            </w:tr>
            <w:tr w14:paraId="1AD31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34" w:type="pct"/>
                  <w:vMerge w:val="continue"/>
                  <w:noWrap w:val="0"/>
                  <w:vAlign w:val="center"/>
                </w:tcPr>
                <w:p w14:paraId="62C3A4E4">
                  <w:pPr>
                    <w:pStyle w:val="91"/>
                    <w:bidi w:val="0"/>
                    <w:rPr>
                      <w:rFonts w:hint="default"/>
                    </w:rPr>
                  </w:pPr>
                </w:p>
              </w:tc>
              <w:tc>
                <w:tcPr>
                  <w:tcW w:w="617" w:type="pct"/>
                  <w:noWrap w:val="0"/>
                  <w:vAlign w:val="center"/>
                </w:tcPr>
                <w:p w14:paraId="72125BBC">
                  <w:pPr>
                    <w:pStyle w:val="91"/>
                    <w:bidi w:val="0"/>
                    <w:rPr>
                      <w:rFonts w:hint="eastAsia"/>
                      <w:lang w:eastAsia="zh-CN"/>
                    </w:rPr>
                  </w:pPr>
                  <w:r>
                    <w:rPr>
                      <w:rFonts w:hint="eastAsia"/>
                      <w:lang w:eastAsia="zh-CN"/>
                    </w:rPr>
                    <w:t>昼间</w:t>
                  </w:r>
                </w:p>
              </w:tc>
              <w:tc>
                <w:tcPr>
                  <w:tcW w:w="617" w:type="pct"/>
                  <w:noWrap w:val="0"/>
                  <w:vAlign w:val="center"/>
                </w:tcPr>
                <w:p w14:paraId="3F3DF1B0">
                  <w:pPr>
                    <w:pStyle w:val="91"/>
                    <w:bidi w:val="0"/>
                    <w:rPr>
                      <w:rFonts w:hint="eastAsia"/>
                      <w:lang w:eastAsia="zh-CN"/>
                    </w:rPr>
                  </w:pPr>
                  <w:r>
                    <w:rPr>
                      <w:rFonts w:hint="eastAsia"/>
                      <w:lang w:eastAsia="zh-CN"/>
                    </w:rPr>
                    <w:t>昼间</w:t>
                  </w:r>
                </w:p>
              </w:tc>
              <w:tc>
                <w:tcPr>
                  <w:tcW w:w="629" w:type="pct"/>
                  <w:noWrap w:val="0"/>
                  <w:vAlign w:val="center"/>
                </w:tcPr>
                <w:p w14:paraId="7E37C89E">
                  <w:pPr>
                    <w:pStyle w:val="91"/>
                    <w:bidi w:val="0"/>
                    <w:rPr>
                      <w:rFonts w:hint="eastAsia"/>
                      <w:lang w:eastAsia="zh-CN"/>
                    </w:rPr>
                  </w:pPr>
                  <w:r>
                    <w:rPr>
                      <w:rFonts w:hint="eastAsia"/>
                      <w:lang w:eastAsia="zh-CN"/>
                    </w:rPr>
                    <w:t>昼间</w:t>
                  </w:r>
                </w:p>
              </w:tc>
              <w:tc>
                <w:tcPr>
                  <w:tcW w:w="629" w:type="pct"/>
                  <w:noWrap w:val="0"/>
                  <w:vAlign w:val="center"/>
                </w:tcPr>
                <w:p w14:paraId="386C5054">
                  <w:pPr>
                    <w:pStyle w:val="91"/>
                    <w:bidi w:val="0"/>
                    <w:rPr>
                      <w:rFonts w:hint="eastAsia"/>
                      <w:lang w:eastAsia="zh-CN"/>
                    </w:rPr>
                  </w:pPr>
                  <w:r>
                    <w:rPr>
                      <w:rFonts w:hint="eastAsia"/>
                      <w:lang w:eastAsia="zh-CN"/>
                    </w:rPr>
                    <w:t>昼间</w:t>
                  </w:r>
                </w:p>
              </w:tc>
              <w:tc>
                <w:tcPr>
                  <w:tcW w:w="872" w:type="pct"/>
                  <w:vMerge w:val="continue"/>
                  <w:noWrap w:val="0"/>
                  <w:vAlign w:val="center"/>
                </w:tcPr>
                <w:p w14:paraId="1C9ACFC5">
                  <w:pPr>
                    <w:pStyle w:val="91"/>
                    <w:bidi w:val="0"/>
                    <w:rPr>
                      <w:rFonts w:hint="default"/>
                    </w:rPr>
                  </w:pPr>
                </w:p>
              </w:tc>
            </w:tr>
            <w:tr w14:paraId="2B21E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69100FCB">
                  <w:pPr>
                    <w:pStyle w:val="91"/>
                    <w:bidi w:val="0"/>
                    <w:rPr>
                      <w:rFonts w:hint="default"/>
                      <w:lang w:val="en-US"/>
                    </w:rPr>
                  </w:pPr>
                  <w:r>
                    <w:rPr>
                      <w:rFonts w:hint="eastAsia"/>
                      <w:lang w:val="en-US" w:eastAsia="zh-CN"/>
                    </w:rPr>
                    <w:t>太城新厝村边界N5</w:t>
                  </w:r>
                </w:p>
              </w:tc>
              <w:tc>
                <w:tcPr>
                  <w:tcW w:w="617" w:type="pct"/>
                  <w:noWrap w:val="0"/>
                  <w:vAlign w:val="center"/>
                </w:tcPr>
                <w:p w14:paraId="48C1BBE2">
                  <w:pPr>
                    <w:pStyle w:val="91"/>
                    <w:bidi w:val="0"/>
                    <w:rPr>
                      <w:rFonts w:hint="default"/>
                      <w:lang w:val="en-US" w:eastAsia="zh-CN"/>
                    </w:rPr>
                  </w:pPr>
                  <w:r>
                    <w:rPr>
                      <w:rFonts w:hint="eastAsia"/>
                      <w:lang w:val="en-US" w:eastAsia="zh-CN"/>
                    </w:rPr>
                    <w:t>53.8</w:t>
                  </w:r>
                </w:p>
              </w:tc>
              <w:tc>
                <w:tcPr>
                  <w:tcW w:w="617" w:type="pct"/>
                  <w:noWrap w:val="0"/>
                  <w:vAlign w:val="center"/>
                </w:tcPr>
                <w:p w14:paraId="150961FF">
                  <w:pPr>
                    <w:pStyle w:val="91"/>
                    <w:bidi w:val="0"/>
                    <w:rPr>
                      <w:rFonts w:hint="default"/>
                      <w:lang w:val="en-US" w:eastAsia="zh-CN"/>
                    </w:rPr>
                  </w:pPr>
                  <w:r>
                    <w:rPr>
                      <w:rFonts w:hint="eastAsia"/>
                      <w:lang w:val="en-US" w:eastAsia="zh-CN"/>
                    </w:rPr>
                    <w:t>52.94</w:t>
                  </w:r>
                </w:p>
              </w:tc>
              <w:tc>
                <w:tcPr>
                  <w:tcW w:w="629" w:type="pct"/>
                  <w:noWrap w:val="0"/>
                  <w:vAlign w:val="center"/>
                </w:tcPr>
                <w:p w14:paraId="273C18EE">
                  <w:pPr>
                    <w:pStyle w:val="91"/>
                    <w:bidi w:val="0"/>
                    <w:rPr>
                      <w:rFonts w:hint="default"/>
                      <w:lang w:val="en-US" w:eastAsia="zh-CN"/>
                    </w:rPr>
                  </w:pPr>
                  <w:r>
                    <w:rPr>
                      <w:rFonts w:hint="eastAsia"/>
                      <w:lang w:val="en-US" w:eastAsia="zh-CN"/>
                    </w:rPr>
                    <w:t>56.40</w:t>
                  </w:r>
                </w:p>
              </w:tc>
              <w:tc>
                <w:tcPr>
                  <w:tcW w:w="629" w:type="pct"/>
                  <w:noWrap w:val="0"/>
                  <w:vAlign w:val="center"/>
                </w:tcPr>
                <w:p w14:paraId="1A5C6C3E">
                  <w:pPr>
                    <w:pStyle w:val="91"/>
                    <w:bidi w:val="0"/>
                    <w:rPr>
                      <w:rFonts w:hint="default"/>
                      <w:lang w:val="en-US"/>
                    </w:rPr>
                  </w:pPr>
                  <w:r>
                    <w:rPr>
                      <w:rFonts w:hint="eastAsia"/>
                      <w:lang w:val="en-US" w:eastAsia="zh-CN"/>
                    </w:rPr>
                    <w:t>60</w:t>
                  </w:r>
                </w:p>
              </w:tc>
              <w:tc>
                <w:tcPr>
                  <w:tcW w:w="872" w:type="pct"/>
                  <w:noWrap w:val="0"/>
                  <w:vAlign w:val="center"/>
                </w:tcPr>
                <w:p w14:paraId="4A27E4AD">
                  <w:pPr>
                    <w:pStyle w:val="91"/>
                    <w:bidi w:val="0"/>
                    <w:rPr>
                      <w:rFonts w:hint="default"/>
                    </w:rPr>
                  </w:pPr>
                  <w:r>
                    <w:rPr>
                      <w:rFonts w:hint="default"/>
                    </w:rPr>
                    <w:t>达标</w:t>
                  </w:r>
                </w:p>
              </w:tc>
            </w:tr>
            <w:tr w14:paraId="537D2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4" w:type="pct"/>
                  <w:noWrap w:val="0"/>
                  <w:vAlign w:val="center"/>
                </w:tcPr>
                <w:p w14:paraId="2E4F1A3D">
                  <w:pPr>
                    <w:pStyle w:val="91"/>
                    <w:bidi w:val="0"/>
                    <w:rPr>
                      <w:rFonts w:hint="default" w:eastAsia="宋体"/>
                      <w:lang w:val="en-US" w:eastAsia="zh-CN"/>
                    </w:rPr>
                  </w:pPr>
                  <w:r>
                    <w:rPr>
                      <w:rFonts w:hint="eastAsia"/>
                      <w:lang w:eastAsia="zh-CN"/>
                    </w:rPr>
                    <w:t>龙翔中英文学校边界</w:t>
                  </w:r>
                  <w:r>
                    <w:rPr>
                      <w:rFonts w:hint="eastAsia"/>
                      <w:lang w:val="en-US" w:eastAsia="zh-CN"/>
                    </w:rPr>
                    <w:t>N6</w:t>
                  </w:r>
                </w:p>
              </w:tc>
              <w:tc>
                <w:tcPr>
                  <w:tcW w:w="617" w:type="pct"/>
                  <w:noWrap w:val="0"/>
                  <w:vAlign w:val="center"/>
                </w:tcPr>
                <w:p w14:paraId="089D4658">
                  <w:pPr>
                    <w:pStyle w:val="91"/>
                    <w:bidi w:val="0"/>
                    <w:rPr>
                      <w:rFonts w:hint="default"/>
                      <w:lang w:val="en-US" w:eastAsia="zh-CN"/>
                    </w:rPr>
                  </w:pPr>
                  <w:r>
                    <w:rPr>
                      <w:rFonts w:hint="eastAsia"/>
                      <w:lang w:val="en-US" w:eastAsia="zh-CN"/>
                    </w:rPr>
                    <w:t>54.4</w:t>
                  </w:r>
                </w:p>
              </w:tc>
              <w:tc>
                <w:tcPr>
                  <w:tcW w:w="617" w:type="pct"/>
                  <w:noWrap w:val="0"/>
                  <w:vAlign w:val="center"/>
                </w:tcPr>
                <w:p w14:paraId="795D1B9F">
                  <w:pPr>
                    <w:pStyle w:val="91"/>
                    <w:bidi w:val="0"/>
                    <w:rPr>
                      <w:rFonts w:hint="default"/>
                      <w:lang w:val="en-US" w:eastAsia="zh-CN"/>
                    </w:rPr>
                  </w:pPr>
                  <w:r>
                    <w:rPr>
                      <w:rFonts w:hint="eastAsia"/>
                      <w:lang w:val="en-US" w:eastAsia="zh-CN"/>
                    </w:rPr>
                    <w:t>52.56</w:t>
                  </w:r>
                </w:p>
              </w:tc>
              <w:tc>
                <w:tcPr>
                  <w:tcW w:w="629" w:type="pct"/>
                  <w:noWrap w:val="0"/>
                  <w:vAlign w:val="center"/>
                </w:tcPr>
                <w:p w14:paraId="4867BD0C">
                  <w:pPr>
                    <w:pStyle w:val="91"/>
                    <w:bidi w:val="0"/>
                    <w:rPr>
                      <w:rFonts w:hint="default"/>
                      <w:lang w:val="en-US" w:eastAsia="zh-CN"/>
                    </w:rPr>
                  </w:pPr>
                  <w:r>
                    <w:rPr>
                      <w:rFonts w:hint="eastAsia"/>
                      <w:lang w:val="en-US" w:eastAsia="zh-CN"/>
                    </w:rPr>
                    <w:t>56.59</w:t>
                  </w:r>
                </w:p>
              </w:tc>
              <w:tc>
                <w:tcPr>
                  <w:tcW w:w="629" w:type="pct"/>
                  <w:noWrap w:val="0"/>
                  <w:vAlign w:val="center"/>
                </w:tcPr>
                <w:p w14:paraId="02542397">
                  <w:pPr>
                    <w:pStyle w:val="91"/>
                    <w:bidi w:val="0"/>
                    <w:rPr>
                      <w:rFonts w:hint="default"/>
                      <w:lang w:val="en-US"/>
                    </w:rPr>
                  </w:pPr>
                  <w:r>
                    <w:rPr>
                      <w:rFonts w:hint="eastAsia"/>
                      <w:lang w:val="en-US" w:eastAsia="zh-CN"/>
                    </w:rPr>
                    <w:t>60</w:t>
                  </w:r>
                </w:p>
              </w:tc>
              <w:tc>
                <w:tcPr>
                  <w:tcW w:w="872" w:type="pct"/>
                  <w:noWrap w:val="0"/>
                  <w:vAlign w:val="center"/>
                </w:tcPr>
                <w:p w14:paraId="2F60085E">
                  <w:pPr>
                    <w:pStyle w:val="91"/>
                    <w:bidi w:val="0"/>
                    <w:rPr>
                      <w:rFonts w:hint="default"/>
                    </w:rPr>
                  </w:pPr>
                  <w:r>
                    <w:rPr>
                      <w:rFonts w:hint="default"/>
                    </w:rPr>
                    <w:t>达标</w:t>
                  </w:r>
                </w:p>
              </w:tc>
            </w:tr>
          </w:tbl>
          <w:p w14:paraId="0BDF2116">
            <w:pPr>
              <w:keepLines w:val="0"/>
              <w:pageBreakBefore w:val="0"/>
              <w:kinsoku/>
              <w:wordWrap/>
              <w:topLinePunct w:val="0"/>
              <w:autoSpaceDE/>
              <w:autoSpaceDN/>
              <w:bidi w:val="0"/>
              <w:adjustRightInd/>
              <w:spacing w:line="360" w:lineRule="auto"/>
              <w:ind w:left="0" w:firstLine="480" w:firstLineChars="200"/>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由</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4.4-</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的预测结果可知，敏感点声环境符合《工业企业厂界环境噪声排放标准》（GB12348-2008）</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中</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2类标准，对周边环境影响不大。</w:t>
            </w:r>
          </w:p>
          <w:p w14:paraId="79DC87F4">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4.4.3 运营期噪声防治措施</w:t>
            </w:r>
          </w:p>
          <w:p w14:paraId="73039258">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为了确保厂界噪声达到《工业企业厂界环境噪声排放标准》(GB 12348-2008)中</w:t>
            </w:r>
            <w:r>
              <w:rPr>
                <w:rFonts w:hint="default" w:ascii="Times New Roman" w:hAnsi="Times New Roman" w:cs="Times New Roman"/>
                <w:color w:val="000000" w:themeColor="text1"/>
                <w:lang w:val="en-US" w:eastAsia="zh-CN"/>
                <w14:textFill>
                  <w14:solidFill>
                    <w14:schemeClr w14:val="tx1"/>
                  </w14:solidFill>
                </w14:textFill>
              </w:rPr>
              <w:t>2类</w:t>
            </w:r>
            <w:r>
              <w:rPr>
                <w:rFonts w:hint="default" w:ascii="Times New Roman" w:hAnsi="Times New Roman" w:cs="Times New Roman"/>
                <w:color w:val="000000" w:themeColor="text1"/>
                <w14:textFill>
                  <w14:solidFill>
                    <w14:schemeClr w14:val="tx1"/>
                  </w14:solidFill>
                </w14:textFill>
              </w:rPr>
              <w:t>标准，本报告建议采用以下降噪措施：</w:t>
            </w:r>
          </w:p>
          <w:p w14:paraId="1E963246">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(1)项目选用低噪声生产设备，从源头上降低噪声源强。</w:t>
            </w:r>
          </w:p>
          <w:p w14:paraId="57C920C8">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(2)加强车间内的噪声治理，对项目</w:t>
            </w:r>
            <w:r>
              <w:rPr>
                <w:rFonts w:hint="default" w:ascii="Times New Roman" w:hAnsi="Times New Roman" w:cs="Times New Roman"/>
                <w:color w:val="000000" w:themeColor="text1"/>
                <w:lang w:eastAsia="zh-CN"/>
                <w14:textFill>
                  <w14:solidFill>
                    <w14:schemeClr w14:val="tx1"/>
                  </w14:solidFill>
                </w14:textFill>
              </w:rPr>
              <w:t>车间内</w:t>
            </w:r>
            <w:r>
              <w:rPr>
                <w:rFonts w:hint="default" w:ascii="Times New Roman" w:hAnsi="Times New Roman" w:cs="Times New Roman"/>
                <w:color w:val="000000" w:themeColor="text1"/>
                <w14:textFill>
                  <w14:solidFill>
                    <w14:schemeClr w14:val="tx1"/>
                  </w14:solidFill>
                </w14:textFill>
              </w:rPr>
              <w:t>高噪声设备采用隔声、消声、吸声、减振等有效措施，以有效降低车间噪声。</w:t>
            </w:r>
          </w:p>
          <w:p w14:paraId="7199B5EB">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(3)加强对设备的管理和维护，在有关环保人员的统一管理下，定期检查、监测，发现噪声超标要及时治理并增加相关操作岗位工人的个体防护</w:t>
            </w:r>
            <w:r>
              <w:rPr>
                <w:rFonts w:hint="default" w:ascii="Times New Roman" w:hAnsi="Times New Roman" w:cs="Times New Roman"/>
                <w:color w:val="000000" w:themeColor="text1"/>
                <w:lang w:eastAsia="zh-CN"/>
                <w14:textFill>
                  <w14:solidFill>
                    <w14:schemeClr w14:val="tx1"/>
                  </w14:solidFill>
                </w14:textFill>
              </w:rPr>
              <w:t>。</w:t>
            </w:r>
          </w:p>
          <w:p w14:paraId="14F55A4F">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(4)车辆运输物料时，在靠近居民点等对声环境质量要求较高的地方，应减小车速，禁止或尽量少鸣喇叭。</w:t>
            </w:r>
          </w:p>
          <w:p w14:paraId="29CB4D95">
            <w:pPr>
              <w:pStyle w:val="43"/>
              <w:bidi w:val="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通过以上降噪措施，有效降低设备噪声对厂界的影响程度，确保厂界噪声符合《工业</w:t>
            </w:r>
            <w:r>
              <w:rPr>
                <w:rFonts w:hint="default" w:ascii="Times New Roman" w:hAnsi="Times New Roman" w:cs="Times New Roman"/>
                <w:bCs/>
                <w:color w:val="000000" w:themeColor="text1"/>
                <w14:textFill>
                  <w14:solidFill>
                    <w14:schemeClr w14:val="tx1"/>
                  </w14:solidFill>
                </w14:textFill>
              </w:rPr>
              <w:t>企业厂界环境噪声排放标准》(GB12348-2008)中的</w:t>
            </w:r>
            <w:r>
              <w:rPr>
                <w:rFonts w:hint="default" w:ascii="Times New Roman" w:hAnsi="Times New Roman" w:cs="Times New Roman"/>
                <w:bCs/>
                <w:color w:val="000000" w:themeColor="text1"/>
                <w:lang w:val="en-US" w:eastAsia="zh-CN"/>
                <w14:textFill>
                  <w14:solidFill>
                    <w14:schemeClr w14:val="tx1"/>
                  </w14:solidFill>
                </w14:textFill>
              </w:rPr>
              <w:t>2类</w:t>
            </w:r>
            <w:r>
              <w:rPr>
                <w:rFonts w:hint="default" w:ascii="Times New Roman" w:hAnsi="Times New Roman" w:cs="Times New Roman"/>
                <w:bCs/>
                <w:color w:val="000000" w:themeColor="text1"/>
                <w14:textFill>
                  <w14:solidFill>
                    <w14:schemeClr w14:val="tx1"/>
                  </w14:solidFill>
                </w14:textFill>
              </w:rPr>
              <w:t>标准要求，措施可行。</w:t>
            </w:r>
          </w:p>
          <w:p w14:paraId="215F2204">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4.4.4 自行监测计划</w:t>
            </w:r>
          </w:p>
          <w:p w14:paraId="5E17360C">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本项目实行排污许可</w:t>
            </w:r>
            <w:r>
              <w:rPr>
                <w:rFonts w:hint="default" w:ascii="Times New Roman" w:hAnsi="Times New Roman" w:cs="Times New Roman"/>
                <w:color w:val="000000" w:themeColor="text1"/>
                <w:lang w:eastAsia="zh-CN"/>
                <w14:textFill>
                  <w14:solidFill>
                    <w14:schemeClr w14:val="tx1"/>
                  </w14:solidFill>
                </w14:textFill>
              </w:rPr>
              <w:t>登记管理</w:t>
            </w:r>
            <w:r>
              <w:rPr>
                <w:rFonts w:hint="default" w:ascii="Times New Roman" w:hAnsi="Times New Roman" w:cs="Times New Roman"/>
                <w:color w:val="000000" w:themeColor="text1"/>
                <w14:textFill>
                  <w14:solidFill>
                    <w14:schemeClr w14:val="tx1"/>
                  </w14:solidFill>
                </w14:textFill>
              </w:rPr>
              <w:t>，本评价参照《排污单位自行监测技术指南 总则》(HJ 819-2017)</w:t>
            </w:r>
            <w:r>
              <w:rPr>
                <w:rFonts w:hint="eastAsia" w:cs="Times New Roman"/>
                <w:color w:val="000000" w:themeColor="text1"/>
                <w:lang w:eastAsia="zh-CN"/>
                <w14:textFill>
                  <w14:solidFill>
                    <w14:schemeClr w14:val="tx1"/>
                  </w14:solidFill>
                </w14:textFill>
              </w:rPr>
              <w:t>、</w:t>
            </w:r>
            <w:r>
              <w:rPr>
                <w:color w:val="000000" w:themeColor="text1"/>
                <w14:textFill>
                  <w14:solidFill>
                    <w14:schemeClr w14:val="tx1"/>
                  </w14:solidFill>
                </w14:textFill>
              </w:rPr>
              <w:t>《排污许可证申请与核发技术规范 工业噪声》（HJ1301-2023）</w:t>
            </w:r>
            <w:r>
              <w:rPr>
                <w:rFonts w:hint="default" w:ascii="Times New Roman" w:hAnsi="Times New Roman" w:cs="Times New Roman"/>
                <w:color w:val="000000" w:themeColor="text1"/>
                <w14:textFill>
                  <w14:solidFill>
                    <w14:schemeClr w14:val="tx1"/>
                  </w14:solidFill>
                </w14:textFill>
              </w:rPr>
              <w:t>等要求，提出项目运营期噪声自行监测计划，具体详见表4.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14:paraId="4A11DF49">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 xml:space="preserve">  项目噪声自行监测计划</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2847"/>
              <w:gridCol w:w="1515"/>
              <w:gridCol w:w="3201"/>
            </w:tblGrid>
            <w:tr w14:paraId="6EF5B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0" w:type="dxa"/>
                  <w:noWrap w:val="0"/>
                  <w:vAlign w:val="center"/>
                </w:tcPr>
                <w:p w14:paraId="48A7CDD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2796" w:type="dxa"/>
                  <w:noWrap w:val="0"/>
                  <w:vAlign w:val="center"/>
                </w:tcPr>
                <w:p w14:paraId="1323BA9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1488" w:type="dxa"/>
                  <w:noWrap w:val="0"/>
                  <w:vAlign w:val="center"/>
                </w:tcPr>
                <w:p w14:paraId="0216D04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3142" w:type="dxa"/>
                  <w:noWrap w:val="0"/>
                  <w:vAlign w:val="center"/>
                </w:tcPr>
                <w:p w14:paraId="5A04891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监测频次</w:t>
                  </w:r>
                </w:p>
              </w:tc>
            </w:tr>
            <w:tr w14:paraId="4A2E8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0" w:type="dxa"/>
                  <w:noWrap w:val="0"/>
                  <w:vAlign w:val="center"/>
                </w:tcPr>
                <w:p w14:paraId="05277898">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796" w:type="dxa"/>
                  <w:noWrap w:val="0"/>
                  <w:vAlign w:val="center"/>
                </w:tcPr>
                <w:p w14:paraId="64B316F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厂界四周外1m</w:t>
                  </w:r>
                </w:p>
              </w:tc>
              <w:tc>
                <w:tcPr>
                  <w:tcW w:w="1488" w:type="dxa"/>
                  <w:noWrap w:val="0"/>
                  <w:vAlign w:val="center"/>
                </w:tcPr>
                <w:p w14:paraId="1650F1C6">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等效声级</w:t>
                  </w:r>
                </w:p>
              </w:tc>
              <w:tc>
                <w:tcPr>
                  <w:tcW w:w="3142" w:type="dxa"/>
                  <w:noWrap w:val="0"/>
                  <w:vAlign w:val="center"/>
                </w:tcPr>
                <w:p w14:paraId="4B5EA8F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1天/季度、1次/天(昼间)</w:t>
                  </w:r>
                </w:p>
              </w:tc>
            </w:tr>
          </w:tbl>
          <w:p w14:paraId="3ECCCD19">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4.5运营期固体废物影响分析和污染防治措施</w:t>
            </w:r>
          </w:p>
          <w:p w14:paraId="6A30BD19">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4.5.1 运营期</w:t>
            </w:r>
            <w:r>
              <w:rPr>
                <w:rFonts w:hint="eastAsia" w:cs="Times New Roman"/>
                <w:color w:val="000000" w:themeColor="text1"/>
                <w:lang w:val="en-US" w:eastAsia="zh-CN"/>
                <w14:textFill>
                  <w14:solidFill>
                    <w14:schemeClr w14:val="tx1"/>
                  </w14:solidFill>
                </w14:textFill>
              </w:rPr>
              <w:t>固体废物</w:t>
            </w:r>
            <w:r>
              <w:rPr>
                <w:rFonts w:hint="default" w:ascii="Times New Roman" w:hAnsi="Times New Roman" w:cs="Times New Roman"/>
                <w:color w:val="000000" w:themeColor="text1"/>
                <w:lang w:val="en-US" w:eastAsia="zh-CN"/>
                <w14:textFill>
                  <w14:solidFill>
                    <w14:schemeClr w14:val="tx1"/>
                  </w14:solidFill>
                </w14:textFill>
              </w:rPr>
              <w:t>源强核算</w:t>
            </w:r>
          </w:p>
          <w:p w14:paraId="609B063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本项目运营期产生的一般工业固体废物主要包括</w:t>
            </w:r>
            <w:r>
              <w:rPr>
                <w:rFonts w:hint="eastAsia" w:cs="Times New Roman"/>
                <w:color w:val="000000" w:themeColor="text1"/>
                <w:lang w:val="en-US" w:eastAsia="zh-CN"/>
                <w14:textFill>
                  <w14:solidFill>
                    <w14:schemeClr w14:val="tx1"/>
                  </w14:solidFill>
                </w14:textFill>
              </w:rPr>
              <w:t>不合格品、废包装材料、</w:t>
            </w:r>
            <w:r>
              <w:rPr>
                <w:rFonts w:hint="default" w:ascii="Times New Roman" w:hAnsi="Times New Roman" w:cs="Times New Roman"/>
                <w:color w:val="000000" w:themeColor="text1"/>
                <w:lang w:val="en-US" w:eastAsia="zh-CN"/>
                <w14:textFill>
                  <w14:solidFill>
                    <w14:schemeClr w14:val="tx1"/>
                  </w14:solidFill>
                </w14:textFill>
              </w:rPr>
              <w:t>职工生活垃圾。运营期产生的危险废物为</w:t>
            </w:r>
            <w:r>
              <w:rPr>
                <w:rFonts w:hint="eastAsia" w:cs="Times New Roman"/>
                <w:color w:val="000000" w:themeColor="text1"/>
                <w:lang w:val="en-US" w:eastAsia="zh-CN"/>
                <w14:textFill>
                  <w14:solidFill>
                    <w14:schemeClr w14:val="tx1"/>
                  </w14:solidFill>
                </w14:textFill>
              </w:rPr>
              <w:t>废润滑脂、废润滑脂空桶、废滤芯、废活性炭、胶渣、废胶水空桶</w:t>
            </w:r>
            <w:r>
              <w:rPr>
                <w:rFonts w:hint="default" w:ascii="Times New Roman" w:hAnsi="Times New Roman" w:cs="Times New Roman"/>
                <w:color w:val="000000" w:themeColor="text1"/>
                <w:lang w:val="en-US" w:eastAsia="zh-CN"/>
                <w14:textFill>
                  <w14:solidFill>
                    <w14:schemeClr w14:val="tx1"/>
                  </w14:solidFill>
                </w14:textFill>
              </w:rPr>
              <w:t>。</w:t>
            </w:r>
          </w:p>
          <w:p w14:paraId="503AD1C9">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(1)一般工业固废</w:t>
            </w:r>
          </w:p>
          <w:p w14:paraId="4FCE060D">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①</w:t>
            </w:r>
            <w:r>
              <w:rPr>
                <w:rFonts w:hint="default" w:ascii="Times New Roman" w:hAnsi="Times New Roman" w:cs="Times New Roman"/>
                <w:color w:val="000000" w:themeColor="text1"/>
                <w:sz w:val="24"/>
                <w14:textFill>
                  <w14:solidFill>
                    <w14:schemeClr w14:val="tx1"/>
                  </w14:solidFill>
                </w14:textFill>
              </w:rPr>
              <w:t>不合格品</w:t>
            </w:r>
          </w:p>
          <w:p w14:paraId="33E1B41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eastAsia="zh-CN"/>
                <w14:textFill>
                  <w14:solidFill>
                    <w14:schemeClr w14:val="tx1"/>
                  </w14:solidFill>
                </w14:textFill>
              </w:rPr>
              <w:t>项目外购的注塑件、包覆材料需要进行检验，以确定是否符合生产要求。以及项目产品生产完成后需要检验，此工序产生不合格品，</w:t>
            </w:r>
            <w:r>
              <w:rPr>
                <w:rFonts w:hint="default" w:ascii="Times New Roman" w:hAnsi="Times New Roman" w:cs="Times New Roman"/>
                <w:color w:val="000000" w:themeColor="text1"/>
                <w:sz w:val="24"/>
                <w:lang w:val="en-US" w:eastAsia="zh-CN"/>
                <w14:textFill>
                  <w14:solidFill>
                    <w14:schemeClr w14:val="tx1"/>
                  </w14:solidFill>
                </w14:textFill>
              </w:rPr>
              <w:t>根据建设单位介绍，</w:t>
            </w:r>
            <w:r>
              <w:rPr>
                <w:rFonts w:hint="eastAsia" w:cs="Times New Roman"/>
                <w:color w:val="000000" w:themeColor="text1"/>
                <w:sz w:val="24"/>
                <w:lang w:val="en-US" w:eastAsia="zh-CN"/>
                <w14:textFill>
                  <w14:solidFill>
                    <w14:schemeClr w14:val="tx1"/>
                  </w14:solidFill>
                </w14:textFill>
              </w:rPr>
              <w:t>不合格品</w:t>
            </w:r>
            <w:r>
              <w:rPr>
                <w:rFonts w:hint="default" w:ascii="Times New Roman" w:hAnsi="Times New Roman" w:cs="Times New Roman"/>
                <w:color w:val="000000" w:themeColor="text1"/>
                <w:sz w:val="24"/>
                <w14:textFill>
                  <w14:solidFill>
                    <w14:schemeClr w14:val="tx1"/>
                  </w14:solidFill>
                </w14:textFill>
              </w:rPr>
              <w:t>产生量约</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t</w:t>
            </w:r>
            <w:r>
              <w:rPr>
                <w:rFonts w:hint="eastAsia" w:cs="Times New Roman"/>
                <w:color w:val="000000" w:themeColor="text1"/>
                <w:sz w:val="24"/>
                <w:lang w:val="en-US" w:eastAsia="zh-CN"/>
                <w14:textFill>
                  <w14:solidFill>
                    <w14:schemeClr w14:val="tx1"/>
                  </w14:solidFill>
                </w14:textFill>
              </w:rPr>
              <w:t>/a</w:t>
            </w:r>
            <w:r>
              <w:rPr>
                <w:rFonts w:hint="default" w:ascii="Times New Roman" w:hAnsi="Times New Roman" w:cs="Times New Roman"/>
                <w:color w:val="000000" w:themeColor="text1"/>
                <w:sz w:val="24"/>
                <w14:textFill>
                  <w14:solidFill>
                    <w14:schemeClr w14:val="tx1"/>
                  </w14:solidFill>
                </w14:textFill>
              </w:rPr>
              <w:t>。</w:t>
            </w:r>
          </w:p>
          <w:p w14:paraId="4180D0C7">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lang w:val="en-US" w:eastAsia="zh-CN"/>
                <w14:textFill>
                  <w14:solidFill>
                    <w14:schemeClr w14:val="tx1"/>
                  </w14:solidFill>
                </w14:textFill>
              </w:rPr>
              <w:t>废包装材料</w:t>
            </w:r>
          </w:p>
          <w:p w14:paraId="40815DC0">
            <w:pPr>
              <w:pStyle w:val="4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废包装材料主要为</w:t>
            </w:r>
            <w:r>
              <w:rPr>
                <w:rFonts w:hint="eastAsia" w:cs="Times New Roman"/>
                <w:color w:val="000000" w:themeColor="text1"/>
                <w:highlight w:val="none"/>
                <w:lang w:val="en-US" w:eastAsia="zh-CN"/>
                <w14:textFill>
                  <w14:solidFill>
                    <w14:schemeClr w14:val="tx1"/>
                  </w14:solidFill>
                </w14:textFill>
              </w:rPr>
              <w:t>外购工件和</w:t>
            </w:r>
            <w:r>
              <w:rPr>
                <w:rFonts w:hint="default" w:ascii="Times New Roman" w:hAnsi="Times New Roman" w:cs="Times New Roman"/>
                <w:color w:val="000000" w:themeColor="text1"/>
                <w:highlight w:val="none"/>
                <w:lang w:val="en-US" w:eastAsia="zh-CN"/>
                <w14:textFill>
                  <w14:solidFill>
                    <w14:schemeClr w14:val="tx1"/>
                  </w14:solidFill>
                </w14:textFill>
              </w:rPr>
              <w:t>成品包装时产生</w:t>
            </w:r>
            <w:r>
              <w:rPr>
                <w:rFonts w:hint="eastAsia" w:cs="Times New Roman"/>
                <w:color w:val="000000" w:themeColor="text1"/>
                <w:highlight w:val="none"/>
                <w:lang w:val="en-US" w:eastAsia="zh-CN"/>
                <w14:textFill>
                  <w14:solidFill>
                    <w14:schemeClr w14:val="tx1"/>
                  </w14:solidFill>
                </w14:textFill>
              </w:rPr>
              <w:t>的</w:t>
            </w:r>
            <w:r>
              <w:rPr>
                <w:rFonts w:hint="default" w:ascii="Times New Roman" w:hAnsi="Times New Roman" w:cs="Times New Roman"/>
                <w:color w:val="000000" w:themeColor="text1"/>
                <w:highlight w:val="none"/>
                <w:lang w:val="en-US" w:eastAsia="zh-CN"/>
                <w14:textFill>
                  <w14:solidFill>
                    <w14:schemeClr w14:val="tx1"/>
                  </w14:solidFill>
                </w14:textFill>
              </w:rPr>
              <w:t>废包装材料，项目运营期产生的废包装材料年产生量约1t/a。</w:t>
            </w:r>
          </w:p>
          <w:p w14:paraId="43DF248B">
            <w:pPr>
              <w:pStyle w:val="4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综上，本项目产生的不合格品</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废包装材料属于一般工业固废，回收利用价值高，经妥善分类收集后暂存于一般工业固废暂存间内，定期出售给回收企业综合利用；项目一般工业固废暂存间应按《一般工业固体废物贮存和填埋污染控制标准》(GB18599-2020)的临时贮存场所的要求进行建设。</w:t>
            </w:r>
          </w:p>
          <w:p w14:paraId="0C0E9C43">
            <w:pPr>
              <w:pStyle w:val="43"/>
              <w:numPr>
                <w:ilvl w:val="0"/>
                <w:numId w:val="5"/>
              </w:num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危废废物</w:t>
            </w:r>
          </w:p>
          <w:p w14:paraId="2D2B3228">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lang w:val="en-US" w:eastAsia="zh-CN"/>
                <w14:textFill>
                  <w14:solidFill>
                    <w14:schemeClr w14:val="tx1"/>
                  </w14:solidFill>
                </w14:textFill>
              </w:rPr>
              <w:t>废</w:t>
            </w:r>
            <w:r>
              <w:rPr>
                <w:rFonts w:hint="eastAsia" w:cs="Times New Roman"/>
                <w:color w:val="000000" w:themeColor="text1"/>
                <w:lang w:val="en-US" w:eastAsia="zh-CN"/>
                <w14:textFill>
                  <w14:solidFill>
                    <w14:schemeClr w14:val="tx1"/>
                  </w14:solidFill>
                </w14:textFill>
              </w:rPr>
              <w:t>润滑油</w:t>
            </w:r>
          </w:p>
          <w:p w14:paraId="0303F886">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本项目在</w:t>
            </w:r>
            <w:r>
              <w:rPr>
                <w:rFonts w:hint="eastAsia" w:cs="Times New Roman"/>
                <w:color w:val="000000" w:themeColor="text1"/>
                <w:lang w:eastAsia="zh-CN"/>
                <w14:textFill>
                  <w14:solidFill>
                    <w14:schemeClr w14:val="tx1"/>
                  </w14:solidFill>
                </w14:textFill>
              </w:rPr>
              <w:t>装配工序以及设备维护过程需要使用润滑油</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项目年消耗润滑油</w:t>
            </w:r>
            <w:r>
              <w:rPr>
                <w:rFonts w:hint="eastAsia" w:cs="Times New Roman"/>
                <w:color w:val="000000" w:themeColor="text1"/>
                <w:lang w:val="en-US" w:eastAsia="zh-CN"/>
                <w14:textFill>
                  <w14:solidFill>
                    <w14:schemeClr w14:val="tx1"/>
                  </w14:solidFill>
                </w14:textFill>
              </w:rPr>
              <w:t>0.12t，</w:t>
            </w:r>
            <w:r>
              <w:rPr>
                <w:rFonts w:hint="default" w:ascii="Times New Roman" w:hAnsi="Times New Roman" w:cs="Times New Roman"/>
                <w:color w:val="000000" w:themeColor="text1"/>
                <w:lang w:eastAsia="zh-CN"/>
                <w14:textFill>
                  <w14:solidFill>
                    <w14:schemeClr w14:val="tx1"/>
                  </w14:solidFill>
                </w14:textFill>
              </w:rPr>
              <w:t>废润滑油产生量为0.</w:t>
            </w:r>
            <w:r>
              <w:rPr>
                <w:rFonts w:hint="eastAsia" w:cs="Times New Roman"/>
                <w:color w:val="000000" w:themeColor="text1"/>
                <w:lang w:val="en-US" w:eastAsia="zh-CN"/>
                <w14:textFill>
                  <w14:solidFill>
                    <w14:schemeClr w14:val="tx1"/>
                  </w14:solidFill>
                </w14:textFill>
              </w:rPr>
              <w:t>02</w:t>
            </w:r>
            <w:r>
              <w:rPr>
                <w:rFonts w:hint="default" w:ascii="Times New Roman" w:hAnsi="Times New Roman" w:cs="Times New Roman"/>
                <w:color w:val="000000" w:themeColor="text1"/>
                <w:lang w:eastAsia="zh-CN"/>
                <w14:textFill>
                  <w14:solidFill>
                    <w14:schemeClr w14:val="tx1"/>
                  </w14:solidFill>
                </w14:textFill>
              </w:rPr>
              <w:t>t/a。</w:t>
            </w:r>
          </w:p>
          <w:p w14:paraId="5E9FBEC6">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废润滑油属于《国家危险废物名录》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中的HW08类危废(900-217-08)，</w:t>
            </w:r>
            <w:r>
              <w:rPr>
                <w:rFonts w:hint="eastAsia" w:cs="Times New Roman"/>
                <w:color w:val="000000" w:themeColor="text1"/>
                <w:lang w:eastAsia="zh-CN"/>
                <w14:textFill>
                  <w14:solidFill>
                    <w14:schemeClr w14:val="tx1"/>
                  </w14:solidFill>
                </w14:textFill>
              </w:rPr>
              <w:t>收集后</w:t>
            </w:r>
            <w:r>
              <w:rPr>
                <w:rFonts w:hint="default" w:ascii="Times New Roman" w:hAnsi="Times New Roman" w:cs="Times New Roman"/>
                <w:color w:val="000000" w:themeColor="text1"/>
                <w:lang w:eastAsia="zh-CN"/>
                <w14:textFill>
                  <w14:solidFill>
                    <w14:schemeClr w14:val="tx1"/>
                  </w14:solidFill>
                </w14:textFill>
              </w:rPr>
              <w:t>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35FDC5D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lang w:val="en-US" w:eastAsia="zh-CN"/>
                <w14:textFill>
                  <w14:solidFill>
                    <w14:schemeClr w14:val="tx1"/>
                  </w14:solidFill>
                </w14:textFill>
              </w:rPr>
              <w:t>废润滑油桶</w:t>
            </w:r>
          </w:p>
          <w:p w14:paraId="64C45E0C">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根据建设单位提供资料，项目</w:t>
            </w:r>
            <w:r>
              <w:rPr>
                <w:rFonts w:hint="eastAsia" w:cs="Times New Roman"/>
                <w:color w:val="000000" w:themeColor="text1"/>
                <w:lang w:eastAsia="zh-CN"/>
                <w14:textFill>
                  <w14:solidFill>
                    <w14:schemeClr w14:val="tx1"/>
                  </w14:solidFill>
                </w14:textFill>
              </w:rPr>
              <w:t>年消耗润滑油</w:t>
            </w:r>
            <w:r>
              <w:rPr>
                <w:rFonts w:hint="default" w:ascii="Times New Roman" w:hAnsi="Times New Roman" w:cs="Times New Roman"/>
                <w:color w:val="000000" w:themeColor="text1"/>
                <w:lang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t/a，油桶一般容积为25L，则</w:t>
            </w:r>
            <w:r>
              <w:rPr>
                <w:rFonts w:hint="eastAsia" w:cs="Times New Roman"/>
                <w:color w:val="000000" w:themeColor="text1"/>
                <w:lang w:eastAsia="zh-CN"/>
                <w14:textFill>
                  <w14:solidFill>
                    <w14:schemeClr w14:val="tx1"/>
                  </w14:solidFill>
                </w14:textFill>
              </w:rPr>
              <w:t>产生</w:t>
            </w:r>
            <w:r>
              <w:rPr>
                <w:rFonts w:hint="eastAsia" w:cs="Times New Roman"/>
                <w:color w:val="000000" w:themeColor="text1"/>
                <w:lang w:val="en-US" w:eastAsia="zh-CN"/>
                <w14:textFill>
                  <w14:solidFill>
                    <w14:schemeClr w14:val="tx1"/>
                  </w14:solidFill>
                </w14:textFill>
              </w:rPr>
              <w:t>5个空</w:t>
            </w:r>
            <w:r>
              <w:rPr>
                <w:rFonts w:hint="default" w:ascii="Times New Roman" w:hAnsi="Times New Roman" w:cs="Times New Roman"/>
                <w:color w:val="000000" w:themeColor="text1"/>
                <w:lang w:eastAsia="zh-CN"/>
                <w14:textFill>
                  <w14:solidFill>
                    <w14:schemeClr w14:val="tx1"/>
                  </w14:solidFill>
                </w14:textFill>
              </w:rPr>
              <w:t>桶，每个废桶以</w:t>
            </w:r>
            <w:r>
              <w:rPr>
                <w:rFonts w:hint="eastAsia" w:cs="Times New Roman"/>
                <w:color w:val="000000" w:themeColor="text1"/>
                <w:lang w:val="en-US" w:eastAsia="zh-CN"/>
                <w14:textFill>
                  <w14:solidFill>
                    <w14:schemeClr w14:val="tx1"/>
                  </w14:solidFill>
                </w14:textFill>
              </w:rPr>
              <w:t>0.5</w:t>
            </w:r>
            <w:r>
              <w:rPr>
                <w:rFonts w:hint="default" w:ascii="Times New Roman" w:hAnsi="Times New Roman" w:cs="Times New Roman"/>
                <w:color w:val="000000" w:themeColor="text1"/>
                <w:lang w:eastAsia="zh-CN"/>
                <w14:textFill>
                  <w14:solidFill>
                    <w14:schemeClr w14:val="tx1"/>
                  </w14:solidFill>
                </w14:textFill>
              </w:rPr>
              <w:t>kg计，则废润滑油桶产生量约为</w:t>
            </w:r>
            <w:r>
              <w:rPr>
                <w:rFonts w:hint="eastAsia" w:cs="Times New Roman"/>
                <w:color w:val="000000" w:themeColor="text1"/>
                <w:lang w:val="en-US" w:eastAsia="zh-CN"/>
                <w14:textFill>
                  <w14:solidFill>
                    <w14:schemeClr w14:val="tx1"/>
                  </w14:solidFill>
                </w14:textFill>
              </w:rPr>
              <w:t>0.0025</w:t>
            </w:r>
            <w:r>
              <w:rPr>
                <w:rFonts w:hint="default" w:ascii="Times New Roman" w:hAnsi="Times New Roman" w:cs="Times New Roman"/>
                <w:color w:val="000000" w:themeColor="text1"/>
                <w:lang w:eastAsia="zh-CN"/>
                <w14:textFill>
                  <w14:solidFill>
                    <w14:schemeClr w14:val="tx1"/>
                  </w14:solidFill>
                </w14:textFill>
              </w:rPr>
              <w:t>t/a。</w:t>
            </w:r>
          </w:p>
          <w:p w14:paraId="2AEBA3BF">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废润滑油桶</w:t>
            </w:r>
            <w:r>
              <w:rPr>
                <w:rFonts w:hint="eastAsia" w:ascii="Times New Roman" w:hAnsi="Times New Roman" w:cs="Times New Roman"/>
                <w:color w:val="000000" w:themeColor="text1"/>
                <w:lang w:eastAsia="zh-CN"/>
                <w14:textFill>
                  <w14:solidFill>
                    <w14:schemeClr w14:val="tx1"/>
                  </w14:solidFill>
                </w14:textFill>
              </w:rPr>
              <w:t>属于</w:t>
            </w:r>
            <w:r>
              <w:rPr>
                <w:rFonts w:hint="default" w:ascii="Times New Roman" w:hAnsi="Times New Roman" w:cs="Times New Roman"/>
                <w:color w:val="000000" w:themeColor="text1"/>
                <w:lang w:eastAsia="zh-CN"/>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中的</w:t>
            </w:r>
            <w:r>
              <w:rPr>
                <w:rFonts w:hint="default" w:ascii="Times New Roman" w:hAnsi="Times New Roman" w:cs="Times New Roman"/>
                <w:color w:val="000000" w:themeColor="text1"/>
                <w:lang w:eastAsia="zh-CN"/>
                <w14:textFill>
                  <w14:solidFill>
                    <w14:schemeClr w14:val="tx1"/>
                  </w14:solidFill>
                </w14:textFill>
              </w:rPr>
              <w:t>HW08类危废( 900-249-08)，“其他生产、销售、使用过程中产生的废矿物油及沾染矿物油的废弃包装物”，收集后暂存于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16DCBB35">
            <w:pPr>
              <w:pStyle w:val="4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③胶渣（含废气治理滤材）</w:t>
            </w:r>
          </w:p>
          <w:p w14:paraId="023D3515">
            <w:pPr>
              <w:pStyle w:val="4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喷胶过程中会产生胶雾，部分胶雾沉降在喷胶台上，大部分胶雾被干式过滤器捕集，形成胶渣，根据前文分析，经干式过滤器捕集的胶渣约为2.7445t/a，考虑到胶渣和干式过滤器的滤材无法分离，本次统一分析胶渣及含胶渣的滤材，同时考虑部分沉降在工位上的胶渣，则预计胶渣产生量约为3t/a。</w:t>
            </w:r>
          </w:p>
          <w:p w14:paraId="40192EB2">
            <w:pPr>
              <w:pStyle w:val="43"/>
              <w:bidi w:val="0"/>
              <w:rPr>
                <w:rFonts w:hint="eastAsia"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胶渣属于</w:t>
            </w:r>
            <w:r>
              <w:rPr>
                <w:rFonts w:hint="default" w:ascii="Times New Roman" w:hAnsi="Times New Roman" w:cs="Times New Roman"/>
                <w:color w:val="000000" w:themeColor="text1"/>
                <w:lang w:eastAsia="zh-CN"/>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中的</w:t>
            </w:r>
            <w:r>
              <w:rPr>
                <w:rFonts w:hint="default" w:ascii="Times New Roman" w:hAnsi="Times New Roman" w:cs="Times New Roman"/>
                <w:color w:val="000000" w:themeColor="text1"/>
                <w:lang w:eastAsia="zh-CN"/>
                <w14:textFill>
                  <w14:solidFill>
                    <w14:schemeClr w14:val="tx1"/>
                  </w14:solidFill>
                </w14:textFill>
              </w:rPr>
              <w:t>HW</w:t>
            </w:r>
            <w:r>
              <w:rPr>
                <w:rFonts w:hint="eastAsia" w:ascii="Times New Roman" w:hAnsi="Times New Roman" w:cs="Times New Roman"/>
                <w:color w:val="000000" w:themeColor="text1"/>
                <w:lang w:val="en-US" w:eastAsia="zh-CN"/>
                <w14:textFill>
                  <w14:solidFill>
                    <w14:schemeClr w14:val="tx1"/>
                  </w14:solidFill>
                </w14:textFill>
              </w:rPr>
              <w:t>49</w:t>
            </w:r>
            <w:r>
              <w:rPr>
                <w:rFonts w:hint="default" w:ascii="Times New Roman" w:hAnsi="Times New Roman" w:cs="Times New Roman"/>
                <w:color w:val="000000" w:themeColor="text1"/>
                <w:lang w:eastAsia="zh-CN"/>
                <w14:textFill>
                  <w14:solidFill>
                    <w14:schemeClr w14:val="tx1"/>
                  </w14:solidFill>
                </w14:textFill>
              </w:rPr>
              <w:t>类危废( 900-</w:t>
            </w:r>
            <w:r>
              <w:rPr>
                <w:rFonts w:hint="eastAsia" w:ascii="Times New Roman" w:hAnsi="Times New Roman" w:cs="Times New Roman"/>
                <w:color w:val="000000" w:themeColor="text1"/>
                <w:lang w:val="en-US" w:eastAsia="zh-CN"/>
                <w14:textFill>
                  <w14:solidFill>
                    <w14:schemeClr w14:val="tx1"/>
                  </w14:solidFill>
                </w14:textFill>
              </w:rPr>
              <w:t>041</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49</w:t>
            </w:r>
            <w:r>
              <w:rPr>
                <w:rFonts w:hint="default" w:ascii="Times New Roman" w:hAnsi="Times New Roman" w:cs="Times New Roman"/>
                <w:color w:val="000000" w:themeColor="text1"/>
                <w:lang w:eastAsia="zh-CN"/>
                <w14:textFill>
                  <w14:solidFill>
                    <w14:schemeClr w14:val="tx1"/>
                  </w14:solidFill>
                </w14:textFill>
              </w:rPr>
              <w:t>)，收集后暂存于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4AC09A12">
            <w:pPr>
              <w:pStyle w:val="4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④废空桶（胶水、固化剂）</w:t>
            </w:r>
          </w:p>
          <w:p w14:paraId="5984C669">
            <w:pPr>
              <w:pStyle w:val="4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根据建设单位提供资料，项目</w:t>
            </w:r>
            <w:r>
              <w:rPr>
                <w:rFonts w:hint="eastAsia" w:cs="Times New Roman"/>
                <w:color w:val="000000" w:themeColor="text1"/>
                <w:lang w:eastAsia="zh-CN"/>
                <w14:textFill>
                  <w14:solidFill>
                    <w14:schemeClr w14:val="tx1"/>
                  </w14:solidFill>
                </w14:textFill>
              </w:rPr>
              <w:t>消耗胶粘剂</w:t>
            </w:r>
            <w:r>
              <w:rPr>
                <w:rFonts w:hint="eastAsia" w:ascii="Times New Roman" w:hAnsi="Times New Roman" w:cs="Times New Roman"/>
                <w:color w:val="000000" w:themeColor="text1"/>
                <w:lang w:val="en-US" w:eastAsia="zh-CN"/>
                <w14:textFill>
                  <w14:solidFill>
                    <w14:schemeClr w14:val="tx1"/>
                  </w14:solidFill>
                </w14:textFill>
              </w:rPr>
              <w:t>35.6t/a、固化剂1.8t/a，</w:t>
            </w:r>
            <w:r>
              <w:rPr>
                <w:rFonts w:hint="eastAsia" w:ascii="Times New Roman" w:hAnsi="Times New Roman" w:cs="Times New Roman"/>
                <w:color w:val="000000" w:themeColor="text1"/>
                <w:lang w:eastAsia="zh-CN"/>
                <w14:textFill>
                  <w14:solidFill>
                    <w14:schemeClr w14:val="tx1"/>
                  </w14:solidFill>
                </w14:textFill>
              </w:rPr>
              <w:t>规格</w:t>
            </w:r>
            <w:r>
              <w:rPr>
                <w:rFonts w:hint="default" w:ascii="Times New Roman" w:hAnsi="Times New Roman" w:cs="Times New Roman"/>
                <w:color w:val="000000" w:themeColor="text1"/>
                <w:lang w:eastAsia="zh-CN"/>
                <w14:textFill>
                  <w14:solidFill>
                    <w14:schemeClr w14:val="tx1"/>
                  </w14:solidFill>
                </w14:textFill>
              </w:rPr>
              <w:t>为</w:t>
            </w:r>
            <w:r>
              <w:rPr>
                <w:rFonts w:hint="eastAsia" w:ascii="Times New Roman" w:hAnsi="Times New Roman" w:cs="Times New Roman"/>
                <w:color w:val="000000" w:themeColor="text1"/>
                <w:lang w:val="en-US" w:eastAsia="zh-CN"/>
                <w14:textFill>
                  <w14:solidFill>
                    <w14:schemeClr w14:val="tx1"/>
                  </w14:solidFill>
                </w14:textFill>
              </w:rPr>
              <w:t>50kg/桶</w:t>
            </w:r>
            <w:r>
              <w:rPr>
                <w:rFonts w:hint="default" w:ascii="Times New Roman" w:hAnsi="Times New Roman" w:cs="Times New Roman"/>
                <w:color w:val="000000" w:themeColor="text1"/>
                <w:lang w:eastAsia="zh-CN"/>
                <w14:textFill>
                  <w14:solidFill>
                    <w14:schemeClr w14:val="tx1"/>
                  </w14:solidFill>
                </w14:textFill>
              </w:rPr>
              <w:t>，则</w:t>
            </w:r>
            <w:r>
              <w:rPr>
                <w:rFonts w:hint="eastAsia" w:ascii="Times New Roman" w:hAnsi="Times New Roman" w:cs="Times New Roman"/>
                <w:color w:val="000000" w:themeColor="text1"/>
                <w:lang w:eastAsia="zh-CN"/>
                <w14:textFill>
                  <w14:solidFill>
                    <w14:schemeClr w14:val="tx1"/>
                  </w14:solidFill>
                </w14:textFill>
              </w:rPr>
              <w:t>产生约</w:t>
            </w:r>
            <w:r>
              <w:rPr>
                <w:rFonts w:hint="eastAsia" w:ascii="Times New Roman" w:hAnsi="Times New Roman" w:cs="Times New Roman"/>
                <w:color w:val="000000" w:themeColor="text1"/>
                <w:lang w:val="en-US" w:eastAsia="zh-CN"/>
                <w14:textFill>
                  <w14:solidFill>
                    <w14:schemeClr w14:val="tx1"/>
                  </w14:solidFill>
                </w14:textFill>
              </w:rPr>
              <w:t>748个空桶</w:t>
            </w:r>
            <w:r>
              <w:rPr>
                <w:rFonts w:hint="default" w:ascii="Times New Roman" w:hAnsi="Times New Roman" w:cs="Times New Roman"/>
                <w:color w:val="000000" w:themeColor="text1"/>
                <w:lang w:eastAsia="zh-CN"/>
                <w14:textFill>
                  <w14:solidFill>
                    <w14:schemeClr w14:val="tx1"/>
                  </w14:solidFill>
                </w14:textFill>
              </w:rPr>
              <w:t>，每个废</w:t>
            </w:r>
            <w:r>
              <w:rPr>
                <w:rFonts w:hint="eastAsia" w:ascii="Times New Roman" w:hAnsi="Times New Roman" w:cs="Times New Roman"/>
                <w:color w:val="000000" w:themeColor="text1"/>
                <w:lang w:eastAsia="zh-CN"/>
                <w14:textFill>
                  <w14:solidFill>
                    <w14:schemeClr w14:val="tx1"/>
                  </w14:solidFill>
                </w14:textFill>
              </w:rPr>
              <w:t>空</w:t>
            </w:r>
            <w:r>
              <w:rPr>
                <w:rFonts w:hint="default" w:ascii="Times New Roman" w:hAnsi="Times New Roman" w:cs="Times New Roman"/>
                <w:color w:val="000000" w:themeColor="text1"/>
                <w:lang w:eastAsia="zh-CN"/>
                <w14:textFill>
                  <w14:solidFill>
                    <w14:schemeClr w14:val="tx1"/>
                  </w14:solidFill>
                </w14:textFill>
              </w:rPr>
              <w:t>桶以</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kg计，则</w:t>
            </w:r>
            <w:r>
              <w:rPr>
                <w:rFonts w:hint="eastAsia" w:cs="Times New Roman"/>
                <w:color w:val="000000" w:themeColor="text1"/>
                <w:lang w:val="en-US" w:eastAsia="zh-CN"/>
                <w14:textFill>
                  <w14:solidFill>
                    <w14:schemeClr w14:val="tx1"/>
                  </w14:solidFill>
                </w14:textFill>
              </w:rPr>
              <w:t>废胶水空桶和废固化剂空桶</w:t>
            </w:r>
            <w:r>
              <w:rPr>
                <w:rFonts w:hint="default" w:ascii="Times New Roman" w:hAnsi="Times New Roman" w:cs="Times New Roman"/>
                <w:color w:val="000000" w:themeColor="text1"/>
                <w:lang w:eastAsia="zh-CN"/>
                <w14:textFill>
                  <w14:solidFill>
                    <w14:schemeClr w14:val="tx1"/>
                  </w14:solidFill>
                </w14:textFill>
              </w:rPr>
              <w:t>产生量约为</w:t>
            </w:r>
            <w:r>
              <w:rPr>
                <w:rFonts w:hint="eastAsia" w:cs="Times New Roman"/>
                <w:color w:val="000000" w:themeColor="text1"/>
                <w:lang w:val="en-US" w:eastAsia="zh-CN"/>
                <w14:textFill>
                  <w14:solidFill>
                    <w14:schemeClr w14:val="tx1"/>
                  </w14:solidFill>
                </w14:textFill>
              </w:rPr>
              <w:t>0.748</w:t>
            </w:r>
            <w:r>
              <w:rPr>
                <w:rFonts w:hint="default" w:ascii="Times New Roman" w:hAnsi="Times New Roman" w:cs="Times New Roman"/>
                <w:color w:val="000000" w:themeColor="text1"/>
                <w:lang w:eastAsia="zh-CN"/>
                <w14:textFill>
                  <w14:solidFill>
                    <w14:schemeClr w14:val="tx1"/>
                  </w14:solidFill>
                </w14:textFill>
              </w:rPr>
              <w:t>t/a。</w:t>
            </w:r>
          </w:p>
          <w:p w14:paraId="3429E5D6">
            <w:pPr>
              <w:pStyle w:val="4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废胶水空桶、废固化剂空桶</w:t>
            </w:r>
            <w:r>
              <w:rPr>
                <w:rFonts w:hint="eastAsia" w:ascii="Times New Roman" w:hAnsi="Times New Roman" w:cs="Times New Roman"/>
                <w:color w:val="000000" w:themeColor="text1"/>
                <w:lang w:eastAsia="zh-CN"/>
                <w14:textFill>
                  <w14:solidFill>
                    <w14:schemeClr w14:val="tx1"/>
                  </w14:solidFill>
                </w14:textFill>
              </w:rPr>
              <w:t>属于</w:t>
            </w:r>
            <w:r>
              <w:rPr>
                <w:rFonts w:hint="default" w:ascii="Times New Roman" w:hAnsi="Times New Roman" w:cs="Times New Roman"/>
                <w:color w:val="000000" w:themeColor="text1"/>
                <w:lang w:eastAsia="zh-CN"/>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中的</w:t>
            </w:r>
            <w:r>
              <w:rPr>
                <w:rFonts w:hint="default" w:ascii="Times New Roman" w:hAnsi="Times New Roman" w:cs="Times New Roman"/>
                <w:color w:val="000000" w:themeColor="text1"/>
                <w:lang w:eastAsia="zh-CN"/>
                <w14:textFill>
                  <w14:solidFill>
                    <w14:schemeClr w14:val="tx1"/>
                  </w14:solidFill>
                </w14:textFill>
              </w:rPr>
              <w:t>HW</w:t>
            </w:r>
            <w:r>
              <w:rPr>
                <w:rFonts w:hint="eastAsia" w:ascii="Times New Roman" w:hAnsi="Times New Roman" w:cs="Times New Roman"/>
                <w:color w:val="000000" w:themeColor="text1"/>
                <w:lang w:val="en-US" w:eastAsia="zh-CN"/>
                <w14:textFill>
                  <w14:solidFill>
                    <w14:schemeClr w14:val="tx1"/>
                  </w14:solidFill>
                </w14:textFill>
              </w:rPr>
              <w:t>49</w:t>
            </w:r>
            <w:r>
              <w:rPr>
                <w:rFonts w:hint="default" w:ascii="Times New Roman" w:hAnsi="Times New Roman" w:cs="Times New Roman"/>
                <w:color w:val="000000" w:themeColor="text1"/>
                <w:lang w:eastAsia="zh-CN"/>
                <w14:textFill>
                  <w14:solidFill>
                    <w14:schemeClr w14:val="tx1"/>
                  </w14:solidFill>
                </w14:textFill>
              </w:rPr>
              <w:t>类危废( 900-</w:t>
            </w:r>
            <w:r>
              <w:rPr>
                <w:rFonts w:hint="eastAsia" w:ascii="Times New Roman" w:hAnsi="Times New Roman" w:cs="Times New Roman"/>
                <w:color w:val="000000" w:themeColor="text1"/>
                <w:lang w:val="en-US" w:eastAsia="zh-CN"/>
                <w14:textFill>
                  <w14:solidFill>
                    <w14:schemeClr w14:val="tx1"/>
                  </w14:solidFill>
                </w14:textFill>
              </w:rPr>
              <w:t>041</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49</w:t>
            </w:r>
            <w:r>
              <w:rPr>
                <w:rFonts w:hint="default" w:ascii="Times New Roman" w:hAnsi="Times New Roman" w:cs="Times New Roman"/>
                <w:color w:val="000000" w:themeColor="text1"/>
                <w:lang w:eastAsia="zh-CN"/>
                <w14:textFill>
                  <w14:solidFill>
                    <w14:schemeClr w14:val="tx1"/>
                  </w14:solidFill>
                </w14:textFill>
              </w:rPr>
              <w:t>)，收集后暂存于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3F07EBB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⑤</w:t>
            </w:r>
            <w:r>
              <w:rPr>
                <w:rFonts w:hint="default" w:ascii="Times New Roman" w:hAnsi="Times New Roman" w:cs="Times New Roman"/>
                <w:color w:val="000000" w:themeColor="text1"/>
                <w:lang w:val="en-US" w:eastAsia="zh-CN"/>
                <w14:textFill>
                  <w14:solidFill>
                    <w14:schemeClr w14:val="tx1"/>
                  </w14:solidFill>
                </w14:textFill>
              </w:rPr>
              <w:t>废活性炭</w:t>
            </w:r>
          </w:p>
          <w:p w14:paraId="18D17BE5">
            <w:pPr>
              <w:spacing w:line="360" w:lineRule="auto"/>
              <w:ind w:firstLine="480" w:firstLineChars="200"/>
              <w:rPr>
                <w:rFonts w:hint="default"/>
                <w:color w:val="000000" w:themeColor="text1"/>
                <w:sz w:val="24"/>
                <w:lang w:val="en-US"/>
                <w14:textFill>
                  <w14:solidFill>
                    <w14:schemeClr w14:val="tx1"/>
                  </w14:solidFill>
                </w14:textFill>
              </w:rPr>
            </w:pPr>
            <w:r>
              <w:rPr>
                <w:rFonts w:hint="eastAsia" w:ascii="Times New Roman" w:hAnsi="Times New Roman" w:eastAsia="宋体" w:cs="Times New Roman"/>
                <w:color w:val="000000" w:themeColor="text1"/>
                <w:sz w:val="24"/>
                <w:lang w:val="en-US" w:eastAsia="zh-CN" w:bidi="ar"/>
                <w14:textFill>
                  <w14:solidFill>
                    <w14:schemeClr w14:val="tx1"/>
                  </w14:solidFill>
                </w14:textFill>
              </w:rPr>
              <w:t>参考《</w:t>
            </w:r>
            <w:r>
              <w:rPr>
                <w:rFonts w:hint="default" w:ascii="Times New Roman" w:hAnsi="Times New Roman" w:eastAsia="宋体" w:cs="Times New Roman"/>
                <w:color w:val="000000" w:themeColor="text1"/>
                <w:sz w:val="24"/>
                <w:lang w:bidi="ar"/>
                <w14:textFill>
                  <w14:solidFill>
                    <w14:schemeClr w14:val="tx1"/>
                  </w14:solidFill>
                </w14:textFill>
              </w:rPr>
              <w:t>厦门市生态环境局关于加强挥发性有机物污染防治工作的通知</w:t>
            </w:r>
            <w:r>
              <w:rPr>
                <w:rFonts w:hint="eastAsia" w:ascii="Times New Roman" w:hAnsi="Times New Roman" w:eastAsia="宋体" w:cs="Times New Roman"/>
                <w:color w:val="000000" w:themeColor="text1"/>
                <w:sz w:val="24"/>
                <w:lang w:val="en-US" w:eastAsia="zh-CN"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厦环大气〔2022〕15号</w:t>
            </w:r>
            <w:r>
              <w:rPr>
                <w:rFonts w:hint="eastAsia" w:ascii="Times New Roman" w:hAnsi="Times New Roman" w:eastAsia="宋体" w:cs="Times New Roman"/>
                <w:color w:val="000000" w:themeColor="text1"/>
                <w:sz w:val="24"/>
                <w:lang w:val="en-US" w:eastAsia="zh-CN" w:bidi="ar"/>
                <w14:textFill>
                  <w14:solidFill>
                    <w14:schemeClr w14:val="tx1"/>
                  </w14:solidFill>
                </w14:textFill>
              </w:rPr>
              <w:t>)中要求：“</w:t>
            </w:r>
            <w:r>
              <w:rPr>
                <w:color w:val="000000" w:themeColor="text1"/>
                <w:sz w:val="24"/>
                <w14:textFill>
                  <w14:solidFill>
                    <w14:schemeClr w14:val="tx1"/>
                  </w14:solidFill>
                </w14:textFill>
              </w:rPr>
              <w:t>采用不具备脱附功能的吸附法治理废气的，每万立方米/小时设计风量的吸附剂装填量应不小于1立方米，废气停留时间不得低于3秒</w:t>
            </w:r>
            <w:r>
              <w:rPr>
                <w:rFonts w:hint="eastAsia" w:ascii="Times New Roman" w:hAnsi="Times New Roman" w:eastAsia="宋体" w:cs="Times New Roman"/>
                <w:color w:val="000000" w:themeColor="text1"/>
                <w:sz w:val="24"/>
                <w:lang w:val="en-US" w:eastAsia="zh-CN" w:bidi="ar"/>
                <w14:textFill>
                  <w14:solidFill>
                    <w14:schemeClr w14:val="tx1"/>
                  </w14:solidFill>
                </w14:textFill>
              </w:rPr>
              <w:t>”</w:t>
            </w:r>
            <w:r>
              <w:rPr>
                <w:color w:val="000000" w:themeColor="text1"/>
                <w:sz w:val="24"/>
                <w14:textFill>
                  <w14:solidFill>
                    <w14:schemeClr w14:val="tx1"/>
                  </w14:solidFill>
                </w14:textFill>
              </w:rPr>
              <w:t>；本项目</w:t>
            </w:r>
            <w:r>
              <w:rPr>
                <w:rFonts w:hint="eastAsia"/>
                <w:color w:val="000000" w:themeColor="text1"/>
                <w:sz w:val="24"/>
                <w:lang w:eastAsia="zh-CN"/>
                <w14:textFill>
                  <w14:solidFill>
                    <w14:schemeClr w14:val="tx1"/>
                  </w14:solidFill>
                </w14:textFill>
              </w:rPr>
              <w:t>采用干式过滤器</w:t>
            </w:r>
            <w:r>
              <w:rPr>
                <w:rFonts w:hint="eastAsia"/>
                <w:color w:val="000000" w:themeColor="text1"/>
                <w:sz w:val="24"/>
                <w:lang w:val="en-US" w:eastAsia="zh-CN"/>
                <w14:textFill>
                  <w14:solidFill>
                    <w14:schemeClr w14:val="tx1"/>
                  </w14:solidFill>
                </w14:textFill>
              </w:rPr>
              <w:t>+二级活性炭装置治理废气，</w:t>
            </w:r>
            <w:r>
              <w:rPr>
                <w:color w:val="000000" w:themeColor="text1"/>
                <w:sz w:val="24"/>
                <w14:textFill>
                  <w14:solidFill>
                    <w14:schemeClr w14:val="tx1"/>
                  </w14:solidFill>
                </w14:textFill>
              </w:rPr>
              <w:t>废气量为</w:t>
            </w:r>
            <w:r>
              <w:rPr>
                <w:rFonts w:hint="eastAsia"/>
                <w:color w:val="000000" w:themeColor="text1"/>
                <w:sz w:val="24"/>
                <w:lang w:val="en-US" w:eastAsia="zh-CN"/>
                <w14:textFill>
                  <w14:solidFill>
                    <w14:schemeClr w14:val="tx1"/>
                  </w14:solidFill>
                </w14:textFill>
              </w:rPr>
              <w:t>350</w:t>
            </w:r>
            <w:r>
              <w:rPr>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本评价活性炭的吸附剂装填量按</w:t>
            </w:r>
            <w:r>
              <w:rPr>
                <w:rFonts w:hint="eastAsia"/>
                <w:color w:val="000000" w:themeColor="text1"/>
                <w:sz w:val="24"/>
                <w:lang w:val="en-US" w:eastAsia="zh-CN"/>
                <w14:textFill>
                  <w14:solidFill>
                    <w14:schemeClr w14:val="tx1"/>
                  </w14:solidFill>
                </w14:textFill>
              </w:rPr>
              <w:t>3.5</w:t>
            </w:r>
            <w:r>
              <w:rPr>
                <w:color w:val="000000" w:themeColor="text1"/>
                <w:sz w:val="24"/>
                <w14:textFill>
                  <w14:solidFill>
                    <w14:schemeClr w14:val="tx1"/>
                  </w14:solidFill>
                </w14:textFill>
              </w:rPr>
              <w:t>立方米计算，一般情况下活性炭的密度在0.45g</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cm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0.65g</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cm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左右</w:t>
            </w:r>
            <w:r>
              <w:rPr>
                <w:rFonts w:hint="eastAsia"/>
                <w:color w:val="000000" w:themeColor="text1"/>
                <w:sz w:val="24"/>
                <w14:textFill>
                  <w14:solidFill>
                    <w14:schemeClr w14:val="tx1"/>
                  </w14:solidFill>
                </w14:textFill>
              </w:rPr>
              <w:t>，</w:t>
            </w:r>
            <w:r>
              <w:rPr>
                <w:color w:val="000000" w:themeColor="text1"/>
                <w:sz w:val="24"/>
                <w:shd w:val="clear" w:color="auto" w:fill="FFFFFF"/>
                <w14:textFill>
                  <w14:solidFill>
                    <w14:schemeClr w14:val="tx1"/>
                  </w14:solidFill>
                </w14:textFill>
              </w:rPr>
              <w:t>本评价取0.5g/cm</w:t>
            </w:r>
            <w:r>
              <w:rPr>
                <w:color w:val="000000" w:themeColor="text1"/>
                <w:sz w:val="24"/>
                <w:shd w:val="clear" w:color="auto" w:fill="FFFFFF"/>
                <w:vertAlign w:val="superscript"/>
                <w14:textFill>
                  <w14:solidFill>
                    <w14:schemeClr w14:val="tx1"/>
                  </w14:solidFill>
                </w14:textFill>
              </w:rPr>
              <w:t>3</w:t>
            </w:r>
            <w:r>
              <w:rPr>
                <w:color w:val="000000" w:themeColor="text1"/>
                <w:sz w:val="24"/>
                <w14:textFill>
                  <w14:solidFill>
                    <w14:schemeClr w14:val="tx1"/>
                  </w14:solidFill>
                </w14:textFill>
              </w:rPr>
              <w:t>，则本项目活性炭吸附装置内</w:t>
            </w:r>
            <w:r>
              <w:rPr>
                <w:rFonts w:hint="eastAsia"/>
                <w:color w:val="000000" w:themeColor="text1"/>
                <w:sz w:val="24"/>
                <w:lang w:eastAsia="zh-CN"/>
                <w14:textFill>
                  <w14:solidFill>
                    <w14:schemeClr w14:val="tx1"/>
                  </w14:solidFill>
                </w14:textFill>
              </w:rPr>
              <w:t>单次</w:t>
            </w:r>
            <w:r>
              <w:rPr>
                <w:color w:val="000000" w:themeColor="text1"/>
                <w:sz w:val="24"/>
                <w14:textFill>
                  <w14:solidFill>
                    <w14:schemeClr w14:val="tx1"/>
                  </w14:solidFill>
                </w14:textFill>
              </w:rPr>
              <w:t>活性炭</w:t>
            </w:r>
            <w:r>
              <w:rPr>
                <w:rFonts w:hint="eastAsia"/>
                <w:color w:val="000000" w:themeColor="text1"/>
                <w:sz w:val="24"/>
                <w14:textFill>
                  <w14:solidFill>
                    <w14:schemeClr w14:val="tx1"/>
                  </w14:solidFill>
                </w14:textFill>
              </w:rPr>
              <w:t>不低于</w:t>
            </w:r>
            <w:r>
              <w:rPr>
                <w:rFonts w:hint="eastAsia"/>
                <w:color w:val="000000" w:themeColor="text1"/>
                <w:sz w:val="24"/>
                <w:lang w:val="en-US" w:eastAsia="zh-CN"/>
                <w14:textFill>
                  <w14:solidFill>
                    <w14:schemeClr w14:val="tx1"/>
                  </w14:solidFill>
                </w14:textFill>
              </w:rPr>
              <w:t>1.75t。</w:t>
            </w:r>
          </w:p>
          <w:p w14:paraId="7D7BBF2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参考高等学校建筑环境与设备工程专业规划教材《工业通风》孙一坚</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沈恒根主编第四版</w:t>
            </w:r>
            <w:r>
              <w:rPr>
                <w:rFonts w:hint="eastAsia"/>
                <w:color w:val="000000" w:themeColor="text1"/>
                <w:sz w:val="24"/>
                <w14:textFill>
                  <w14:solidFill>
                    <w14:schemeClr w14:val="tx1"/>
                  </w14:solidFill>
                </w14:textFill>
              </w:rPr>
              <w:t>(2010年3月)</w:t>
            </w:r>
            <w:r>
              <w:rPr>
                <w:color w:val="000000" w:themeColor="text1"/>
                <w:sz w:val="24"/>
                <w14:textFill>
                  <w14:solidFill>
                    <w14:schemeClr w14:val="tx1"/>
                  </w14:solidFill>
                </w14:textFill>
              </w:rPr>
              <w:t>，对吸附剂不进行再生的吸附器，吸附剂的连续工作时间按下式计算。</w:t>
            </w:r>
          </w:p>
          <w:p w14:paraId="21AAF12C">
            <w:pPr>
              <w:spacing w:line="360" w:lineRule="auto"/>
              <w:ind w:firstLine="420" w:firstLineChars="200"/>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602105" cy="437515"/>
                  <wp:effectExtent l="0" t="0" r="13335" b="4445"/>
                  <wp:docPr id="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1"/>
                          <pic:cNvPicPr>
                            <a:picLocks noChangeAspect="1"/>
                          </pic:cNvPicPr>
                        </pic:nvPicPr>
                        <pic:blipFill>
                          <a:blip r:embed="rId24"/>
                          <a:stretch>
                            <a:fillRect/>
                          </a:stretch>
                        </pic:blipFill>
                        <pic:spPr>
                          <a:xfrm>
                            <a:off x="0" y="0"/>
                            <a:ext cx="1602105" cy="437515"/>
                          </a:xfrm>
                          <a:prstGeom prst="rect">
                            <a:avLst/>
                          </a:prstGeom>
                          <a:noFill/>
                          <a:ln>
                            <a:noFill/>
                          </a:ln>
                        </pic:spPr>
                      </pic:pic>
                    </a:graphicData>
                  </a:graphic>
                </wp:inline>
              </w:drawing>
            </w:r>
          </w:p>
          <w:p w14:paraId="2659819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吸附层内吸附剂的质量，kg</w:t>
            </w:r>
            <w:r>
              <w:rPr>
                <w:rFonts w:hint="eastAsia"/>
                <w:color w:val="000000" w:themeColor="text1"/>
                <w:sz w:val="24"/>
                <w14:textFill>
                  <w14:solidFill>
                    <w14:schemeClr w14:val="tx1"/>
                  </w14:solidFill>
                </w14:textFill>
              </w:rPr>
              <w:t>；</w:t>
            </w:r>
          </w:p>
          <w:p w14:paraId="03429613">
            <w:pPr>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S—</w:t>
            </w:r>
            <w:r>
              <w:rPr>
                <w:color w:val="000000" w:themeColor="text1"/>
                <w:sz w:val="24"/>
                <w14:textFill>
                  <w14:solidFill>
                    <w14:schemeClr w14:val="tx1"/>
                  </w14:solidFill>
                </w14:textFill>
              </w:rPr>
              <w:t>平衡保持量，</w:t>
            </w:r>
            <w:r>
              <w:rPr>
                <w:rFonts w:hint="eastAsia"/>
                <w:color w:val="000000" w:themeColor="text1"/>
                <w:sz w:val="24"/>
                <w14:textFill>
                  <w14:solidFill>
                    <w14:schemeClr w14:val="tx1"/>
                  </w14:solidFill>
                </w14:textFill>
              </w:rPr>
              <w:t>活性炭对</w:t>
            </w:r>
            <w:r>
              <w:rPr>
                <w:rFonts w:hint="eastAsia"/>
                <w:color w:val="000000" w:themeColor="text1"/>
                <w:sz w:val="24"/>
                <w:lang w:eastAsia="zh-CN"/>
                <w14:textFill>
                  <w14:solidFill>
                    <w14:schemeClr w14:val="tx1"/>
                  </w14:solidFill>
                </w14:textFill>
              </w:rPr>
              <w:t>VOCs</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平衡保持量</w:t>
            </w:r>
            <w:r>
              <w:rPr>
                <w:rFonts w:hint="eastAsia"/>
                <w:color w:val="000000" w:themeColor="text1"/>
                <w:sz w:val="24"/>
                <w14:textFill>
                  <w14:solidFill>
                    <w14:schemeClr w14:val="tx1"/>
                  </w14:solidFill>
                </w14:textFill>
              </w:rPr>
              <w:t>在</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0%</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40%，</w:t>
            </w:r>
            <w:r>
              <w:rPr>
                <w:rFonts w:hint="eastAsia"/>
                <w:color w:val="000000" w:themeColor="text1"/>
                <w:sz w:val="24"/>
                <w:lang w:val="en-US" w:eastAsia="zh-CN"/>
                <w14:textFill>
                  <w14:solidFill>
                    <w14:schemeClr w14:val="tx1"/>
                  </w14:solidFill>
                </w14:textFill>
              </w:rPr>
              <w:t>本评价</w:t>
            </w:r>
            <w:r>
              <w:rPr>
                <w:rFonts w:hint="eastAsia"/>
                <w:color w:val="000000" w:themeColor="text1"/>
                <w:sz w:val="24"/>
                <w14:textFill>
                  <w14:solidFill>
                    <w14:schemeClr w14:val="tx1"/>
                  </w14:solidFill>
                </w14:textFill>
              </w:rPr>
              <w:t>取</w:t>
            </w:r>
            <w:r>
              <w:rPr>
                <w:rFonts w:hint="eastAsia"/>
                <w:color w:val="000000" w:themeColor="text1"/>
                <w:sz w:val="24"/>
                <w:lang w:val="en-US" w:eastAsia="zh-CN"/>
                <w14:textFill>
                  <w14:solidFill>
                    <w14:schemeClr w14:val="tx1"/>
                  </w14:solidFill>
                </w14:textFill>
              </w:rPr>
              <w:t>30</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(本评价要求采用高碘值的活性炭)</w:t>
            </w:r>
            <w:r>
              <w:rPr>
                <w:rFonts w:hint="eastAsia"/>
                <w:color w:val="000000" w:themeColor="text1"/>
                <w:sz w:val="24"/>
                <w14:textFill>
                  <w14:solidFill>
                    <w14:schemeClr w14:val="tx1"/>
                  </w14:solidFill>
                </w14:textFill>
              </w:rPr>
              <w:t>。</w:t>
            </w:r>
          </w:p>
          <w:p w14:paraId="559E6D65">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吸附效率，通常取η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w:t>
            </w:r>
          </w:p>
          <w:p w14:paraId="2A0B6A50">
            <w:pPr>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color w:val="000000" w:themeColor="text1"/>
                <w:sz w:val="24"/>
                <w14:textFill>
                  <w14:solidFill>
                    <w14:schemeClr w14:val="tx1"/>
                  </w14:solidFill>
                </w14:textFill>
              </w:rPr>
              <w:t>通风量，m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w:t>
            </w:r>
          </w:p>
          <w:p w14:paraId="57AEE3C8">
            <w:pPr>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y</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吸附器进口处有害气体浓度，mg/m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2922CB1E">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E</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动活性与静活性之比，近似取E=0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w:t>
            </w:r>
          </w:p>
          <w:p w14:paraId="0A8EB9F3">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根据工程分析可知，本项目废气产生浓度为</w:t>
            </w:r>
            <w:r>
              <w:rPr>
                <w:rFonts w:hint="eastAsia"/>
                <w:color w:val="000000" w:themeColor="text1"/>
                <w:sz w:val="24"/>
                <w:lang w:val="en-US" w:eastAsia="zh-CN"/>
                <w14:textFill>
                  <w14:solidFill>
                    <w14:schemeClr w14:val="tx1"/>
                  </w14:solidFill>
                </w14:textFill>
              </w:rPr>
              <w:t>5.43</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，根据计算，项目</w:t>
            </w:r>
            <w:r>
              <w:rPr>
                <w:rFonts w:hint="eastAsia"/>
                <w:color w:val="000000" w:themeColor="text1"/>
                <w:sz w:val="24"/>
                <w:lang w:eastAsia="zh-CN"/>
                <w14:textFill>
                  <w14:solidFill>
                    <w14:schemeClr w14:val="tx1"/>
                  </w14:solidFill>
                </w14:textFill>
              </w:rPr>
              <w:t>二级</w:t>
            </w:r>
            <w:r>
              <w:rPr>
                <w:rFonts w:hint="eastAsia"/>
                <w:color w:val="000000" w:themeColor="text1"/>
                <w:sz w:val="24"/>
                <w14:textFill>
                  <w14:solidFill>
                    <w14:schemeClr w14:val="tx1"/>
                  </w14:solidFill>
                </w14:textFill>
              </w:rPr>
              <w:t>活性炭吸附装置</w:t>
            </w:r>
            <w:r>
              <w:rPr>
                <w:color w:val="000000" w:themeColor="text1"/>
                <w:sz w:val="24"/>
                <w14:textFill>
                  <w14:solidFill>
                    <w14:schemeClr w14:val="tx1"/>
                  </w14:solidFill>
                </w14:textFill>
              </w:rPr>
              <w:t>内活性炭</w:t>
            </w:r>
            <w:r>
              <w:rPr>
                <w:rFonts w:hint="eastAsia"/>
                <w:color w:val="000000" w:themeColor="text1"/>
                <w:sz w:val="24"/>
                <w14:textFill>
                  <w14:solidFill>
                    <w14:schemeClr w14:val="tx1"/>
                  </w14:solidFill>
                </w14:textFill>
              </w:rPr>
              <w:t>填充量为</w:t>
            </w:r>
            <w:r>
              <w:rPr>
                <w:rFonts w:hint="eastAsia"/>
                <w:color w:val="000000" w:themeColor="text1"/>
                <w:sz w:val="24"/>
                <w:lang w:val="en-US" w:eastAsia="zh-CN"/>
                <w14:textFill>
                  <w14:solidFill>
                    <w14:schemeClr w14:val="tx1"/>
                  </w14:solidFill>
                </w14:textFill>
              </w:rPr>
              <w:t>1.75t</w:t>
            </w:r>
            <w:r>
              <w:rPr>
                <w:rFonts w:hint="eastAsia"/>
                <w:color w:val="000000" w:themeColor="text1"/>
                <w:sz w:val="24"/>
                <w14:textFill>
                  <w14:solidFill>
                    <w14:schemeClr w14:val="tx1"/>
                  </w14:solidFill>
                </w14:textFill>
              </w:rPr>
              <w:t>时的连续工作时间</w:t>
            </w:r>
            <w:r>
              <w:rPr>
                <w:rFonts w:hint="eastAsia"/>
                <w:color w:val="000000" w:themeColor="text1"/>
                <w:sz w:val="24"/>
                <w:lang w:eastAsia="zh-CN"/>
                <w14:textFill>
                  <w14:solidFill>
                    <w14:schemeClr w14:val="tx1"/>
                  </w14:solidFill>
                </w14:textFill>
              </w:rPr>
              <w:t>约</w:t>
            </w:r>
            <w:r>
              <w:rPr>
                <w:rFonts w:hint="eastAsia"/>
                <w:color w:val="000000" w:themeColor="text1"/>
                <w:sz w:val="24"/>
                <w:lang w:val="en-US" w:eastAsia="zh-CN"/>
                <w14:textFill>
                  <w14:solidFill>
                    <w14:schemeClr w14:val="tx1"/>
                  </w14:solidFill>
                </w14:textFill>
              </w:rPr>
              <w:t>2486h</w:t>
            </w:r>
            <w:r>
              <w:rPr>
                <w:rFonts w:hint="eastAsia"/>
                <w:color w:val="000000" w:themeColor="text1"/>
                <w:sz w:val="24"/>
                <w14:textFill>
                  <w14:solidFill>
                    <w14:schemeClr w14:val="tx1"/>
                  </w14:solidFill>
                </w14:textFill>
              </w:rPr>
              <w:t>，活性炭吸附装置日平均工作时间为</w:t>
            </w:r>
            <w:r>
              <w:rPr>
                <w:rFonts w:hint="eastAsia"/>
                <w:color w:val="000000" w:themeColor="text1"/>
                <w:sz w:val="24"/>
                <w:lang w:val="en-US" w:eastAsia="zh-CN"/>
                <w14:textFill>
                  <w14:solidFill>
                    <w14:schemeClr w14:val="tx1"/>
                  </w14:solidFill>
                </w14:textFill>
              </w:rPr>
              <w:t>16</w:t>
            </w:r>
            <w:r>
              <w:rPr>
                <w:rFonts w:hint="eastAsia"/>
                <w:color w:val="000000" w:themeColor="text1"/>
                <w:sz w:val="24"/>
                <w14:textFill>
                  <w14:solidFill>
                    <w14:schemeClr w14:val="tx1"/>
                  </w14:solidFill>
                </w14:textFill>
              </w:rPr>
              <w:t>h，则活性炭更换周期约为</w:t>
            </w:r>
            <w:r>
              <w:rPr>
                <w:rFonts w:hint="eastAsia"/>
                <w:color w:val="000000" w:themeColor="text1"/>
                <w:sz w:val="24"/>
                <w:lang w:val="en-US" w:eastAsia="zh-CN"/>
                <w14:textFill>
                  <w14:solidFill>
                    <w14:schemeClr w14:val="tx1"/>
                  </w14:solidFill>
                </w14:textFill>
              </w:rPr>
              <w:t>155</w:t>
            </w:r>
            <w:r>
              <w:rPr>
                <w:rFonts w:hint="eastAsia"/>
                <w:color w:val="000000" w:themeColor="text1"/>
                <w:sz w:val="24"/>
                <w14:textFill>
                  <w14:solidFill>
                    <w14:schemeClr w14:val="tx1"/>
                  </w14:solidFill>
                </w14:textFill>
              </w:rPr>
              <w:t>天左右；项目年工作300天，则项目年需要更换活性炭</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次，则项目</w:t>
            </w:r>
            <w:r>
              <w:rPr>
                <w:rFonts w:hint="eastAsia"/>
                <w:color w:val="000000" w:themeColor="text1"/>
                <w:sz w:val="24"/>
                <w:lang w:eastAsia="zh-CN"/>
                <w14:textFill>
                  <w14:solidFill>
                    <w14:schemeClr w14:val="tx1"/>
                  </w14:solidFill>
                </w14:textFill>
              </w:rPr>
              <w:t>二级活性炭吸附装置</w:t>
            </w:r>
            <w:r>
              <w:rPr>
                <w:rFonts w:hint="eastAsia"/>
                <w:color w:val="000000" w:themeColor="text1"/>
                <w:sz w:val="24"/>
                <w14:textFill>
                  <w14:solidFill>
                    <w14:schemeClr w14:val="tx1"/>
                  </w14:solidFill>
                </w14:textFill>
              </w:rPr>
              <w:t>年需要更换活性炭量为</w:t>
            </w:r>
            <w:r>
              <w:rPr>
                <w:rFonts w:hint="eastAsia"/>
                <w:color w:val="000000" w:themeColor="text1"/>
                <w:sz w:val="24"/>
                <w:lang w:val="en-US" w:eastAsia="zh-CN"/>
                <w14:textFill>
                  <w14:solidFill>
                    <w14:schemeClr w14:val="tx1"/>
                  </w14:solidFill>
                </w14:textFill>
              </w:rPr>
              <w:t>3.5</w:t>
            </w:r>
            <w:r>
              <w:rPr>
                <w:rFonts w:hint="eastAsia"/>
                <w:color w:val="000000" w:themeColor="text1"/>
                <w:sz w:val="24"/>
                <w14:textFill>
                  <w14:solidFill>
                    <w14:schemeClr w14:val="tx1"/>
                  </w14:solidFill>
                </w14:textFill>
              </w:rPr>
              <w:t>t，活性炭吸附</w:t>
            </w:r>
            <w:r>
              <w:rPr>
                <w:rFonts w:hint="eastAsia"/>
                <w:color w:val="000000" w:themeColor="text1"/>
                <w:sz w:val="24"/>
                <w:lang w:eastAsia="zh-CN"/>
                <w14:textFill>
                  <w14:solidFill>
                    <w14:schemeClr w14:val="tx1"/>
                  </w14:solidFill>
                </w14:textFill>
              </w:rPr>
              <w:t>的</w:t>
            </w:r>
            <w:r>
              <w:rPr>
                <w:rFonts w:hint="eastAsia"/>
                <w:color w:val="000000" w:themeColor="text1"/>
                <w:sz w:val="24"/>
                <w14:textFill>
                  <w14:solidFill>
                    <w14:schemeClr w14:val="tx1"/>
                  </w14:solidFill>
                </w14:textFill>
              </w:rPr>
              <w:t>有机废气量为</w:t>
            </w:r>
            <w:r>
              <w:rPr>
                <w:rFonts w:hint="eastAsia"/>
                <w:color w:val="000000" w:themeColor="text1"/>
                <w:sz w:val="24"/>
                <w:lang w:val="en-US" w:eastAsia="zh-CN"/>
                <w14:textFill>
                  <w14:solidFill>
                    <w14:schemeClr w14:val="tx1"/>
                  </w14:solidFill>
                </w14:textFill>
              </w:rPr>
              <w:t>0.729</w:t>
            </w:r>
            <w:r>
              <w:rPr>
                <w:rFonts w:hint="eastAsia"/>
                <w:color w:val="000000" w:themeColor="text1"/>
                <w:sz w:val="24"/>
                <w14:textFill>
                  <w14:solidFill>
                    <w14:schemeClr w14:val="tx1"/>
                  </w14:solidFill>
                </w14:textFill>
              </w:rPr>
              <w:t>t，则废活性炭量</w:t>
            </w:r>
            <w:r>
              <w:rPr>
                <w:rFonts w:hint="eastAsia"/>
                <w:color w:val="000000" w:themeColor="text1"/>
                <w:sz w:val="24"/>
                <w:lang w:eastAsia="zh-CN"/>
                <w14:textFill>
                  <w14:solidFill>
                    <w14:schemeClr w14:val="tx1"/>
                  </w14:solidFill>
                </w14:textFill>
              </w:rPr>
              <w:t>约</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4.229</w:t>
            </w:r>
            <w:r>
              <w:rPr>
                <w:rFonts w:hint="eastAsia"/>
                <w:color w:val="000000" w:themeColor="text1"/>
                <w:sz w:val="24"/>
                <w14:textFill>
                  <w14:solidFill>
                    <w14:schemeClr w14:val="tx1"/>
                  </w14:solidFill>
                </w14:textFill>
              </w:rPr>
              <w:t>t/a。</w:t>
            </w:r>
          </w:p>
          <w:p w14:paraId="0235A94B">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废活性炭属于</w:t>
            </w:r>
            <w:r>
              <w:rPr>
                <w:rFonts w:hint="default" w:ascii="Times New Roman" w:hAnsi="Times New Roman" w:cs="Times New Roman"/>
                <w:color w:val="000000" w:themeColor="text1"/>
                <w:lang w:eastAsia="zh-CN"/>
                <w14:textFill>
                  <w14:solidFill>
                    <w14:schemeClr w14:val="tx1"/>
                  </w14:solidFill>
                </w14:textFill>
              </w:rPr>
              <w:t>《国家危险废物名录》</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中的</w:t>
            </w:r>
            <w:r>
              <w:rPr>
                <w:rFonts w:hint="default" w:ascii="Times New Roman" w:hAnsi="Times New Roman" w:cs="Times New Roman"/>
                <w:color w:val="000000" w:themeColor="text1"/>
                <w:lang w:eastAsia="zh-CN"/>
                <w14:textFill>
                  <w14:solidFill>
                    <w14:schemeClr w14:val="tx1"/>
                  </w14:solidFill>
                </w14:textFill>
              </w:rPr>
              <w:t>HW</w:t>
            </w:r>
            <w:r>
              <w:rPr>
                <w:rFonts w:hint="eastAsia" w:ascii="Times New Roman" w:hAnsi="Times New Roman" w:cs="Times New Roman"/>
                <w:color w:val="000000" w:themeColor="text1"/>
                <w:lang w:val="en-US" w:eastAsia="zh-CN"/>
                <w14:textFill>
                  <w14:solidFill>
                    <w14:schemeClr w14:val="tx1"/>
                  </w14:solidFill>
                </w14:textFill>
              </w:rPr>
              <w:t>49</w:t>
            </w:r>
            <w:r>
              <w:rPr>
                <w:rFonts w:hint="default" w:ascii="Times New Roman" w:hAnsi="Times New Roman" w:cs="Times New Roman"/>
                <w:color w:val="000000" w:themeColor="text1"/>
                <w:lang w:eastAsia="zh-CN"/>
                <w14:textFill>
                  <w14:solidFill>
                    <w14:schemeClr w14:val="tx1"/>
                  </w14:solidFill>
                </w14:textFill>
              </w:rPr>
              <w:t>类危废( 900-</w:t>
            </w:r>
            <w:r>
              <w:rPr>
                <w:rFonts w:hint="eastAsia" w:ascii="Times New Roman" w:hAnsi="Times New Roman" w:cs="Times New Roman"/>
                <w:color w:val="000000" w:themeColor="text1"/>
                <w:lang w:val="en-US" w:eastAsia="zh-CN"/>
                <w14:textFill>
                  <w14:solidFill>
                    <w14:schemeClr w14:val="tx1"/>
                  </w14:solidFill>
                </w14:textFill>
              </w:rPr>
              <w:t>039-49</w:t>
            </w:r>
            <w:r>
              <w:rPr>
                <w:rFonts w:hint="default" w:ascii="Times New Roman" w:hAnsi="Times New Roman" w:cs="Times New Roman"/>
                <w:color w:val="000000" w:themeColor="text1"/>
                <w:lang w:eastAsia="zh-CN"/>
                <w14:textFill>
                  <w14:solidFill>
                    <w14:schemeClr w14:val="tx1"/>
                  </w14:solidFill>
                </w14:textFill>
              </w:rPr>
              <w:t>)，收集后暂存于</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default" w:ascii="Times New Roman" w:hAnsi="Times New Roman" w:cs="Times New Roman"/>
                <w:color w:val="000000" w:themeColor="text1"/>
                <w:lang w:eastAsia="zh-CN"/>
                <w14:textFill>
                  <w14:solidFill>
                    <w14:schemeClr w14:val="tx1"/>
                  </w14:solidFill>
                </w14:textFill>
              </w:rPr>
              <w:t>交由有资质单位进行处置。</w:t>
            </w:r>
          </w:p>
          <w:p w14:paraId="601CBE39">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(3)职工的生活垃圾</w:t>
            </w:r>
          </w:p>
          <w:p w14:paraId="16F59DB9">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生活垃圾主要来源于项目职工日常生活中产生的垃圾，项目职工人数共</w:t>
            </w:r>
            <w:r>
              <w:rPr>
                <w:rFonts w:hint="eastAsia" w:cs="Times New Roman"/>
                <w:color w:val="000000" w:themeColor="text1"/>
                <w:lang w:val="en-US" w:eastAsia="zh-CN"/>
                <w14:textFill>
                  <w14:solidFill>
                    <w14:schemeClr w14:val="tx1"/>
                  </w14:solidFill>
                </w14:textFill>
              </w:rPr>
              <w:t>69</w:t>
            </w:r>
            <w:r>
              <w:rPr>
                <w:rFonts w:hint="default" w:ascii="Times New Roman" w:hAnsi="Times New Roman" w:cs="Times New Roman"/>
                <w:color w:val="000000" w:themeColor="text1"/>
                <w:lang w:val="en-US" w:eastAsia="zh-CN"/>
                <w14:textFill>
                  <w14:solidFill>
                    <w14:schemeClr w14:val="tx1"/>
                  </w14:solidFill>
                </w14:textFill>
              </w:rPr>
              <w:t>人。</w:t>
            </w:r>
            <w:r>
              <w:rPr>
                <w:rFonts w:hint="eastAsia" w:cs="Times New Roman"/>
                <w:color w:val="000000" w:themeColor="text1"/>
                <w:lang w:val="en-US" w:eastAsia="zh-CN"/>
                <w14:textFill>
                  <w14:solidFill>
                    <w14:schemeClr w14:val="tx1"/>
                  </w14:solidFill>
                </w14:textFill>
              </w:rPr>
              <w:t>均</w:t>
            </w:r>
            <w:r>
              <w:rPr>
                <w:rFonts w:hint="default" w:ascii="Times New Roman" w:hAnsi="Times New Roman" w:cs="Times New Roman"/>
                <w:color w:val="000000" w:themeColor="text1"/>
                <w:lang w:val="en-US" w:eastAsia="zh-CN"/>
                <w14:textFill>
                  <w14:solidFill>
                    <w14:schemeClr w14:val="tx1"/>
                  </w14:solidFill>
                </w14:textFill>
              </w:rPr>
              <w:t>不在厂区内食宿，职工生活垃圾排放量按0.5kg/人·天计，则生活垃圾产生量为</w:t>
            </w:r>
            <w:r>
              <w:rPr>
                <w:rFonts w:hint="eastAsia" w:cs="Times New Roman"/>
                <w:color w:val="000000" w:themeColor="text1"/>
                <w:lang w:val="en-US" w:eastAsia="zh-CN"/>
                <w14:textFill>
                  <w14:solidFill>
                    <w14:schemeClr w14:val="tx1"/>
                  </w14:solidFill>
                </w14:textFill>
              </w:rPr>
              <w:t>34.5</w:t>
            </w:r>
            <w:r>
              <w:rPr>
                <w:rFonts w:hint="default" w:ascii="Times New Roman" w:hAnsi="Times New Roman" w:cs="Times New Roman"/>
                <w:color w:val="000000" w:themeColor="text1"/>
                <w:lang w:val="en-US" w:eastAsia="zh-CN"/>
                <w14:textFill>
                  <w14:solidFill>
                    <w14:schemeClr w14:val="tx1"/>
                  </w14:solidFill>
                </w14:textFill>
              </w:rPr>
              <w:t>kg/d，年产生量约为</w:t>
            </w:r>
            <w:r>
              <w:rPr>
                <w:rFonts w:hint="eastAsia" w:cs="Times New Roman"/>
                <w:color w:val="000000" w:themeColor="text1"/>
                <w:lang w:val="en-US" w:eastAsia="zh-CN"/>
                <w14:textFill>
                  <w14:solidFill>
                    <w14:schemeClr w14:val="tx1"/>
                  </w14:solidFill>
                </w14:textFill>
              </w:rPr>
              <w:t>10.35</w:t>
            </w:r>
            <w:r>
              <w:rPr>
                <w:rFonts w:hint="default" w:ascii="Times New Roman" w:hAnsi="Times New Roman" w:cs="Times New Roman"/>
                <w:color w:val="000000" w:themeColor="text1"/>
                <w:lang w:val="en-US" w:eastAsia="zh-CN"/>
                <w14:textFill>
                  <w14:solidFill>
                    <w14:schemeClr w14:val="tx1"/>
                  </w14:solidFill>
                </w14:textFill>
              </w:rPr>
              <w:t>t(按年工作300天计)，统一收集后，全部委托环卫部门定期外运统一处置。</w:t>
            </w:r>
          </w:p>
          <w:p w14:paraId="684DC755">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综上所述，项目一般工业固废及生活垃圾固体废物污染源源强核算结果一览表详见表4.</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项目危险废物污染源源强核算结果及相关参数一览表详见表4.5-2。</w:t>
            </w:r>
          </w:p>
          <w:p w14:paraId="175F261B">
            <w:pPr>
              <w:pStyle w:val="56"/>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-1  固体废物污染源源强核算结果及相关参数一览表</w:t>
            </w:r>
            <w:r>
              <w:rPr>
                <w:rFonts w:hint="default" w:ascii="Times New Roman" w:hAnsi="Times New Roman" w:cs="Times New Roman"/>
                <w:color w:val="000000" w:themeColor="text1"/>
                <w:lang w:eastAsia="zh-CN"/>
                <w14:textFill>
                  <w14:solidFill>
                    <w14:schemeClr w14:val="tx1"/>
                  </w14:solidFill>
                </w14:textFill>
              </w:rPr>
              <w:t>，单位</w:t>
            </w:r>
            <w:r>
              <w:rPr>
                <w:rFonts w:hint="default" w:ascii="Times New Roman" w:hAnsi="Times New Roman" w:cs="Times New Roman"/>
                <w:color w:val="000000" w:themeColor="text1"/>
                <w:lang w:val="en-US" w:eastAsia="zh-CN"/>
                <w14:textFill>
                  <w14:solidFill>
                    <w14:schemeClr w14:val="tx1"/>
                  </w14:solidFill>
                </w14:textFill>
              </w:rPr>
              <w:t>t/a</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1065"/>
              <w:gridCol w:w="1282"/>
              <w:gridCol w:w="1040"/>
              <w:gridCol w:w="1395"/>
              <w:gridCol w:w="859"/>
              <w:gridCol w:w="576"/>
              <w:gridCol w:w="771"/>
              <w:gridCol w:w="1433"/>
            </w:tblGrid>
            <w:tr w14:paraId="54F40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632" w:type="pct"/>
                  <w:vMerge w:val="restart"/>
                  <w:tcBorders>
                    <w:tl2br w:val="nil"/>
                    <w:tr2bl w:val="nil"/>
                  </w:tcBorders>
                  <w:shd w:val="clear" w:color="auto" w:fill="auto"/>
                  <w:noWrap w:val="0"/>
                  <w:vAlign w:val="center"/>
                </w:tcPr>
                <w:p w14:paraId="5D02978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产生环节</w:t>
                  </w:r>
                </w:p>
              </w:tc>
              <w:tc>
                <w:tcPr>
                  <w:tcW w:w="761" w:type="pct"/>
                  <w:vMerge w:val="restart"/>
                  <w:tcBorders>
                    <w:tl2br w:val="nil"/>
                    <w:tr2bl w:val="nil"/>
                  </w:tcBorders>
                  <w:shd w:val="clear" w:color="auto" w:fill="auto"/>
                  <w:noWrap w:val="0"/>
                  <w:vAlign w:val="center"/>
                </w:tcPr>
                <w:p w14:paraId="07417CF2">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固体废物名称</w:t>
                  </w:r>
                </w:p>
              </w:tc>
              <w:tc>
                <w:tcPr>
                  <w:tcW w:w="617" w:type="pct"/>
                  <w:vMerge w:val="restart"/>
                  <w:tcBorders>
                    <w:tl2br w:val="nil"/>
                    <w:tr2bl w:val="nil"/>
                  </w:tcBorders>
                  <w:shd w:val="clear" w:color="auto" w:fill="auto"/>
                  <w:noWrap w:val="0"/>
                  <w:vAlign w:val="center"/>
                </w:tcPr>
                <w:p w14:paraId="1D5D1EA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固废属性</w:t>
                  </w:r>
                </w:p>
              </w:tc>
              <w:tc>
                <w:tcPr>
                  <w:tcW w:w="828" w:type="pct"/>
                  <w:vMerge w:val="restart"/>
                  <w:tcBorders>
                    <w:tl2br w:val="nil"/>
                    <w:tr2bl w:val="nil"/>
                  </w:tcBorders>
                  <w:shd w:val="clear" w:color="auto" w:fill="auto"/>
                  <w:noWrap w:val="0"/>
                  <w:vAlign w:val="center"/>
                </w:tcPr>
                <w:p w14:paraId="6B96711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一般固废代码</w:t>
                  </w:r>
                </w:p>
              </w:tc>
              <w:tc>
                <w:tcPr>
                  <w:tcW w:w="510" w:type="pct"/>
                  <w:tcBorders>
                    <w:tl2br w:val="nil"/>
                    <w:tr2bl w:val="nil"/>
                  </w:tcBorders>
                  <w:shd w:val="clear" w:color="auto" w:fill="auto"/>
                  <w:noWrap w:val="0"/>
                  <w:vAlign w:val="center"/>
                </w:tcPr>
                <w:p w14:paraId="7DC64C5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w:t>
                  </w:r>
                </w:p>
                <w:p w14:paraId="3325374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情况</w:t>
                  </w:r>
                </w:p>
              </w:tc>
              <w:tc>
                <w:tcPr>
                  <w:tcW w:w="799" w:type="pct"/>
                  <w:gridSpan w:val="2"/>
                  <w:tcBorders>
                    <w:tl2br w:val="nil"/>
                    <w:tr2bl w:val="nil"/>
                  </w:tcBorders>
                  <w:shd w:val="clear" w:color="auto" w:fill="auto"/>
                  <w:noWrap w:val="0"/>
                  <w:vAlign w:val="center"/>
                </w:tcPr>
                <w:p w14:paraId="1B6C951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处置措施</w:t>
                  </w:r>
                </w:p>
              </w:tc>
              <w:tc>
                <w:tcPr>
                  <w:tcW w:w="850" w:type="pct"/>
                  <w:vMerge w:val="restart"/>
                  <w:tcBorders>
                    <w:tl2br w:val="nil"/>
                    <w:tr2bl w:val="nil"/>
                  </w:tcBorders>
                  <w:shd w:val="clear" w:color="auto" w:fill="auto"/>
                  <w:noWrap w:val="0"/>
                  <w:vAlign w:val="center"/>
                </w:tcPr>
                <w:p w14:paraId="4A61CC4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最终去向</w:t>
                  </w:r>
                </w:p>
              </w:tc>
            </w:tr>
            <w:tr w14:paraId="41294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pct"/>
                  <w:vMerge w:val="continue"/>
                  <w:tcBorders>
                    <w:tl2br w:val="nil"/>
                    <w:tr2bl w:val="nil"/>
                  </w:tcBorders>
                  <w:shd w:val="clear" w:color="auto" w:fill="auto"/>
                  <w:noWrap w:val="0"/>
                  <w:vAlign w:val="center"/>
                </w:tcPr>
                <w:p w14:paraId="141C6FBF">
                  <w:pPr>
                    <w:pStyle w:val="47"/>
                    <w:bidi w:val="0"/>
                    <w:rPr>
                      <w:rFonts w:hint="default" w:ascii="Times New Roman" w:hAnsi="Times New Roman" w:cs="Times New Roman"/>
                      <w:color w:val="000000" w:themeColor="text1"/>
                      <w14:textFill>
                        <w14:solidFill>
                          <w14:schemeClr w14:val="tx1"/>
                        </w14:solidFill>
                      </w14:textFill>
                    </w:rPr>
                  </w:pPr>
                </w:p>
              </w:tc>
              <w:tc>
                <w:tcPr>
                  <w:tcW w:w="761" w:type="pct"/>
                  <w:vMerge w:val="continue"/>
                  <w:tcBorders>
                    <w:tl2br w:val="nil"/>
                    <w:tr2bl w:val="nil"/>
                  </w:tcBorders>
                  <w:shd w:val="clear" w:color="auto" w:fill="auto"/>
                  <w:noWrap w:val="0"/>
                  <w:vAlign w:val="center"/>
                </w:tcPr>
                <w:p w14:paraId="4F6ADBFD">
                  <w:pPr>
                    <w:pStyle w:val="47"/>
                    <w:bidi w:val="0"/>
                    <w:rPr>
                      <w:rFonts w:hint="default" w:ascii="Times New Roman" w:hAnsi="Times New Roman" w:cs="Times New Roman"/>
                      <w:color w:val="000000" w:themeColor="text1"/>
                      <w14:textFill>
                        <w14:solidFill>
                          <w14:schemeClr w14:val="tx1"/>
                        </w14:solidFill>
                      </w14:textFill>
                    </w:rPr>
                  </w:pPr>
                </w:p>
              </w:tc>
              <w:tc>
                <w:tcPr>
                  <w:tcW w:w="617" w:type="pct"/>
                  <w:vMerge w:val="continue"/>
                  <w:tcBorders>
                    <w:tl2br w:val="nil"/>
                    <w:tr2bl w:val="nil"/>
                  </w:tcBorders>
                  <w:shd w:val="clear" w:color="auto" w:fill="auto"/>
                  <w:noWrap w:val="0"/>
                  <w:vAlign w:val="center"/>
                </w:tcPr>
                <w:p w14:paraId="3B379849">
                  <w:pPr>
                    <w:pStyle w:val="47"/>
                    <w:bidi w:val="0"/>
                    <w:rPr>
                      <w:rFonts w:hint="default" w:ascii="Times New Roman" w:hAnsi="Times New Roman" w:cs="Times New Roman"/>
                      <w:color w:val="000000" w:themeColor="text1"/>
                      <w14:textFill>
                        <w14:solidFill>
                          <w14:schemeClr w14:val="tx1"/>
                        </w14:solidFill>
                      </w14:textFill>
                    </w:rPr>
                  </w:pPr>
                </w:p>
              </w:tc>
              <w:tc>
                <w:tcPr>
                  <w:tcW w:w="828" w:type="pct"/>
                  <w:vMerge w:val="continue"/>
                  <w:tcBorders>
                    <w:tl2br w:val="nil"/>
                    <w:tr2bl w:val="nil"/>
                  </w:tcBorders>
                  <w:shd w:val="clear" w:color="auto" w:fill="auto"/>
                  <w:noWrap w:val="0"/>
                  <w:vAlign w:val="center"/>
                </w:tcPr>
                <w:p w14:paraId="7CED1F2F">
                  <w:pPr>
                    <w:pStyle w:val="47"/>
                    <w:bidi w:val="0"/>
                    <w:rPr>
                      <w:rFonts w:hint="default" w:ascii="Times New Roman" w:hAnsi="Times New Roman" w:cs="Times New Roman"/>
                      <w:color w:val="000000" w:themeColor="text1"/>
                      <w14:textFill>
                        <w14:solidFill>
                          <w14:schemeClr w14:val="tx1"/>
                        </w14:solidFill>
                      </w14:textFill>
                    </w:rPr>
                  </w:pPr>
                </w:p>
              </w:tc>
              <w:tc>
                <w:tcPr>
                  <w:tcW w:w="510" w:type="pct"/>
                  <w:tcBorders>
                    <w:tl2br w:val="nil"/>
                    <w:tr2bl w:val="nil"/>
                  </w:tcBorders>
                  <w:shd w:val="clear" w:color="auto" w:fill="auto"/>
                  <w:noWrap w:val="0"/>
                  <w:vAlign w:val="center"/>
                </w:tcPr>
                <w:p w14:paraId="1D2AB061">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产生量</w:t>
                  </w:r>
                </w:p>
              </w:tc>
              <w:tc>
                <w:tcPr>
                  <w:tcW w:w="342" w:type="pct"/>
                  <w:tcBorders>
                    <w:tl2br w:val="nil"/>
                    <w:tr2bl w:val="nil"/>
                  </w:tcBorders>
                  <w:shd w:val="clear" w:color="auto" w:fill="auto"/>
                  <w:noWrap w:val="0"/>
                  <w:vAlign w:val="center"/>
                </w:tcPr>
                <w:p w14:paraId="343E990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工艺</w:t>
                  </w:r>
                </w:p>
              </w:tc>
              <w:tc>
                <w:tcPr>
                  <w:tcW w:w="457" w:type="pct"/>
                  <w:tcBorders>
                    <w:tl2br w:val="nil"/>
                    <w:tr2bl w:val="nil"/>
                  </w:tcBorders>
                  <w:shd w:val="clear" w:color="auto" w:fill="auto"/>
                  <w:noWrap w:val="0"/>
                  <w:vAlign w:val="center"/>
                </w:tcPr>
                <w:p w14:paraId="7C91170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处置量</w:t>
                  </w:r>
                </w:p>
              </w:tc>
              <w:tc>
                <w:tcPr>
                  <w:tcW w:w="850" w:type="pct"/>
                  <w:vMerge w:val="continue"/>
                  <w:tcBorders>
                    <w:tl2br w:val="nil"/>
                    <w:tr2bl w:val="nil"/>
                  </w:tcBorders>
                  <w:shd w:val="clear" w:color="auto" w:fill="auto"/>
                  <w:noWrap w:val="0"/>
                  <w:vAlign w:val="center"/>
                </w:tcPr>
                <w:p w14:paraId="64A29A2C">
                  <w:pPr>
                    <w:pStyle w:val="47"/>
                    <w:bidi w:val="0"/>
                    <w:rPr>
                      <w:rFonts w:hint="default" w:ascii="Times New Roman" w:hAnsi="Times New Roman" w:cs="Times New Roman"/>
                      <w:color w:val="000000" w:themeColor="text1"/>
                      <w14:textFill>
                        <w14:solidFill>
                          <w14:schemeClr w14:val="tx1"/>
                        </w14:solidFill>
                      </w14:textFill>
                    </w:rPr>
                  </w:pPr>
                </w:p>
              </w:tc>
            </w:tr>
            <w:tr w14:paraId="095C8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pct"/>
                  <w:tcBorders>
                    <w:tl2br w:val="nil"/>
                    <w:tr2bl w:val="nil"/>
                  </w:tcBorders>
                  <w:shd w:val="clear" w:color="auto" w:fill="auto"/>
                  <w:noWrap w:val="0"/>
                  <w:vAlign w:val="center"/>
                </w:tcPr>
                <w:p w14:paraId="2D87DBD8">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检验</w:t>
                  </w:r>
                </w:p>
              </w:tc>
              <w:tc>
                <w:tcPr>
                  <w:tcW w:w="761" w:type="pct"/>
                  <w:tcBorders>
                    <w:tl2br w:val="nil"/>
                    <w:tr2bl w:val="nil"/>
                  </w:tcBorders>
                  <w:shd w:val="clear" w:color="auto" w:fill="auto"/>
                  <w:noWrap w:val="0"/>
                  <w:vAlign w:val="center"/>
                </w:tcPr>
                <w:p w14:paraId="5A439844">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不合格品</w:t>
                  </w:r>
                </w:p>
              </w:tc>
              <w:tc>
                <w:tcPr>
                  <w:tcW w:w="617" w:type="pct"/>
                  <w:tcBorders>
                    <w:tl2br w:val="nil"/>
                    <w:tr2bl w:val="nil"/>
                  </w:tcBorders>
                  <w:shd w:val="clear" w:color="auto" w:fill="auto"/>
                  <w:noWrap w:val="0"/>
                  <w:vAlign w:val="center"/>
                </w:tcPr>
                <w:p w14:paraId="2F645C59">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一般工业固废</w:t>
                  </w:r>
                </w:p>
              </w:tc>
              <w:tc>
                <w:tcPr>
                  <w:tcW w:w="828" w:type="pct"/>
                  <w:tcBorders>
                    <w:tl2br w:val="nil"/>
                    <w:tr2bl w:val="nil"/>
                  </w:tcBorders>
                  <w:shd w:val="clear" w:color="auto" w:fill="auto"/>
                  <w:noWrap w:val="0"/>
                  <w:vAlign w:val="center"/>
                </w:tcPr>
                <w:p w14:paraId="474D850C">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900-099-S17</w:t>
                  </w:r>
                </w:p>
              </w:tc>
              <w:tc>
                <w:tcPr>
                  <w:tcW w:w="510" w:type="pct"/>
                  <w:tcBorders>
                    <w:tl2br w:val="nil"/>
                    <w:tr2bl w:val="nil"/>
                  </w:tcBorders>
                  <w:shd w:val="clear" w:color="auto" w:fill="auto"/>
                  <w:noWrap w:val="0"/>
                  <w:vAlign w:val="center"/>
                </w:tcPr>
                <w:p w14:paraId="6452BA41">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w:t>
                  </w:r>
                </w:p>
              </w:tc>
              <w:tc>
                <w:tcPr>
                  <w:tcW w:w="342" w:type="pct"/>
                  <w:vMerge w:val="restart"/>
                  <w:tcBorders>
                    <w:tl2br w:val="nil"/>
                    <w:tr2bl w:val="nil"/>
                  </w:tcBorders>
                  <w:shd w:val="clear" w:color="auto" w:fill="auto"/>
                  <w:noWrap w:val="0"/>
                  <w:vAlign w:val="center"/>
                </w:tcPr>
                <w:p w14:paraId="018BB20C">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综合利用</w:t>
                  </w:r>
                </w:p>
              </w:tc>
              <w:tc>
                <w:tcPr>
                  <w:tcW w:w="457" w:type="pct"/>
                  <w:tcBorders>
                    <w:tl2br w:val="nil"/>
                    <w:tr2bl w:val="nil"/>
                  </w:tcBorders>
                  <w:shd w:val="clear" w:color="auto" w:fill="auto"/>
                  <w:noWrap w:val="0"/>
                  <w:vAlign w:val="center"/>
                </w:tcPr>
                <w:p w14:paraId="4C8450C0">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w:t>
                  </w:r>
                </w:p>
              </w:tc>
              <w:tc>
                <w:tcPr>
                  <w:tcW w:w="850" w:type="pct"/>
                  <w:vMerge w:val="restart"/>
                  <w:tcBorders>
                    <w:tl2br w:val="nil"/>
                    <w:tr2bl w:val="nil"/>
                  </w:tcBorders>
                  <w:shd w:val="clear" w:color="auto" w:fill="auto"/>
                  <w:noWrap w:val="0"/>
                  <w:vAlign w:val="center"/>
                </w:tcPr>
                <w:p w14:paraId="02C1AE77">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委托外运</w:t>
                  </w:r>
                  <w:r>
                    <w:rPr>
                      <w:rFonts w:hint="default" w:ascii="Times New Roman" w:hAnsi="Times New Roman" w:cs="Times New Roman"/>
                      <w:color w:val="000000" w:themeColor="text1"/>
                      <w:lang w:eastAsia="zh-CN"/>
                      <w14:textFill>
                        <w14:solidFill>
                          <w14:schemeClr w14:val="tx1"/>
                        </w14:solidFill>
                      </w14:textFill>
                    </w:rPr>
                    <w:t>处置</w:t>
                  </w:r>
                  <w:r>
                    <w:rPr>
                      <w:rFonts w:hint="default" w:ascii="Times New Roman" w:hAnsi="Times New Roman" w:cs="Times New Roman"/>
                      <w:color w:val="000000" w:themeColor="text1"/>
                      <w14:textFill>
                        <w14:solidFill>
                          <w14:schemeClr w14:val="tx1"/>
                        </w14:solidFill>
                      </w14:textFill>
                    </w:rPr>
                    <w:t>或外售综合利用</w:t>
                  </w:r>
                </w:p>
              </w:tc>
            </w:tr>
            <w:tr w14:paraId="70001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2" w:type="pct"/>
                  <w:tcBorders>
                    <w:tl2br w:val="nil"/>
                    <w:tr2bl w:val="nil"/>
                  </w:tcBorders>
                  <w:shd w:val="clear" w:color="auto" w:fill="auto"/>
                  <w:noWrap w:val="0"/>
                  <w:vAlign w:val="center"/>
                </w:tcPr>
                <w:p w14:paraId="0A1EB6E3">
                  <w:pPr>
                    <w:pStyle w:val="41"/>
                    <w:bidi w:val="0"/>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原辅材料</w:t>
                  </w:r>
                  <w:r>
                    <w:rPr>
                      <w:rFonts w:hint="eastAsia" w:cs="Times New Roman"/>
                      <w:color w:val="000000" w:themeColor="text1"/>
                      <w:lang w:val="en-US" w:eastAsia="zh-CN"/>
                      <w14:textFill>
                        <w14:solidFill>
                          <w14:schemeClr w14:val="tx1"/>
                        </w14:solidFill>
                      </w14:textFill>
                    </w:rPr>
                    <w:t>、成品包装</w:t>
                  </w:r>
                </w:p>
              </w:tc>
              <w:tc>
                <w:tcPr>
                  <w:tcW w:w="761" w:type="pct"/>
                  <w:tcBorders>
                    <w:tl2br w:val="nil"/>
                    <w:tr2bl w:val="nil"/>
                  </w:tcBorders>
                  <w:shd w:val="clear" w:color="auto" w:fill="auto"/>
                  <w:noWrap w:val="0"/>
                  <w:vAlign w:val="center"/>
                </w:tcPr>
                <w:p w14:paraId="4CF492A3">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废包装材料</w:t>
                  </w:r>
                </w:p>
              </w:tc>
              <w:tc>
                <w:tcPr>
                  <w:tcW w:w="617" w:type="pct"/>
                  <w:tcBorders>
                    <w:tl2br w:val="nil"/>
                    <w:tr2bl w:val="nil"/>
                  </w:tcBorders>
                  <w:shd w:val="clear" w:color="auto" w:fill="auto"/>
                  <w:noWrap w:val="0"/>
                  <w:vAlign w:val="center"/>
                </w:tcPr>
                <w:p w14:paraId="4D05F40B">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一般工业固废</w:t>
                  </w:r>
                </w:p>
              </w:tc>
              <w:tc>
                <w:tcPr>
                  <w:tcW w:w="828" w:type="pct"/>
                  <w:tcBorders>
                    <w:tl2br w:val="nil"/>
                    <w:tr2bl w:val="nil"/>
                  </w:tcBorders>
                  <w:shd w:val="clear" w:color="auto" w:fill="auto"/>
                  <w:noWrap w:val="0"/>
                  <w:vAlign w:val="center"/>
                </w:tcPr>
                <w:p w14:paraId="456618D2">
                  <w:pPr>
                    <w:pStyle w:val="47"/>
                    <w:bidi w:val="0"/>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900-099-S17</w:t>
                  </w:r>
                </w:p>
              </w:tc>
              <w:tc>
                <w:tcPr>
                  <w:tcW w:w="510" w:type="pct"/>
                  <w:tcBorders>
                    <w:tl2br w:val="nil"/>
                    <w:tr2bl w:val="nil"/>
                  </w:tcBorders>
                  <w:shd w:val="clear" w:color="auto" w:fill="auto"/>
                  <w:noWrap w:val="0"/>
                  <w:vAlign w:val="center"/>
                </w:tcPr>
                <w:p w14:paraId="2056A3C2">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342" w:type="pct"/>
                  <w:vMerge w:val="continue"/>
                  <w:tcBorders>
                    <w:tl2br w:val="nil"/>
                    <w:tr2bl w:val="nil"/>
                  </w:tcBorders>
                  <w:shd w:val="clear" w:color="auto" w:fill="auto"/>
                  <w:noWrap w:val="0"/>
                  <w:vAlign w:val="center"/>
                </w:tcPr>
                <w:p w14:paraId="720B74E4">
                  <w:pPr>
                    <w:pStyle w:val="47"/>
                    <w:bidi w:val="0"/>
                    <w:rPr>
                      <w:rFonts w:hint="default" w:ascii="Times New Roman" w:hAnsi="Times New Roman" w:cs="Times New Roman"/>
                      <w:color w:val="000000" w:themeColor="text1"/>
                      <w14:textFill>
                        <w14:solidFill>
                          <w14:schemeClr w14:val="tx1"/>
                        </w14:solidFill>
                      </w14:textFill>
                    </w:rPr>
                  </w:pPr>
                </w:p>
              </w:tc>
              <w:tc>
                <w:tcPr>
                  <w:tcW w:w="457" w:type="pct"/>
                  <w:tcBorders>
                    <w:tl2br w:val="nil"/>
                    <w:tr2bl w:val="nil"/>
                  </w:tcBorders>
                  <w:shd w:val="clear" w:color="auto" w:fill="auto"/>
                  <w:noWrap w:val="0"/>
                  <w:vAlign w:val="center"/>
                </w:tcPr>
                <w:p w14:paraId="3DA8DFAC">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850" w:type="pct"/>
                  <w:vMerge w:val="continue"/>
                  <w:tcBorders>
                    <w:tl2br w:val="nil"/>
                    <w:tr2bl w:val="nil"/>
                  </w:tcBorders>
                  <w:shd w:val="clear" w:color="auto" w:fill="auto"/>
                  <w:noWrap w:val="0"/>
                  <w:vAlign w:val="center"/>
                </w:tcPr>
                <w:p w14:paraId="37F503DE">
                  <w:pPr>
                    <w:pStyle w:val="47"/>
                    <w:bidi w:val="0"/>
                    <w:rPr>
                      <w:rFonts w:hint="default" w:ascii="Times New Roman" w:hAnsi="Times New Roman" w:cs="Times New Roman"/>
                      <w:color w:val="000000" w:themeColor="text1"/>
                      <w14:textFill>
                        <w14:solidFill>
                          <w14:schemeClr w14:val="tx1"/>
                        </w14:solidFill>
                      </w14:textFill>
                    </w:rPr>
                  </w:pPr>
                </w:p>
              </w:tc>
            </w:tr>
            <w:tr w14:paraId="14915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632" w:type="pct"/>
                  <w:tcBorders>
                    <w:tl2br w:val="nil"/>
                    <w:tr2bl w:val="nil"/>
                  </w:tcBorders>
                  <w:shd w:val="clear" w:color="auto" w:fill="auto"/>
                  <w:noWrap w:val="0"/>
                  <w:vAlign w:val="center"/>
                </w:tcPr>
                <w:p w14:paraId="685715C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职工生活垃圾</w:t>
                  </w:r>
                </w:p>
              </w:tc>
              <w:tc>
                <w:tcPr>
                  <w:tcW w:w="761" w:type="pct"/>
                  <w:tcBorders>
                    <w:tl2br w:val="nil"/>
                    <w:tr2bl w:val="nil"/>
                  </w:tcBorders>
                  <w:shd w:val="clear" w:color="auto" w:fill="auto"/>
                  <w:noWrap w:val="0"/>
                  <w:vAlign w:val="center"/>
                </w:tcPr>
                <w:p w14:paraId="71EC3774">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纸屑、塑料等</w:t>
                  </w:r>
                </w:p>
              </w:tc>
              <w:tc>
                <w:tcPr>
                  <w:tcW w:w="617" w:type="pct"/>
                  <w:tcBorders>
                    <w:tl2br w:val="nil"/>
                    <w:tr2bl w:val="nil"/>
                  </w:tcBorders>
                  <w:shd w:val="clear" w:color="auto" w:fill="auto"/>
                  <w:noWrap w:val="0"/>
                  <w:vAlign w:val="center"/>
                </w:tcPr>
                <w:p w14:paraId="4363537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828" w:type="pct"/>
                  <w:tcBorders>
                    <w:tl2br w:val="nil"/>
                    <w:tr2bl w:val="nil"/>
                  </w:tcBorders>
                  <w:shd w:val="clear" w:color="auto" w:fill="auto"/>
                  <w:noWrap w:val="0"/>
                  <w:vAlign w:val="center"/>
                </w:tcPr>
                <w:p w14:paraId="485E512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10" w:type="pct"/>
                  <w:tcBorders>
                    <w:tl2br w:val="nil"/>
                    <w:tr2bl w:val="nil"/>
                  </w:tcBorders>
                  <w:shd w:val="clear" w:color="auto" w:fill="auto"/>
                  <w:noWrap w:val="0"/>
                  <w:vAlign w:val="center"/>
                </w:tcPr>
                <w:p w14:paraId="745222E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10.35</w:t>
                  </w:r>
                </w:p>
              </w:tc>
              <w:tc>
                <w:tcPr>
                  <w:tcW w:w="342" w:type="pct"/>
                  <w:tcBorders>
                    <w:tl2br w:val="nil"/>
                    <w:tr2bl w:val="nil"/>
                  </w:tcBorders>
                  <w:shd w:val="clear" w:color="auto" w:fill="auto"/>
                  <w:noWrap w:val="0"/>
                  <w:vAlign w:val="center"/>
                </w:tcPr>
                <w:p w14:paraId="33E6ABA0">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清运</w:t>
                  </w:r>
                </w:p>
              </w:tc>
              <w:tc>
                <w:tcPr>
                  <w:tcW w:w="457" w:type="pct"/>
                  <w:tcBorders>
                    <w:tl2br w:val="nil"/>
                    <w:tr2bl w:val="nil"/>
                  </w:tcBorders>
                  <w:shd w:val="clear" w:color="auto" w:fill="auto"/>
                  <w:noWrap w:val="0"/>
                  <w:vAlign w:val="center"/>
                </w:tcPr>
                <w:p w14:paraId="1FA8DE05">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10.35</w:t>
                  </w:r>
                </w:p>
              </w:tc>
              <w:tc>
                <w:tcPr>
                  <w:tcW w:w="850" w:type="pct"/>
                  <w:tcBorders>
                    <w:tl2br w:val="nil"/>
                    <w:tr2bl w:val="nil"/>
                  </w:tcBorders>
                  <w:shd w:val="clear" w:color="auto" w:fill="auto"/>
                  <w:noWrap w:val="0"/>
                  <w:vAlign w:val="center"/>
                </w:tcPr>
                <w:p w14:paraId="052C01BE">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环卫部门统一处置</w:t>
                  </w:r>
                </w:p>
              </w:tc>
            </w:tr>
          </w:tbl>
          <w:p w14:paraId="657C9F70">
            <w:pPr>
              <w:spacing w:line="360" w:lineRule="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注：一般工业固废代码根据《一般固体废物分类与代码》(</w:t>
            </w:r>
            <w:r>
              <w:rPr>
                <w:rFonts w:hint="default" w:ascii="Times New Roman" w:hAnsi="Times New Roman" w:cs="Times New Roman"/>
                <w:bCs/>
                <w:color w:val="000000" w:themeColor="text1"/>
                <w:szCs w:val="21"/>
                <w:lang w:val="en-US" w:eastAsia="zh-CN"/>
                <w14:textFill>
                  <w14:solidFill>
                    <w14:schemeClr w14:val="tx1"/>
                  </w14:solidFill>
                </w14:textFill>
              </w:rPr>
              <w:t>2024年版</w:t>
            </w:r>
            <w:r>
              <w:rPr>
                <w:rFonts w:hint="default" w:ascii="Times New Roman" w:hAnsi="Times New Roman" w:cs="Times New Roman"/>
                <w:bCs/>
                <w:color w:val="000000" w:themeColor="text1"/>
                <w:szCs w:val="21"/>
                <w14:textFill>
                  <w14:solidFill>
                    <w14:schemeClr w14:val="tx1"/>
                  </w14:solidFill>
                </w14:textFill>
              </w:rPr>
              <w:t>)进行设置。</w:t>
            </w:r>
          </w:p>
          <w:p w14:paraId="27F3D9CC">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-2  项目危险废物产生量及防治措施情况表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059"/>
              <w:gridCol w:w="999"/>
              <w:gridCol w:w="682"/>
              <w:gridCol w:w="793"/>
              <w:gridCol w:w="916"/>
              <w:gridCol w:w="1295"/>
              <w:gridCol w:w="684"/>
              <w:gridCol w:w="1298"/>
            </w:tblGrid>
            <w:tr w14:paraId="79A75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noWrap w:val="0"/>
                  <w:vAlign w:val="center"/>
                </w:tcPr>
                <w:p w14:paraId="0EEDADA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p w14:paraId="71CB8D65">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种类</w:t>
                  </w:r>
                </w:p>
              </w:tc>
              <w:tc>
                <w:tcPr>
                  <w:tcW w:w="629" w:type="pct"/>
                  <w:noWrap w:val="0"/>
                  <w:vAlign w:val="center"/>
                </w:tcPr>
                <w:p w14:paraId="27C5A4E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产生量</w:t>
                  </w:r>
                </w:p>
                <w:p w14:paraId="2DA53950">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(t/a)</w:t>
                  </w:r>
                </w:p>
              </w:tc>
              <w:tc>
                <w:tcPr>
                  <w:tcW w:w="593" w:type="pct"/>
                  <w:noWrap w:val="0"/>
                  <w:vAlign w:val="center"/>
                </w:tcPr>
                <w:p w14:paraId="3BA4B73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产生工序/装置</w:t>
                  </w:r>
                </w:p>
              </w:tc>
              <w:tc>
                <w:tcPr>
                  <w:tcW w:w="405" w:type="pct"/>
                  <w:noWrap w:val="0"/>
                  <w:vAlign w:val="center"/>
                </w:tcPr>
                <w:p w14:paraId="48A6E5B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形态</w:t>
                  </w:r>
                </w:p>
              </w:tc>
              <w:tc>
                <w:tcPr>
                  <w:tcW w:w="471" w:type="pct"/>
                  <w:noWrap w:val="0"/>
                  <w:vAlign w:val="center"/>
                </w:tcPr>
                <w:p w14:paraId="7A30723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产废周期</w:t>
                  </w:r>
                </w:p>
              </w:tc>
              <w:tc>
                <w:tcPr>
                  <w:tcW w:w="544" w:type="pct"/>
                  <w:noWrap w:val="0"/>
                  <w:vAlign w:val="center"/>
                </w:tcPr>
                <w:p w14:paraId="4313CCE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危险废物类别</w:t>
                  </w:r>
                </w:p>
              </w:tc>
              <w:tc>
                <w:tcPr>
                  <w:tcW w:w="769" w:type="pct"/>
                  <w:noWrap w:val="0"/>
                  <w:vAlign w:val="center"/>
                </w:tcPr>
                <w:p w14:paraId="04DCD91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危险废物代码</w:t>
                  </w:r>
                </w:p>
              </w:tc>
              <w:tc>
                <w:tcPr>
                  <w:tcW w:w="406" w:type="pct"/>
                  <w:noWrap w:val="0"/>
                  <w:vAlign w:val="center"/>
                </w:tcPr>
                <w:p w14:paraId="7273018A">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w:t>
                  </w:r>
                </w:p>
                <w:p w14:paraId="59D9ED49">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特性</w:t>
                  </w:r>
                </w:p>
              </w:tc>
              <w:tc>
                <w:tcPr>
                  <w:tcW w:w="771" w:type="pct"/>
                  <w:noWrap w:val="0"/>
                  <w:vAlign w:val="center"/>
                </w:tcPr>
                <w:p w14:paraId="1A2104D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污染防治措施及去向</w:t>
                  </w:r>
                </w:p>
              </w:tc>
            </w:tr>
            <w:tr w14:paraId="3925B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noWrap w:val="0"/>
                  <w:vAlign w:val="center"/>
                </w:tcPr>
                <w:p w14:paraId="13CDC941">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废润滑油</w:t>
                  </w:r>
                </w:p>
              </w:tc>
              <w:tc>
                <w:tcPr>
                  <w:tcW w:w="629" w:type="pct"/>
                  <w:noWrap w:val="0"/>
                  <w:vAlign w:val="center"/>
                </w:tcPr>
                <w:p w14:paraId="2B670DD3">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r>
                    <w:rPr>
                      <w:rFonts w:hint="eastAsia" w:ascii="Times New Roman" w:hAnsi="Times New Roman" w:cs="Times New Roman"/>
                      <w:color w:val="000000" w:themeColor="text1"/>
                      <w:lang w:val="en-US" w:eastAsia="zh-CN"/>
                      <w14:textFill>
                        <w14:solidFill>
                          <w14:schemeClr w14:val="tx1"/>
                        </w14:solidFill>
                      </w14:textFill>
                    </w:rPr>
                    <w:t>02</w:t>
                  </w:r>
                </w:p>
              </w:tc>
              <w:tc>
                <w:tcPr>
                  <w:tcW w:w="593" w:type="pct"/>
                  <w:vMerge w:val="restart"/>
                  <w:noWrap w:val="0"/>
                  <w:vAlign w:val="center"/>
                </w:tcPr>
                <w:p w14:paraId="6941E9DD">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装配、</w:t>
                  </w:r>
                  <w:r>
                    <w:rPr>
                      <w:rFonts w:hint="default" w:ascii="Times New Roman" w:hAnsi="Times New Roman" w:cs="Times New Roman"/>
                      <w:color w:val="000000" w:themeColor="text1"/>
                      <w14:textFill>
                        <w14:solidFill>
                          <w14:schemeClr w14:val="tx1"/>
                        </w14:solidFill>
                      </w14:textFill>
                    </w:rPr>
                    <w:t>设备检修</w:t>
                  </w:r>
                </w:p>
              </w:tc>
              <w:tc>
                <w:tcPr>
                  <w:tcW w:w="405" w:type="pct"/>
                  <w:noWrap w:val="0"/>
                  <w:vAlign w:val="center"/>
                </w:tcPr>
                <w:p w14:paraId="34A54D61">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液态</w:t>
                  </w:r>
                </w:p>
              </w:tc>
              <w:tc>
                <w:tcPr>
                  <w:tcW w:w="471" w:type="pct"/>
                  <w:noWrap w:val="0"/>
                  <w:vAlign w:val="center"/>
                </w:tcPr>
                <w:p w14:paraId="4220342F">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w:t>
                  </w:r>
                  <w:r>
                    <w:rPr>
                      <w:rFonts w:hint="eastAsia" w:ascii="Times New Roman" w:hAnsi="Times New Roman" w:cs="Times New Roman"/>
                      <w:color w:val="000000" w:themeColor="text1"/>
                      <w:lang w:val="en-US" w:eastAsia="zh-CN"/>
                      <w14:textFill>
                        <w14:solidFill>
                          <w14:schemeClr w14:val="tx1"/>
                        </w14:solidFill>
                      </w14:textFill>
                    </w:rPr>
                    <w:t>季度</w:t>
                  </w:r>
                </w:p>
              </w:tc>
              <w:tc>
                <w:tcPr>
                  <w:tcW w:w="544" w:type="pct"/>
                  <w:noWrap w:val="0"/>
                  <w:vAlign w:val="center"/>
                </w:tcPr>
                <w:p w14:paraId="7528E957">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HW08</w:t>
                  </w:r>
                </w:p>
              </w:tc>
              <w:tc>
                <w:tcPr>
                  <w:tcW w:w="769" w:type="pct"/>
                  <w:noWrap w:val="0"/>
                  <w:vAlign w:val="center"/>
                </w:tcPr>
                <w:p w14:paraId="4CF400E1">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900-217-08</w:t>
                  </w:r>
                </w:p>
              </w:tc>
              <w:tc>
                <w:tcPr>
                  <w:tcW w:w="406" w:type="pct"/>
                  <w:noWrap w:val="0"/>
                  <w:vAlign w:val="center"/>
                </w:tcPr>
                <w:p w14:paraId="14F65F9C">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I</w:t>
                  </w:r>
                </w:p>
              </w:tc>
              <w:tc>
                <w:tcPr>
                  <w:tcW w:w="771" w:type="pct"/>
                  <w:vMerge w:val="restart"/>
                  <w:noWrap w:val="0"/>
                  <w:vAlign w:val="center"/>
                </w:tcPr>
                <w:p w14:paraId="2ECF25D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建设规范化的</w:t>
                  </w:r>
                  <w:r>
                    <w:rPr>
                      <w:rFonts w:hint="eastAsia" w:cs="Times New Roman"/>
                      <w:color w:val="000000" w:themeColor="text1"/>
                      <w:lang w:eastAsia="zh-CN"/>
                      <w14:textFill>
                        <w14:solidFill>
                          <w14:schemeClr w14:val="tx1"/>
                        </w14:solidFill>
                      </w14:textFill>
                    </w:rPr>
                    <w:t>危废间</w:t>
                  </w:r>
                  <w:r>
                    <w:rPr>
                      <w:rFonts w:hint="default" w:ascii="Times New Roman" w:hAnsi="Times New Roman" w:cs="Times New Roman"/>
                      <w:color w:val="000000" w:themeColor="text1"/>
                      <w14:textFill>
                        <w14:solidFill>
                          <w14:schemeClr w14:val="tx1"/>
                        </w14:solidFill>
                      </w14:textFill>
                    </w:rPr>
                    <w:t>，分类收集、贮存，定期委托有资质单位统一处置</w:t>
                  </w:r>
                </w:p>
              </w:tc>
            </w:tr>
            <w:tr w14:paraId="1C2BB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noWrap w:val="0"/>
                  <w:vAlign w:val="center"/>
                </w:tcPr>
                <w:p w14:paraId="6AB55F2A">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废润滑油</w:t>
                  </w:r>
                  <w:r>
                    <w:rPr>
                      <w:rFonts w:hint="default" w:ascii="Times New Roman" w:hAnsi="Times New Roman" w:cs="Times New Roman"/>
                      <w:color w:val="000000" w:themeColor="text1"/>
                      <w:lang w:val="en-US" w:eastAsia="zh-CN"/>
                      <w14:textFill>
                        <w14:solidFill>
                          <w14:schemeClr w14:val="tx1"/>
                        </w14:solidFill>
                      </w14:textFill>
                    </w:rPr>
                    <w:t>桶</w:t>
                  </w:r>
                </w:p>
              </w:tc>
              <w:tc>
                <w:tcPr>
                  <w:tcW w:w="629" w:type="pct"/>
                  <w:noWrap w:val="0"/>
                  <w:vAlign w:val="center"/>
                </w:tcPr>
                <w:p w14:paraId="5C05486F">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w:t>
                  </w:r>
                  <w:r>
                    <w:rPr>
                      <w:rFonts w:hint="eastAsia" w:ascii="Times New Roman" w:hAnsi="Times New Roman" w:cs="Times New Roman"/>
                      <w:color w:val="000000" w:themeColor="text1"/>
                      <w:lang w:val="en-US" w:eastAsia="zh-CN"/>
                      <w14:textFill>
                        <w14:solidFill>
                          <w14:schemeClr w14:val="tx1"/>
                        </w14:solidFill>
                      </w14:textFill>
                    </w:rPr>
                    <w:t>25</w:t>
                  </w:r>
                </w:p>
              </w:tc>
              <w:tc>
                <w:tcPr>
                  <w:tcW w:w="593" w:type="pct"/>
                  <w:vMerge w:val="continue"/>
                  <w:noWrap w:val="0"/>
                  <w:vAlign w:val="center"/>
                </w:tcPr>
                <w:p w14:paraId="67EBE76B">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p>
              </w:tc>
              <w:tc>
                <w:tcPr>
                  <w:tcW w:w="405" w:type="pct"/>
                  <w:noWrap w:val="0"/>
                  <w:vAlign w:val="center"/>
                </w:tcPr>
                <w:p w14:paraId="4D3A3D6D">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固态</w:t>
                  </w:r>
                </w:p>
              </w:tc>
              <w:tc>
                <w:tcPr>
                  <w:tcW w:w="471" w:type="pct"/>
                  <w:noWrap w:val="0"/>
                  <w:vAlign w:val="center"/>
                </w:tcPr>
                <w:p w14:paraId="255F1997">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w:t>
                  </w:r>
                  <w:r>
                    <w:rPr>
                      <w:rFonts w:hint="eastAsia" w:ascii="Times New Roman" w:hAnsi="Times New Roman" w:cs="Times New Roman"/>
                      <w:color w:val="000000" w:themeColor="text1"/>
                      <w:lang w:val="en-US" w:eastAsia="zh-CN"/>
                      <w14:textFill>
                        <w14:solidFill>
                          <w14:schemeClr w14:val="tx1"/>
                        </w14:solidFill>
                      </w14:textFill>
                    </w:rPr>
                    <w:t>季度</w:t>
                  </w:r>
                </w:p>
              </w:tc>
              <w:tc>
                <w:tcPr>
                  <w:tcW w:w="544" w:type="pct"/>
                  <w:noWrap w:val="0"/>
                  <w:vAlign w:val="center"/>
                </w:tcPr>
                <w:p w14:paraId="1DB7AD26">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HW08</w:t>
                  </w:r>
                </w:p>
              </w:tc>
              <w:tc>
                <w:tcPr>
                  <w:tcW w:w="769" w:type="pct"/>
                  <w:noWrap w:val="0"/>
                  <w:vAlign w:val="center"/>
                </w:tcPr>
                <w:p w14:paraId="6AA08612">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900-217-08</w:t>
                  </w:r>
                </w:p>
              </w:tc>
              <w:tc>
                <w:tcPr>
                  <w:tcW w:w="406" w:type="pct"/>
                  <w:noWrap w:val="0"/>
                  <w:vAlign w:val="center"/>
                </w:tcPr>
                <w:p w14:paraId="14EE91FA">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I</w:t>
                  </w:r>
                </w:p>
              </w:tc>
              <w:tc>
                <w:tcPr>
                  <w:tcW w:w="771" w:type="pct"/>
                  <w:vMerge w:val="continue"/>
                  <w:noWrap w:val="0"/>
                  <w:vAlign w:val="center"/>
                </w:tcPr>
                <w:p w14:paraId="10B22554">
                  <w:pPr>
                    <w:pStyle w:val="47"/>
                    <w:bidi w:val="0"/>
                    <w:rPr>
                      <w:rFonts w:hint="default" w:ascii="Times New Roman" w:hAnsi="Times New Roman" w:cs="Times New Roman"/>
                      <w:color w:val="000000" w:themeColor="text1"/>
                      <w14:textFill>
                        <w14:solidFill>
                          <w14:schemeClr w14:val="tx1"/>
                        </w14:solidFill>
                      </w14:textFill>
                    </w:rPr>
                  </w:pPr>
                </w:p>
              </w:tc>
            </w:tr>
            <w:tr w14:paraId="46DEB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noWrap w:val="0"/>
                  <w:vAlign w:val="center"/>
                </w:tcPr>
                <w:p w14:paraId="2FCC1BFB">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胶渣</w:t>
                  </w:r>
                </w:p>
              </w:tc>
              <w:tc>
                <w:tcPr>
                  <w:tcW w:w="629" w:type="pct"/>
                  <w:noWrap w:val="0"/>
                  <w:vAlign w:val="center"/>
                </w:tcPr>
                <w:p w14:paraId="090C824F">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593" w:type="pct"/>
                  <w:noWrap w:val="0"/>
                  <w:vAlign w:val="center"/>
                </w:tcPr>
                <w:p w14:paraId="46FD4B24">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喷胶、废气设施</w:t>
                  </w:r>
                </w:p>
              </w:tc>
              <w:tc>
                <w:tcPr>
                  <w:tcW w:w="405" w:type="pct"/>
                  <w:noWrap w:val="0"/>
                  <w:vAlign w:val="center"/>
                </w:tcPr>
                <w:p w14:paraId="0A4F11EC">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固态</w:t>
                  </w:r>
                </w:p>
              </w:tc>
              <w:tc>
                <w:tcPr>
                  <w:tcW w:w="471" w:type="pct"/>
                  <w:noWrap w:val="0"/>
                  <w:vAlign w:val="center"/>
                </w:tcPr>
                <w:p w14:paraId="0D7174C6">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每月</w:t>
                  </w:r>
                </w:p>
              </w:tc>
              <w:tc>
                <w:tcPr>
                  <w:tcW w:w="544" w:type="pct"/>
                  <w:noWrap w:val="0"/>
                  <w:vAlign w:val="center"/>
                </w:tcPr>
                <w:p w14:paraId="2C7B928A">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w:t>
                  </w:r>
                </w:p>
              </w:tc>
              <w:tc>
                <w:tcPr>
                  <w:tcW w:w="769" w:type="pct"/>
                  <w:noWrap w:val="0"/>
                  <w:vAlign w:val="center"/>
                </w:tcPr>
                <w:p w14:paraId="5703BB0F">
                  <w:pPr>
                    <w:pStyle w:val="47"/>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900-041-49</w:t>
                  </w:r>
                </w:p>
              </w:tc>
              <w:tc>
                <w:tcPr>
                  <w:tcW w:w="406" w:type="pct"/>
                  <w:noWrap w:val="0"/>
                  <w:vAlign w:val="center"/>
                </w:tcPr>
                <w:p w14:paraId="4FF20D86">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eastAsia" w:ascii="宋体" w:hAnsi="宋体" w:cs="宋体"/>
                      <w:color w:val="000000"/>
                      <w:kern w:val="0"/>
                      <w:szCs w:val="21"/>
                    </w:rPr>
                    <w:t>T</w:t>
                  </w:r>
                </w:p>
              </w:tc>
              <w:tc>
                <w:tcPr>
                  <w:tcW w:w="771" w:type="pct"/>
                  <w:vMerge w:val="continue"/>
                  <w:noWrap w:val="0"/>
                  <w:vAlign w:val="center"/>
                </w:tcPr>
                <w:p w14:paraId="0A45CA35">
                  <w:pPr>
                    <w:pStyle w:val="47"/>
                    <w:bidi w:val="0"/>
                    <w:rPr>
                      <w:rFonts w:hint="default" w:ascii="Times New Roman" w:hAnsi="Times New Roman" w:cs="Times New Roman"/>
                      <w:color w:val="000000" w:themeColor="text1"/>
                      <w14:textFill>
                        <w14:solidFill>
                          <w14:schemeClr w14:val="tx1"/>
                        </w14:solidFill>
                      </w14:textFill>
                    </w:rPr>
                  </w:pPr>
                </w:p>
              </w:tc>
            </w:tr>
            <w:tr w14:paraId="15566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noWrap w:val="0"/>
                  <w:vAlign w:val="center"/>
                </w:tcPr>
                <w:p w14:paraId="126A243A">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废空桶</w:t>
                  </w:r>
                </w:p>
              </w:tc>
              <w:tc>
                <w:tcPr>
                  <w:tcW w:w="629" w:type="pct"/>
                  <w:noWrap w:val="0"/>
                  <w:vAlign w:val="center"/>
                </w:tcPr>
                <w:p w14:paraId="0966E763">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0.748</w:t>
                  </w:r>
                </w:p>
              </w:tc>
              <w:tc>
                <w:tcPr>
                  <w:tcW w:w="593" w:type="pct"/>
                  <w:noWrap w:val="0"/>
                  <w:vAlign w:val="center"/>
                </w:tcPr>
                <w:p w14:paraId="3B79150C">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调胶</w:t>
                  </w:r>
                </w:p>
              </w:tc>
              <w:tc>
                <w:tcPr>
                  <w:tcW w:w="405" w:type="pct"/>
                  <w:noWrap w:val="0"/>
                  <w:vAlign w:val="center"/>
                </w:tcPr>
                <w:p w14:paraId="484EEDBD">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固态</w:t>
                  </w:r>
                </w:p>
              </w:tc>
              <w:tc>
                <w:tcPr>
                  <w:tcW w:w="471" w:type="pct"/>
                  <w:noWrap w:val="0"/>
                  <w:vAlign w:val="center"/>
                </w:tcPr>
                <w:p w14:paraId="5528D00B">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每天</w:t>
                  </w:r>
                </w:p>
              </w:tc>
              <w:tc>
                <w:tcPr>
                  <w:tcW w:w="544" w:type="pct"/>
                  <w:noWrap w:val="0"/>
                  <w:vAlign w:val="center"/>
                </w:tcPr>
                <w:p w14:paraId="5CCCD0AF">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w:t>
                  </w:r>
                </w:p>
              </w:tc>
              <w:tc>
                <w:tcPr>
                  <w:tcW w:w="769" w:type="pct"/>
                  <w:noWrap w:val="0"/>
                  <w:vAlign w:val="center"/>
                </w:tcPr>
                <w:p w14:paraId="021C1DB8">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900-041-49</w:t>
                  </w:r>
                </w:p>
              </w:tc>
              <w:tc>
                <w:tcPr>
                  <w:tcW w:w="406" w:type="pct"/>
                  <w:noWrap w:val="0"/>
                  <w:vAlign w:val="center"/>
                </w:tcPr>
                <w:p w14:paraId="79D88277">
                  <w:pPr>
                    <w:pStyle w:val="47"/>
                    <w:bidi w:val="0"/>
                    <w:rPr>
                      <w:rFonts w:hint="default" w:ascii="Times New Roman" w:hAnsi="Times New Roman" w:cs="Times New Roman"/>
                      <w:color w:val="000000" w:themeColor="text1"/>
                      <w14:textFill>
                        <w14:solidFill>
                          <w14:schemeClr w14:val="tx1"/>
                        </w14:solidFill>
                      </w14:textFill>
                    </w:rPr>
                  </w:pPr>
                  <w:r>
                    <w:rPr>
                      <w:rFonts w:hint="eastAsia" w:ascii="宋体" w:hAnsi="宋体" w:cs="宋体"/>
                      <w:color w:val="000000"/>
                      <w:kern w:val="0"/>
                      <w:szCs w:val="21"/>
                    </w:rPr>
                    <w:t>T</w:t>
                  </w:r>
                </w:p>
              </w:tc>
              <w:tc>
                <w:tcPr>
                  <w:tcW w:w="771" w:type="pct"/>
                  <w:vMerge w:val="continue"/>
                  <w:noWrap w:val="0"/>
                  <w:vAlign w:val="center"/>
                </w:tcPr>
                <w:p w14:paraId="7741E43A">
                  <w:pPr>
                    <w:pStyle w:val="47"/>
                    <w:bidi w:val="0"/>
                    <w:rPr>
                      <w:rFonts w:hint="default" w:ascii="Times New Roman" w:hAnsi="Times New Roman" w:cs="Times New Roman"/>
                      <w:color w:val="000000" w:themeColor="text1"/>
                      <w14:textFill>
                        <w14:solidFill>
                          <w14:schemeClr w14:val="tx1"/>
                        </w14:solidFill>
                      </w14:textFill>
                    </w:rPr>
                  </w:pPr>
                </w:p>
              </w:tc>
            </w:tr>
            <w:tr w14:paraId="25841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noWrap w:val="0"/>
                  <w:vAlign w:val="center"/>
                </w:tcPr>
                <w:p w14:paraId="59389FF9">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废活性炭</w:t>
                  </w:r>
                </w:p>
              </w:tc>
              <w:tc>
                <w:tcPr>
                  <w:tcW w:w="629" w:type="pct"/>
                  <w:noWrap w:val="0"/>
                  <w:vAlign w:val="center"/>
                </w:tcPr>
                <w:p w14:paraId="601BD808">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4.229</w:t>
                  </w:r>
                </w:p>
              </w:tc>
              <w:tc>
                <w:tcPr>
                  <w:tcW w:w="593" w:type="pct"/>
                  <w:noWrap w:val="0"/>
                  <w:vAlign w:val="center"/>
                </w:tcPr>
                <w:p w14:paraId="34F6F186">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废气设施</w:t>
                  </w:r>
                </w:p>
              </w:tc>
              <w:tc>
                <w:tcPr>
                  <w:tcW w:w="405" w:type="pct"/>
                  <w:noWrap w:val="0"/>
                  <w:vAlign w:val="center"/>
                </w:tcPr>
                <w:p w14:paraId="7895A40B">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固态</w:t>
                  </w:r>
                </w:p>
              </w:tc>
              <w:tc>
                <w:tcPr>
                  <w:tcW w:w="471" w:type="pct"/>
                  <w:noWrap w:val="0"/>
                  <w:vAlign w:val="center"/>
                </w:tcPr>
                <w:p w14:paraId="13CC23E8">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w:t>
                  </w:r>
                  <w:r>
                    <w:rPr>
                      <w:rFonts w:hint="eastAsia" w:ascii="Times New Roman" w:hAnsi="Times New Roman" w:cs="Times New Roman"/>
                      <w:color w:val="000000" w:themeColor="text1"/>
                      <w:lang w:val="en-US" w:eastAsia="zh-CN"/>
                      <w14:textFill>
                        <w14:solidFill>
                          <w14:schemeClr w14:val="tx1"/>
                        </w14:solidFill>
                      </w14:textFill>
                    </w:rPr>
                    <w:t>半年</w:t>
                  </w:r>
                </w:p>
              </w:tc>
              <w:tc>
                <w:tcPr>
                  <w:tcW w:w="544" w:type="pct"/>
                  <w:noWrap w:val="0"/>
                  <w:vAlign w:val="center"/>
                </w:tcPr>
                <w:p w14:paraId="47D419CB">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HW49</w:t>
                  </w:r>
                </w:p>
              </w:tc>
              <w:tc>
                <w:tcPr>
                  <w:tcW w:w="769" w:type="pct"/>
                  <w:noWrap w:val="0"/>
                  <w:vAlign w:val="center"/>
                </w:tcPr>
                <w:p w14:paraId="5514B41A">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900-039-49</w:t>
                  </w:r>
                </w:p>
              </w:tc>
              <w:tc>
                <w:tcPr>
                  <w:tcW w:w="406" w:type="pct"/>
                  <w:noWrap w:val="0"/>
                  <w:vAlign w:val="center"/>
                </w:tcPr>
                <w:p w14:paraId="54A08195">
                  <w:pPr>
                    <w:pStyle w:val="47"/>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r>
                    <w:rPr>
                      <w:rFonts w:hint="eastAsia" w:ascii="Times New Roman" w:hAnsi="Times New Roman" w:cs="Times New Roman"/>
                      <w:color w:val="000000" w:themeColor="text1"/>
                      <w:lang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I</w:t>
                  </w:r>
                </w:p>
              </w:tc>
              <w:tc>
                <w:tcPr>
                  <w:tcW w:w="771" w:type="pct"/>
                  <w:vMerge w:val="continue"/>
                  <w:noWrap w:val="0"/>
                  <w:vAlign w:val="center"/>
                </w:tcPr>
                <w:p w14:paraId="47DB9C77">
                  <w:pPr>
                    <w:pStyle w:val="47"/>
                    <w:bidi w:val="0"/>
                    <w:rPr>
                      <w:rFonts w:hint="default" w:ascii="Times New Roman" w:hAnsi="Times New Roman" w:cs="Times New Roman"/>
                      <w:color w:val="000000" w:themeColor="text1"/>
                      <w14:textFill>
                        <w14:solidFill>
                          <w14:schemeClr w14:val="tx1"/>
                        </w14:solidFill>
                      </w14:textFill>
                    </w:rPr>
                  </w:pPr>
                </w:p>
              </w:tc>
            </w:tr>
            <w:tr w14:paraId="2F99D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noWrap w:val="0"/>
                  <w:vAlign w:val="center"/>
                </w:tcPr>
                <w:p w14:paraId="3EDAFF7F">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含胶清洗废水</w:t>
                  </w:r>
                </w:p>
              </w:tc>
              <w:tc>
                <w:tcPr>
                  <w:tcW w:w="629" w:type="pct"/>
                  <w:noWrap w:val="0"/>
                  <w:vAlign w:val="center"/>
                </w:tcPr>
                <w:p w14:paraId="02B4F997">
                  <w:pPr>
                    <w:pStyle w:val="47"/>
                    <w:bidi w:val="0"/>
                    <w:ind w:left="0" w:leftChars="0"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w:t>
                  </w:r>
                </w:p>
              </w:tc>
              <w:tc>
                <w:tcPr>
                  <w:tcW w:w="593" w:type="pct"/>
                  <w:noWrap w:val="0"/>
                  <w:vAlign w:val="center"/>
                </w:tcPr>
                <w:p w14:paraId="5805A8C6">
                  <w:pPr>
                    <w:pStyle w:val="47"/>
                    <w:bidi w:val="0"/>
                    <w:ind w:left="0" w:leftChars="0" w:firstLine="0" w:firstLineChars="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设备清洗</w:t>
                  </w:r>
                </w:p>
              </w:tc>
              <w:tc>
                <w:tcPr>
                  <w:tcW w:w="405" w:type="pct"/>
                  <w:noWrap w:val="0"/>
                  <w:vAlign w:val="center"/>
                </w:tcPr>
                <w:p w14:paraId="183AF805">
                  <w:pPr>
                    <w:pStyle w:val="47"/>
                    <w:bidi w:val="0"/>
                    <w:ind w:left="0" w:leftChars="0"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液态</w:t>
                  </w:r>
                </w:p>
              </w:tc>
              <w:tc>
                <w:tcPr>
                  <w:tcW w:w="471" w:type="pct"/>
                  <w:noWrap w:val="0"/>
                  <w:vAlign w:val="center"/>
                </w:tcPr>
                <w:p w14:paraId="66A2AE08">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每天</w:t>
                  </w:r>
                </w:p>
              </w:tc>
              <w:tc>
                <w:tcPr>
                  <w:tcW w:w="544" w:type="pct"/>
                  <w:noWrap w:val="0"/>
                  <w:vAlign w:val="center"/>
                </w:tcPr>
                <w:p w14:paraId="33ACA341">
                  <w:pPr>
                    <w:pStyle w:val="47"/>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HW49</w:t>
                  </w:r>
                </w:p>
              </w:tc>
              <w:tc>
                <w:tcPr>
                  <w:tcW w:w="769" w:type="pct"/>
                  <w:noWrap w:val="0"/>
                  <w:vAlign w:val="center"/>
                </w:tcPr>
                <w:p w14:paraId="5D434F4A">
                  <w:pPr>
                    <w:pStyle w:val="47"/>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900-014-13</w:t>
                  </w:r>
                </w:p>
              </w:tc>
              <w:tc>
                <w:tcPr>
                  <w:tcW w:w="406" w:type="pct"/>
                  <w:noWrap w:val="0"/>
                  <w:vAlign w:val="center"/>
                </w:tcPr>
                <w:p w14:paraId="2960A026">
                  <w:pPr>
                    <w:pStyle w:val="47"/>
                    <w:bidi w:val="0"/>
                    <w:ind w:left="0" w:leftChars="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T</w:t>
                  </w:r>
                </w:p>
              </w:tc>
              <w:tc>
                <w:tcPr>
                  <w:tcW w:w="771" w:type="pct"/>
                  <w:vMerge w:val="continue"/>
                  <w:noWrap w:val="0"/>
                  <w:vAlign w:val="center"/>
                </w:tcPr>
                <w:p w14:paraId="7B26C502">
                  <w:pPr>
                    <w:pStyle w:val="47"/>
                    <w:bidi w:val="0"/>
                    <w:rPr>
                      <w:rFonts w:hint="default" w:ascii="Times New Roman" w:hAnsi="Times New Roman" w:cs="Times New Roman"/>
                      <w:color w:val="000000" w:themeColor="text1"/>
                      <w14:textFill>
                        <w14:solidFill>
                          <w14:schemeClr w14:val="tx1"/>
                        </w14:solidFill>
                      </w14:textFill>
                    </w:rPr>
                  </w:pPr>
                </w:p>
              </w:tc>
            </w:tr>
            <w:tr w14:paraId="0F30E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noWrap w:val="0"/>
                  <w:vAlign w:val="center"/>
                </w:tcPr>
                <w:p w14:paraId="3AE32A48">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合计</w:t>
                  </w:r>
                </w:p>
              </w:tc>
              <w:tc>
                <w:tcPr>
                  <w:tcW w:w="629" w:type="pct"/>
                  <w:noWrap w:val="0"/>
                  <w:vAlign w:val="center"/>
                </w:tcPr>
                <w:p w14:paraId="7CCAE97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37.9995</w:t>
                  </w:r>
                </w:p>
              </w:tc>
              <w:tc>
                <w:tcPr>
                  <w:tcW w:w="593" w:type="pct"/>
                  <w:noWrap w:val="0"/>
                  <w:vAlign w:val="center"/>
                </w:tcPr>
                <w:p w14:paraId="08B92FD9">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405" w:type="pct"/>
                  <w:noWrap w:val="0"/>
                  <w:vAlign w:val="center"/>
                </w:tcPr>
                <w:p w14:paraId="189DFDA3">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471" w:type="pct"/>
                  <w:noWrap w:val="0"/>
                  <w:vAlign w:val="center"/>
                </w:tcPr>
                <w:p w14:paraId="466A3B7D">
                  <w:pPr>
                    <w:pStyle w:val="4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44" w:type="pct"/>
                  <w:noWrap w:val="0"/>
                  <w:vAlign w:val="center"/>
                </w:tcPr>
                <w:p w14:paraId="557A9FFC">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769" w:type="pct"/>
                  <w:noWrap w:val="0"/>
                  <w:vAlign w:val="center"/>
                </w:tcPr>
                <w:p w14:paraId="54257CDE">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406" w:type="pct"/>
                  <w:noWrap w:val="0"/>
                  <w:vAlign w:val="center"/>
                </w:tcPr>
                <w:p w14:paraId="565A62A5">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771" w:type="pct"/>
                  <w:noWrap w:val="0"/>
                  <w:vAlign w:val="center"/>
                </w:tcPr>
                <w:p w14:paraId="22218A0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bl>
          <w:p w14:paraId="1F42B576">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4.5.2 运营期固体废物影响分析及环境管理要求</w:t>
            </w:r>
          </w:p>
          <w:p w14:paraId="0B583644">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4.5.2.1 一般工业固废</w:t>
            </w:r>
          </w:p>
          <w:p w14:paraId="29EAFA95">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本项目在生产过程中产生的</w:t>
            </w:r>
            <w:r>
              <w:rPr>
                <w:rFonts w:hint="eastAsia" w:cs="Times New Roman"/>
                <w:color w:val="000000" w:themeColor="text1"/>
                <w:lang w:val="en-US" w:eastAsia="zh-CN"/>
                <w14:textFill>
                  <w14:solidFill>
                    <w14:schemeClr w14:val="tx1"/>
                  </w14:solidFill>
                </w14:textFill>
              </w:rPr>
              <w:t>不合格品、废包装材料</w:t>
            </w:r>
            <w:r>
              <w:rPr>
                <w:rFonts w:hint="default" w:ascii="Times New Roman" w:hAnsi="Times New Roman" w:cs="Times New Roman"/>
                <w:color w:val="000000" w:themeColor="text1"/>
                <w:lang w:val="en-US" w:eastAsia="zh-CN"/>
                <w14:textFill>
                  <w14:solidFill>
                    <w14:schemeClr w14:val="tx1"/>
                  </w14:solidFill>
                </w14:textFill>
              </w:rPr>
              <w:t>经分类收集后出售给回收企业回收利用或外运综合利用，本评价要求项目产生的一般工业固废应按《一般工业固体废物贮存和填埋污染控制标准》(GB 18599-2020)要求进行规范化的暂存管理，并做好防风、防雨、防晒、防渗漏等措施。</w:t>
            </w:r>
          </w:p>
          <w:p w14:paraId="6BFFA5EA">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4.5.2.2 危险废物</w:t>
            </w:r>
          </w:p>
          <w:p w14:paraId="3BABDDB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本项目危险废物暂存场所应按照《危险废物贮存污染控制标准》(GB18597-2023)的要求进行建设，采取必要的防风、防晒、防雨、防漏、防渗、防腐以及其他环境污染防治措施。具体要求如下：</w:t>
            </w:r>
          </w:p>
          <w:p w14:paraId="3BF6EEC5">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）危废间</w:t>
            </w:r>
            <w:r>
              <w:rPr>
                <w:rFonts w:hint="default" w:ascii="Times New Roman" w:hAnsi="Times New Roman" w:cs="Times New Roman"/>
                <w:color w:val="000000" w:themeColor="text1"/>
                <w:lang w:val="en-US" w:eastAsia="zh-CN"/>
                <w14:textFill>
                  <w14:solidFill>
                    <w14:schemeClr w14:val="tx1"/>
                  </w14:solidFill>
                </w14:textFill>
              </w:rPr>
              <w:t>污染防治措施应满足以下要求：</w:t>
            </w:r>
          </w:p>
          <w:p w14:paraId="18C81427">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①贮存设施或贮存分区内地面、墙面</w:t>
            </w:r>
            <w:r>
              <w:rPr>
                <w:rFonts w:hint="eastAsia" w:ascii="Times New Roman" w:hAnsi="Times New Roman" w:cs="Times New Roman"/>
                <w:color w:val="000000" w:themeColor="text1"/>
                <w:lang w:val="en-US" w:eastAsia="zh-CN"/>
                <w14:textFill>
                  <w14:solidFill>
                    <w14:schemeClr w14:val="tx1"/>
                  </w14:solidFill>
                </w14:textFill>
              </w:rPr>
              <w:t>裙角</w:t>
            </w:r>
            <w:r>
              <w:rPr>
                <w:rFonts w:hint="default" w:ascii="Times New Roman" w:hAnsi="Times New Roman" w:cs="Times New Roman"/>
                <w:color w:val="000000" w:themeColor="text1"/>
                <w:lang w:val="en-US" w:eastAsia="zh-CN"/>
                <w14:textFill>
                  <w14:solidFill>
                    <w14:schemeClr w14:val="tx1"/>
                  </w14:solidFill>
                </w14:textFill>
              </w:rPr>
              <w:t>、堵截泄漏的围堰、接触危险废物的隔板和墙体等应采用坚固的材料建造，表面无裂缝。</w:t>
            </w:r>
          </w:p>
          <w:p w14:paraId="155BC26B">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vertAlign w:val="superscript"/>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cm/s)，或至少2mm厚高密度聚乙烯膜等人工防渗材料(渗透系数不大于10</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vertAlign w:val="superscript"/>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cm/s)，或其他防渗性能等效的材料。</w:t>
            </w:r>
          </w:p>
          <w:p w14:paraId="75742DAA">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③同一贮存设施宜采用相同的防渗、防腐工艺(包括防渗、防腐结构或材料)，防渗、防腐材料应覆盖所有可能与废物及其渗滤液、渗漏液等接触的构筑物表面；采用不同防渗、防腐工艺应分别建设贮存分区。</w:t>
            </w:r>
          </w:p>
          <w:p w14:paraId="196B5ABB">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本项目危险废物暂存场所应按照《危险废物贮存污染控制标准》(GB18597-2023)的规定设置，通过规范设置危废暂存场所，可以保障危险废物暂存过程对周边环境不产生影响。</w:t>
            </w:r>
          </w:p>
          <w:p w14:paraId="1FC3C37C">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委托利用或者处置的环境影响分析</w:t>
            </w:r>
          </w:p>
          <w:p w14:paraId="7346F7FC">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危险废物委托有资质单位处置，要求建设单位在项目与有处理资质的单位签订委托处理协议，定期委托处理。建设单位应优先与福州地区范围内的危废处置单位签订委托处置协议，委托资质单位处理后，项目产生的危险废物将对周边环境不会产生影响。</w:t>
            </w:r>
          </w:p>
          <w:p w14:paraId="1CCD1B63">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固体废物运输过程的环境影响分析</w:t>
            </w:r>
          </w:p>
          <w:p w14:paraId="1FBE52DB">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区内生产工艺环节运输到贮存场所可能产生散落、泄漏所引起的环境影响项目产生的危废从产生点到暂存场所运输过程中不遗漏、散落，厂区将制定严格的危险废物转运制度，正常情况下不会对厂区内部及厂区以外的环境产生不利影响。在事故状态下，可能导致危险废物转运过程散落，可能对厂区土壤以及地下水产生一定影响。</w:t>
            </w:r>
          </w:p>
          <w:p w14:paraId="56B3861B">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运输沿线环境敏感点的环境影响</w:t>
            </w:r>
          </w:p>
          <w:p w14:paraId="4DA50810">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厂外运输由获得危险货物运输资质的单位承担，具体采用公路运输，按照《道路危险货物运输管理规定》(</w:t>
            </w:r>
            <w:r>
              <w:rPr>
                <w:rFonts w:hint="eastAsia" w:cs="Times New Roman"/>
                <w:color w:val="000000" w:themeColor="text1"/>
                <w:lang w:val="en-US" w:eastAsia="zh-CN"/>
                <w14:textFill>
                  <w14:solidFill>
                    <w14:schemeClr w14:val="tx1"/>
                  </w14:solidFill>
                </w14:textFill>
              </w:rPr>
              <w:t>交通运输部</w:t>
            </w:r>
            <w:r>
              <w:rPr>
                <w:rFonts w:hint="default" w:ascii="Times New Roman" w:hAnsi="Times New Roman" w:cs="Times New Roman"/>
                <w:color w:val="000000" w:themeColor="text1"/>
                <w:lang w:val="en-US" w:eastAsia="zh-CN"/>
                <w14:textFill>
                  <w14:solidFill>
                    <w14:schemeClr w14:val="tx1"/>
                  </w14:solidFill>
                </w14:textFill>
              </w:rPr>
              <w:t>令2013年第2号)、JT617以及JT618相关要求执行制定了运输路线。</w:t>
            </w:r>
          </w:p>
          <w:p w14:paraId="20531258">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 xml:space="preserve">危险废物贮存设施的运行环境管理要求 </w:t>
            </w:r>
          </w:p>
          <w:p w14:paraId="3C157303">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①危险废物存入贮存设施前应对危险废物类别和特性与危险废物标签等危险废物识别标志的一致性进行核验，不一致的或类别、特性不明的不应存入。</w:t>
            </w:r>
          </w:p>
          <w:p w14:paraId="5B08A507">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②应定期检查危险废物的贮存状况，及时清理贮存设施地面，更换破损泄漏的危险废物贮存容器和包装物，保证堆存危险废物的防雨、防风、防扬尘等设施功能完好；危废间的门除出入库外，应保持关闭状态。</w:t>
            </w:r>
          </w:p>
          <w:p w14:paraId="7C229E7C">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③作业设备及车辆等结束作业离开贮存设施时，应对其残留的危险废物进行清理，清理的废物应收集处理。</w:t>
            </w:r>
          </w:p>
          <w:p w14:paraId="0E2AA2A4">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④贮存设施运行期间，应按国家有关标准和规定建立危险废物管理台账并保存。</w:t>
            </w:r>
          </w:p>
          <w:p w14:paraId="47679FAE">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⑤贮存设施所有者或运营者应建立贮存设施环境管理制度、管理人员岗位职责制度、设施运行操作制度、人员岗位培训制度等。 </w:t>
            </w:r>
          </w:p>
          <w:p w14:paraId="3D369762">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⑥贮存设施所有者或运营者应建立贮存设施全部档案，包括设计、施工、验收、运行、监测和环境应急等，应按国家有关档案管理的法律法规进行整理和归档。</w:t>
            </w:r>
          </w:p>
          <w:p w14:paraId="67725977">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4.5.2.3 生活垃圾</w:t>
            </w:r>
          </w:p>
          <w:p w14:paraId="62452C8C">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项目内职工产生的生活垃圾应采取分类收集，并委托环卫部门统一外运处置。</w:t>
            </w:r>
          </w:p>
          <w:p w14:paraId="04AE9B03">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综上所述，本项目固体废物采取以上处置处理措施后，正常情况下，不会对周边环境造成二次</w:t>
            </w:r>
            <w:r>
              <w:rPr>
                <w:rFonts w:hint="eastAsia" w:cs="Times New Roman"/>
                <w:color w:val="000000" w:themeColor="text1"/>
                <w:lang w:val="en-US" w:eastAsia="zh-CN"/>
                <w14:textFill>
                  <w14:solidFill>
                    <w14:schemeClr w14:val="tx1"/>
                  </w14:solidFill>
                </w14:textFill>
              </w:rPr>
              <w:t>污染</w:t>
            </w:r>
            <w:r>
              <w:rPr>
                <w:rFonts w:hint="default" w:ascii="Times New Roman" w:hAnsi="Times New Roman" w:cs="Times New Roman"/>
                <w:color w:val="000000" w:themeColor="text1"/>
                <w:lang w:val="en-US" w:eastAsia="zh-CN"/>
                <w14:textFill>
                  <w14:solidFill>
                    <w14:schemeClr w14:val="tx1"/>
                  </w14:solidFill>
                </w14:textFill>
              </w:rPr>
              <w:t>。</w:t>
            </w:r>
          </w:p>
          <w:p w14:paraId="75A7EA35">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4.6 地下水、土壤环境影响和保护措施</w:t>
            </w:r>
          </w:p>
          <w:p w14:paraId="5D028071">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4.6.1 地下水、土壤环境影响分析</w:t>
            </w:r>
          </w:p>
          <w:p w14:paraId="265735C7">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(1)地下水环境</w:t>
            </w:r>
          </w:p>
          <w:p w14:paraId="6455CB63">
            <w:pPr>
              <w:spacing w:line="360" w:lineRule="auto"/>
              <w:ind w:firstLine="480" w:firstLineChars="200"/>
              <w:textAlignment w:val="center"/>
              <w:rPr>
                <w:rFonts w:hint="default" w:ascii="Times New Roman" w:hAnsi="Times New Roman" w:cs="Times New Roman"/>
                <w:color w:val="000000" w:themeColor="text1"/>
                <w:kern w:val="0"/>
                <w:sz w:val="24"/>
                <w:szCs w:val="20"/>
                <w14:textFill>
                  <w14:solidFill>
                    <w14:schemeClr w14:val="tx1"/>
                  </w14:solidFill>
                </w14:textFill>
              </w:rPr>
            </w:pPr>
            <w:r>
              <w:rPr>
                <w:rFonts w:hint="default" w:ascii="Times New Roman" w:hAnsi="Times New Roman" w:cs="Times New Roman"/>
                <w:color w:val="000000" w:themeColor="text1"/>
                <w:kern w:val="0"/>
                <w:sz w:val="24"/>
                <w:szCs w:val="20"/>
                <w:lang w:val="en-US" w:eastAsia="zh-CN"/>
                <w14:textFill>
                  <w14:solidFill>
                    <w14:schemeClr w14:val="tx1"/>
                  </w14:solidFill>
                </w14:textFill>
              </w:rPr>
              <w:t>本项目</w:t>
            </w:r>
            <w:r>
              <w:rPr>
                <w:rFonts w:hint="eastAsia" w:cs="Times New Roman"/>
                <w:color w:val="000000" w:themeColor="text1"/>
                <w:kern w:val="0"/>
                <w:sz w:val="24"/>
                <w:szCs w:val="20"/>
                <w:lang w:val="en-US" w:eastAsia="zh-CN"/>
                <w14:textFill>
                  <w14:solidFill>
                    <w14:schemeClr w14:val="tx1"/>
                  </w14:solidFill>
                </w14:textFill>
              </w:rPr>
              <w:t>无</w:t>
            </w:r>
            <w:r>
              <w:rPr>
                <w:rFonts w:hint="default" w:ascii="Times New Roman" w:hAnsi="Times New Roman" w:cs="Times New Roman"/>
                <w:color w:val="000000" w:themeColor="text1"/>
                <w:kern w:val="0"/>
                <w:sz w:val="24"/>
                <w:szCs w:val="20"/>
                <w14:textFill>
                  <w14:solidFill>
                    <w14:schemeClr w14:val="tx1"/>
                  </w14:solidFill>
                </w14:textFill>
              </w:rPr>
              <w:t>生产废水</w:t>
            </w:r>
            <w:r>
              <w:rPr>
                <w:rFonts w:hint="eastAsia" w:cs="Times New Roman"/>
                <w:color w:val="000000" w:themeColor="text1"/>
                <w:kern w:val="0"/>
                <w:sz w:val="24"/>
                <w:szCs w:val="20"/>
                <w:lang w:eastAsia="zh-CN"/>
                <w14:textFill>
                  <w14:solidFill>
                    <w14:schemeClr w14:val="tx1"/>
                  </w14:solidFill>
                </w14:textFill>
              </w:rPr>
              <w:t>外排，</w:t>
            </w:r>
            <w:r>
              <w:rPr>
                <w:rFonts w:hint="default" w:ascii="Times New Roman" w:hAnsi="Times New Roman" w:cs="Times New Roman"/>
                <w:color w:val="000000" w:themeColor="text1"/>
                <w:kern w:val="0"/>
                <w:sz w:val="24"/>
                <w:szCs w:val="20"/>
                <w14:textFill>
                  <w14:solidFill>
                    <w14:schemeClr w14:val="tx1"/>
                  </w14:solidFill>
                </w14:textFill>
              </w:rPr>
              <w:t>生活污水经化粪池预处理后排入市政污水管网送往福清市第二污水处理厂集中处理。</w:t>
            </w:r>
            <w:r>
              <w:rPr>
                <w:rFonts w:hint="default" w:ascii="Times New Roman" w:hAnsi="Times New Roman" w:cs="Times New Roman"/>
                <w:color w:val="000000" w:themeColor="text1"/>
                <w:kern w:val="0"/>
                <w:sz w:val="24"/>
                <w14:textFill>
                  <w14:solidFill>
                    <w14:schemeClr w14:val="tx1"/>
                  </w14:solidFill>
                </w14:textFill>
              </w:rPr>
              <w:t>正常工况下废水处理设施各构筑物采取严格的防渗、防溢流等措施，废水不易渗漏和进入地下水。</w:t>
            </w:r>
            <w:r>
              <w:rPr>
                <w:rFonts w:hint="default" w:ascii="Times New Roman" w:hAnsi="Times New Roman" w:cs="Times New Roman"/>
                <w:color w:val="000000" w:themeColor="text1"/>
                <w:kern w:val="0"/>
                <w:sz w:val="24"/>
                <w:szCs w:val="20"/>
                <w14:textFill>
                  <w14:solidFill>
                    <w14:schemeClr w14:val="tx1"/>
                  </w14:solidFill>
                </w14:textFill>
              </w:rPr>
              <w:t>根据现场调查，项目评价区域无饮用水水源地。</w:t>
            </w:r>
          </w:p>
          <w:p w14:paraId="3A37C647">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项目一般工业固废暂存场所按照《一般工业固体废物贮存、处置场污染控制标准》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GB18599-2020</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的要求</w:t>
            </w:r>
            <w:r>
              <w:rPr>
                <w:rFonts w:hint="eastAsia" w:ascii="Times New Roman" w:hAnsi="Times New Roman" w:cs="Times New Roman"/>
                <w:color w:val="000000" w:themeColor="text1"/>
                <w:lang w:val="en-US" w:eastAsia="zh-CN"/>
                <w14:textFill>
                  <w14:solidFill>
                    <w14:schemeClr w14:val="tx1"/>
                  </w14:solidFill>
                </w14:textFill>
              </w:rPr>
              <w:t>建设，</w:t>
            </w:r>
            <w:r>
              <w:rPr>
                <w:rFonts w:hint="eastAsia" w:cs="Times New Roman"/>
                <w:color w:val="000000" w:themeColor="text1"/>
                <w:lang w:val="en-US" w:eastAsia="zh-CN"/>
                <w14:textFill>
                  <w14:solidFill>
                    <w14:schemeClr w14:val="tx1"/>
                  </w14:solidFill>
                </w14:textFill>
              </w:rPr>
              <w:t>危废间按照</w:t>
            </w:r>
            <w:r>
              <w:rPr>
                <w:rFonts w:hint="default" w:ascii="Times New Roman" w:hAnsi="Times New Roman" w:cs="Times New Roman"/>
                <w:color w:val="000000" w:themeColor="text1"/>
                <w:lang w:val="en-US" w:eastAsia="zh-CN"/>
                <w14:textFill>
                  <w14:solidFill>
                    <w14:schemeClr w14:val="tx1"/>
                  </w14:solidFill>
                </w14:textFill>
              </w:rPr>
              <w:t>《危险废物贮存污染控制标准》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GB18597-2023</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要求进行建设。</w:t>
            </w:r>
          </w:p>
          <w:p w14:paraId="4973A263">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化学品库参照</w:t>
            </w:r>
            <w:r>
              <w:rPr>
                <w:rFonts w:hint="default" w:ascii="Times New Roman" w:hAnsi="Times New Roman" w:cs="Times New Roman"/>
                <w:color w:val="000000" w:themeColor="text1"/>
                <w:lang w:val="en-US" w:eastAsia="zh-CN"/>
                <w14:textFill>
                  <w14:solidFill>
                    <w14:schemeClr w14:val="tx1"/>
                  </w14:solidFill>
                </w14:textFill>
              </w:rPr>
              <w:t>《危险化学品安全贮存通则》</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GB15603-1995</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和《危险化学品安全管理条例》</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2011</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中的要求，采取防泄漏、防溢流、防腐蚀等措施。</w:t>
            </w:r>
          </w:p>
          <w:p w14:paraId="7334103F">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综上所述，项目在正常运行工况下，项目对地下水、土壤影响不大。但公司应加强管理，杜绝防渗层破裂等事故影响。</w:t>
            </w:r>
          </w:p>
          <w:p w14:paraId="738D2ECC">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地下水、土壤环境防控措施</w:t>
            </w:r>
          </w:p>
          <w:p w14:paraId="3F02F442">
            <w:pPr>
              <w:pStyle w:val="4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根据本项目厂区可能泄漏至地面区域污染物的性质和生产单元的构筑方式，将厂区划分为重点污染防治区、一般污染防治区，针对不同的区域提出相应的防渗要求。结合项目的特点，项目防渗防治分区见表4.6-1。</w:t>
            </w:r>
          </w:p>
          <w:p w14:paraId="4051E2E6">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 xml:space="preserve">  土壤污染防治分区一览表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2102"/>
              <w:gridCol w:w="2049"/>
              <w:gridCol w:w="2992"/>
            </w:tblGrid>
            <w:tr w14:paraId="51480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247C88A1">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防治区分区</w:t>
                  </w:r>
                </w:p>
              </w:tc>
              <w:tc>
                <w:tcPr>
                  <w:tcW w:w="2102" w:type="dxa"/>
                  <w:tcBorders>
                    <w:tl2br w:val="nil"/>
                    <w:tr2bl w:val="nil"/>
                  </w:tcBorders>
                  <w:noWrap w:val="0"/>
                  <w:vAlign w:val="center"/>
                </w:tcPr>
                <w:p w14:paraId="5BB5A0C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装置或构筑物名称</w:t>
                  </w:r>
                </w:p>
              </w:tc>
              <w:tc>
                <w:tcPr>
                  <w:tcW w:w="2049" w:type="dxa"/>
                  <w:tcBorders>
                    <w:tl2br w:val="nil"/>
                    <w:tr2bl w:val="nil"/>
                  </w:tcBorders>
                  <w:noWrap w:val="0"/>
                  <w:vAlign w:val="center"/>
                </w:tcPr>
                <w:p w14:paraId="2460C4F8">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防渗区域</w:t>
                  </w:r>
                </w:p>
              </w:tc>
              <w:tc>
                <w:tcPr>
                  <w:tcW w:w="2992" w:type="dxa"/>
                  <w:tcBorders>
                    <w:tl2br w:val="nil"/>
                    <w:tr2bl w:val="nil"/>
                  </w:tcBorders>
                  <w:noWrap w:val="0"/>
                  <w:vAlign w:val="center"/>
                </w:tcPr>
                <w:p w14:paraId="4A0B75F7">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防渗技术要求</w:t>
                  </w:r>
                </w:p>
              </w:tc>
            </w:tr>
            <w:tr w14:paraId="3A3A3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14:paraId="7EB30AA0">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重点污染防治区</w:t>
                  </w:r>
                </w:p>
              </w:tc>
              <w:tc>
                <w:tcPr>
                  <w:tcW w:w="2102" w:type="dxa"/>
                  <w:tcBorders>
                    <w:tl2br w:val="nil"/>
                    <w:tr2bl w:val="nil"/>
                  </w:tcBorders>
                  <w:noWrap w:val="0"/>
                  <w:vAlign w:val="center"/>
                </w:tcPr>
                <w:p w14:paraId="5AC2BA2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危废间</w:t>
                  </w:r>
                </w:p>
              </w:tc>
              <w:tc>
                <w:tcPr>
                  <w:tcW w:w="2049" w:type="dxa"/>
                  <w:vMerge w:val="restart"/>
                  <w:tcBorders>
                    <w:tl2br w:val="nil"/>
                    <w:tr2bl w:val="nil"/>
                  </w:tcBorders>
                  <w:noWrap w:val="0"/>
                  <w:vAlign w:val="center"/>
                </w:tcPr>
                <w:p w14:paraId="10A2FCC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地面</w:t>
                  </w:r>
                </w:p>
              </w:tc>
              <w:tc>
                <w:tcPr>
                  <w:tcW w:w="2992" w:type="dxa"/>
                  <w:vMerge w:val="restart"/>
                  <w:tcBorders>
                    <w:tl2br w:val="nil"/>
                    <w:tr2bl w:val="nil"/>
                  </w:tcBorders>
                  <w:noWrap w:val="0"/>
                  <w:vAlign w:val="center"/>
                </w:tcPr>
                <w:p w14:paraId="2F71823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等效黏土防渗层Mb≥6.0m、渗透系数 K≤1.0×10</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w:t>
                  </w:r>
                </w:p>
              </w:tc>
            </w:tr>
            <w:tr w14:paraId="1A7F4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482420CB">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102" w:type="dxa"/>
                  <w:tcBorders>
                    <w:tl2br w:val="nil"/>
                    <w:tr2bl w:val="nil"/>
                  </w:tcBorders>
                  <w:noWrap w:val="0"/>
                  <w:vAlign w:val="center"/>
                </w:tcPr>
                <w:p w14:paraId="14C5CDA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化学品库</w:t>
                  </w:r>
                </w:p>
              </w:tc>
              <w:tc>
                <w:tcPr>
                  <w:tcW w:w="2049" w:type="dxa"/>
                  <w:vMerge w:val="continue"/>
                  <w:tcBorders>
                    <w:tl2br w:val="nil"/>
                    <w:tr2bl w:val="nil"/>
                  </w:tcBorders>
                  <w:noWrap w:val="0"/>
                  <w:vAlign w:val="center"/>
                </w:tcPr>
                <w:p w14:paraId="1E098F6A">
                  <w:pPr>
                    <w:pStyle w:val="47"/>
                    <w:bidi w:val="0"/>
                    <w:rPr>
                      <w:rFonts w:hint="default" w:ascii="Times New Roman" w:hAnsi="Times New Roman" w:cs="Times New Roman"/>
                      <w:color w:val="000000" w:themeColor="text1"/>
                      <w:lang w:val="en-US" w:eastAsia="zh-CN"/>
                      <w14:textFill>
                        <w14:solidFill>
                          <w14:schemeClr w14:val="tx1"/>
                        </w14:solidFill>
                      </w14:textFill>
                    </w:rPr>
                  </w:pPr>
                </w:p>
              </w:tc>
              <w:tc>
                <w:tcPr>
                  <w:tcW w:w="2992" w:type="dxa"/>
                  <w:vMerge w:val="continue"/>
                  <w:tcBorders>
                    <w:tl2br w:val="nil"/>
                    <w:tr2bl w:val="nil"/>
                  </w:tcBorders>
                  <w:noWrap w:val="0"/>
                  <w:vAlign w:val="center"/>
                </w:tcPr>
                <w:p w14:paraId="1B87C599">
                  <w:pPr>
                    <w:pStyle w:val="47"/>
                    <w:bidi w:val="0"/>
                    <w:rPr>
                      <w:rFonts w:hint="default" w:ascii="Times New Roman" w:hAnsi="Times New Roman" w:cs="Times New Roman"/>
                      <w:color w:val="000000" w:themeColor="text1"/>
                      <w:sz w:val="21"/>
                      <w:szCs w:val="21"/>
                      <w14:textFill>
                        <w14:solidFill>
                          <w14:schemeClr w14:val="tx1"/>
                        </w14:solidFill>
                      </w14:textFill>
                    </w:rPr>
                  </w:pPr>
                </w:p>
              </w:tc>
            </w:tr>
            <w:tr w14:paraId="68BFF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1432AAD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一般污染防治区</w:t>
                  </w:r>
                </w:p>
              </w:tc>
              <w:tc>
                <w:tcPr>
                  <w:tcW w:w="2102" w:type="dxa"/>
                  <w:tcBorders>
                    <w:tl2br w:val="nil"/>
                    <w:tr2bl w:val="nil"/>
                  </w:tcBorders>
                  <w:noWrap w:val="0"/>
                  <w:vAlign w:val="center"/>
                </w:tcPr>
                <w:p w14:paraId="0DD68EBA">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生产车间</w:t>
                  </w:r>
                </w:p>
              </w:tc>
              <w:tc>
                <w:tcPr>
                  <w:tcW w:w="2049" w:type="dxa"/>
                  <w:tcBorders>
                    <w:tl2br w:val="nil"/>
                    <w:tr2bl w:val="nil"/>
                  </w:tcBorders>
                  <w:noWrap w:val="0"/>
                  <w:vAlign w:val="center"/>
                </w:tcPr>
                <w:p w14:paraId="3E11C1CB">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地面</w:t>
                  </w:r>
                </w:p>
              </w:tc>
              <w:tc>
                <w:tcPr>
                  <w:tcW w:w="2992" w:type="dxa"/>
                  <w:tcBorders>
                    <w:tl2br w:val="nil"/>
                    <w:tr2bl w:val="nil"/>
                  </w:tcBorders>
                  <w:noWrap w:val="0"/>
                  <w:vAlign w:val="center"/>
                </w:tcPr>
                <w:p w14:paraId="754C6D26">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等效黏土防渗层Mb≥</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m、渗透系数K≤1.0×10</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vertAlign w:val="superscript"/>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cm/s</w:t>
                  </w:r>
                </w:p>
              </w:tc>
            </w:tr>
          </w:tbl>
          <w:p w14:paraId="0C0B6BB6">
            <w:pPr>
              <w:pStyle w:val="43"/>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(3)监控措施</w:t>
            </w:r>
          </w:p>
          <w:p w14:paraId="5A0512D4">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①项目</w:t>
            </w:r>
            <w:r>
              <w:rPr>
                <w:rFonts w:hint="eastAsia" w:cs="Times New Roman"/>
                <w:color w:val="000000" w:themeColor="text1"/>
                <w:lang w:val="en-US" w:eastAsia="zh-CN"/>
                <w14:textFill>
                  <w14:solidFill>
                    <w14:schemeClr w14:val="tx1"/>
                  </w14:solidFill>
                </w14:textFill>
              </w:rPr>
              <w:t>危废间</w:t>
            </w:r>
            <w:r>
              <w:rPr>
                <w:rFonts w:hint="default" w:ascii="Times New Roman" w:hAnsi="Times New Roman" w:cs="Times New Roman"/>
                <w:color w:val="000000" w:themeColor="text1"/>
                <w:lang w:val="en-US" w:eastAsia="zh-CN"/>
                <w14:textFill>
                  <w14:solidFill>
                    <w14:schemeClr w14:val="tx1"/>
                  </w14:solidFill>
                </w14:textFill>
              </w:rPr>
              <w:t>四周建设导流沟装置，防止</w:t>
            </w:r>
            <w:r>
              <w:rPr>
                <w:rFonts w:hint="eastAsia" w:cs="Times New Roman"/>
                <w:color w:val="000000" w:themeColor="text1"/>
                <w:lang w:val="en-US" w:eastAsia="zh-CN"/>
                <w14:textFill>
                  <w14:solidFill>
                    <w14:schemeClr w14:val="tx1"/>
                  </w14:solidFill>
                </w14:textFill>
              </w:rPr>
              <w:t>危险废物</w:t>
            </w:r>
            <w:r>
              <w:rPr>
                <w:rFonts w:hint="default" w:ascii="Times New Roman" w:hAnsi="Times New Roman" w:cs="Times New Roman"/>
                <w:color w:val="000000" w:themeColor="text1"/>
                <w:lang w:val="en-US" w:eastAsia="zh-CN"/>
                <w14:textFill>
                  <w14:solidFill>
                    <w14:schemeClr w14:val="tx1"/>
                  </w14:solidFill>
                </w14:textFill>
              </w:rPr>
              <w:t>泄漏时四处扩散，并可及时移除或者清理污染源；</w:t>
            </w:r>
          </w:p>
          <w:p w14:paraId="75D7B95A">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②建立健全环境管理和监测制度，保证各环保设施正常运转，同时强化风险防范意识，如遇环保设施不能正常运转，应立即停产检修；</w:t>
            </w:r>
          </w:p>
          <w:p w14:paraId="78EA967B">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③若发生</w:t>
            </w:r>
            <w:r>
              <w:rPr>
                <w:rFonts w:hint="eastAsia" w:cs="Times New Roman"/>
                <w:color w:val="000000" w:themeColor="text1"/>
                <w:lang w:val="en-US" w:eastAsia="zh-CN"/>
                <w14:textFill>
                  <w14:solidFill>
                    <w14:schemeClr w14:val="tx1"/>
                  </w14:solidFill>
                </w14:textFill>
              </w:rPr>
              <w:t>原料泄漏、</w:t>
            </w:r>
            <w:r>
              <w:rPr>
                <w:rFonts w:hint="default" w:ascii="Times New Roman" w:hAnsi="Times New Roman" w:cs="Times New Roman"/>
                <w:color w:val="000000" w:themeColor="text1"/>
                <w:lang w:val="en-US" w:eastAsia="zh-CN"/>
                <w14:textFill>
                  <w14:solidFill>
                    <w14:schemeClr w14:val="tx1"/>
                  </w14:solidFill>
                </w14:textFill>
              </w:rPr>
              <w:t>危险废物泄漏等，必要时委托有资质的单位对厂址周边地下水、土壤等进行跟踪监测，掌握厂址周边污染变化趋势。</w:t>
            </w:r>
          </w:p>
          <w:p w14:paraId="1E8CFBFE">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④在今后的生产活动中，做好设备的维护、检修，杜绝跑、冒、滴、漏现象。同时，加强污染物产生主要环节的收集治理，加强厂区的安全防护、环境风险防范措施，以便及时发现事故隐患，及时采取有效的应对措施。</w:t>
            </w:r>
          </w:p>
          <w:p w14:paraId="1836C023">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⑤项目生产经营用地的用途变更或者在其土地使用权收回、转让前，应当由土地使用权人按照规定进行土壤污染状况调查。</w:t>
            </w:r>
          </w:p>
          <w:p w14:paraId="6CA37EB8">
            <w:pPr>
              <w:spacing w:line="360" w:lineRule="auto"/>
              <w:ind w:left="0" w:leftChars="0" w:firstLine="0" w:firstLineChars="0"/>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4.6.2 跟踪监测要求</w:t>
            </w:r>
          </w:p>
          <w:p w14:paraId="321AF7D2">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采取有效的防渗措施后，项目对地下水、土壤环境影响很小，因此，本评价不对项目地下水、土壤环境提出跟踪监测要求。</w:t>
            </w:r>
          </w:p>
          <w:p w14:paraId="185845AC">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4.7环境</w:t>
            </w:r>
            <w:r>
              <w:rPr>
                <w:rFonts w:hint="eastAsia" w:cs="Times New Roman"/>
                <w:color w:val="000000" w:themeColor="text1"/>
                <w:lang w:val="en-US" w:eastAsia="zh-CN"/>
                <w14:textFill>
                  <w14:solidFill>
                    <w14:schemeClr w14:val="tx1"/>
                  </w14:solidFill>
                </w14:textFill>
              </w:rPr>
              <w:t>风险</w:t>
            </w:r>
            <w:r>
              <w:rPr>
                <w:rFonts w:hint="default" w:ascii="Times New Roman" w:hAnsi="Times New Roman" w:cs="Times New Roman"/>
                <w:color w:val="000000" w:themeColor="text1"/>
                <w:lang w:val="en-US" w:eastAsia="zh-CN"/>
                <w14:textFill>
                  <w14:solidFill>
                    <w14:schemeClr w14:val="tx1"/>
                  </w14:solidFill>
                </w14:textFill>
              </w:rPr>
              <w:t>影响和保护措施</w:t>
            </w:r>
          </w:p>
          <w:p w14:paraId="7E4E7B9C">
            <w:pPr>
              <w:spacing w:line="360" w:lineRule="auto"/>
              <w:outlineLvl w:val="2"/>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4.7.1项目危险物质调查</w:t>
            </w:r>
          </w:p>
          <w:p w14:paraId="7DA54C57">
            <w:pPr>
              <w:pStyle w:val="43"/>
              <w:bidi w:val="0"/>
            </w:pPr>
            <w:bookmarkStart w:id="28" w:name="_Toc9031"/>
            <w:bookmarkStart w:id="29" w:name="_Toc17094"/>
            <w:r>
              <w:t>（1）危险物质数量及分布</w:t>
            </w:r>
            <w:bookmarkEnd w:id="28"/>
          </w:p>
          <w:p w14:paraId="56015983">
            <w:pPr>
              <w:pStyle w:val="43"/>
              <w:bidi w:val="0"/>
              <w:rPr>
                <w:rFonts w:hint="eastAsia" w:eastAsia="宋体"/>
                <w:lang w:eastAsia="zh-CN"/>
              </w:rPr>
            </w:pPr>
            <w:r>
              <w:t>本项目厂区内危险单元主要是</w:t>
            </w:r>
            <w:r>
              <w:rPr>
                <w:rFonts w:hint="eastAsia"/>
                <w:lang w:eastAsia="zh-CN"/>
              </w:rPr>
              <w:t>化学品库</w:t>
            </w:r>
            <w:r>
              <w:t>、危废暂存间。对照《建设项目环境风险评价技术导则》(HJ/T169-2018)附录B，本项目涉及的危险物质主要为</w:t>
            </w:r>
            <w:r>
              <w:rPr>
                <w:rFonts w:hint="eastAsia"/>
                <w:lang w:eastAsia="zh-CN"/>
              </w:rPr>
              <w:t>水性胶、水性固化剂、润滑油。</w:t>
            </w:r>
          </w:p>
          <w:p w14:paraId="262C96A5">
            <w:pPr>
              <w:pStyle w:val="43"/>
              <w:bidi w:val="0"/>
              <w:rPr>
                <w:rFonts w:hint="default"/>
                <w:lang w:val="en-US" w:eastAsia="zh-CN"/>
              </w:rPr>
            </w:pPr>
            <w:r>
              <w:t>项目生产工艺较为简单，根据《建设项目环境风险评价技术导则》（HJ 169-2018），本项目生产工艺均为常压状态，作业温度不属于高温、高压或涉及危险物质的工艺，不涉及危险化工工艺。</w:t>
            </w:r>
            <w:bookmarkEnd w:id="29"/>
          </w:p>
          <w:p w14:paraId="250A31CA">
            <w:pPr>
              <w:pStyle w:val="43"/>
              <w:bidi w:val="0"/>
              <w:rPr>
                <w:rFonts w:hint="default"/>
                <w:lang w:val="en-US" w:eastAsia="zh-CN"/>
              </w:rPr>
            </w:pPr>
            <w:r>
              <w:rPr>
                <w:rFonts w:hint="eastAsia"/>
                <w:lang w:val="en-US" w:eastAsia="zh-CN"/>
              </w:rPr>
              <w:t>（2）</w:t>
            </w:r>
            <w:r>
              <w:rPr>
                <w:rFonts w:hint="default"/>
                <w:lang w:val="en-US" w:eastAsia="zh-CN"/>
              </w:rPr>
              <w:t>项目</w:t>
            </w:r>
            <w:r>
              <w:rPr>
                <w:rFonts w:hint="eastAsia"/>
                <w:lang w:val="en-US" w:eastAsia="zh-CN"/>
              </w:rPr>
              <w:t>风险物质</w:t>
            </w:r>
            <w:r>
              <w:rPr>
                <w:rFonts w:hint="default"/>
                <w:lang w:val="en-US" w:eastAsia="zh-CN"/>
              </w:rPr>
              <w:t>数量及临界量比值(Q)</w:t>
            </w:r>
          </w:p>
          <w:p w14:paraId="3E32E46E">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计算所涉及的每种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在厂界内的最大存在总量与其在附录B中对应临界量的比值Q。在不同厂区的同一种物质，按其在厂界内的最大存在总量计算。对于长输管线项目，按照两个截断阀室之间管段</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最大存在总量计算。</w:t>
            </w:r>
          </w:p>
          <w:p w14:paraId="7A555F7B">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当只涉及一种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时，计算该物质的总量与其临界量比值，即为Q；</w:t>
            </w:r>
          </w:p>
          <w:p w14:paraId="40005D58">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当存在多种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时，则按式</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C.1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计算物质总量与其临界量比值</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p>
          <w:p w14:paraId="6C74EE99">
            <w:pPr>
              <w:keepNext w:val="0"/>
              <w:keepLines w:val="0"/>
              <w:pageBreakBefore w:val="0"/>
              <w:widowControl w:val="0"/>
              <w:kinsoku/>
              <w:wordWrap/>
              <w:overflowPunct/>
              <w:topLinePunct w:val="0"/>
              <w:bidi w:val="0"/>
              <w:adjustRightInd w:val="0"/>
              <w:snapToGrid w:val="0"/>
              <w:spacing w:line="360" w:lineRule="auto"/>
              <w:ind w:left="0" w:leftChars="0"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n</w:t>
            </w:r>
          </w:p>
          <w:p w14:paraId="30740F76">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式中：q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 xml:space="preserve"> ——每种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的最大存在总量，t；</w:t>
            </w:r>
          </w:p>
          <w:p w14:paraId="6144FB37">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 xml:space="preserve"> ——每种</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的临界量，t。</w:t>
            </w:r>
          </w:p>
          <w:p w14:paraId="54B4E706">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当Q＜1 时，该项目环境风险潜势为Ⅰ。</w:t>
            </w:r>
          </w:p>
          <w:p w14:paraId="33052819">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当Q≥1 时，将Q值划分为：</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1≤Q＜10；</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10≤Q＜100；</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Q≥100。</w:t>
            </w:r>
          </w:p>
          <w:p w14:paraId="1547E384">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left"/>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本项目涉及的</w:t>
            </w:r>
            <w:r>
              <w:rPr>
                <w:rFonts w:hint="eastAsia" w:eastAsia="宋体" w:cs="Times New Roman"/>
                <w:color w:val="000000" w:themeColor="text1"/>
                <w:spacing w:val="0"/>
                <w:sz w:val="24"/>
                <w:szCs w:val="24"/>
                <w:highlight w:val="none"/>
                <w:lang w:eastAsia="zh-CN"/>
                <w14:textFill>
                  <w14:solidFill>
                    <w14:schemeClr w14:val="tx1"/>
                  </w14:solidFill>
                </w14:textFill>
              </w:rPr>
              <w:t>风险物质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存在量及其临界量见下表</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4.7-1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14:paraId="72C25FE5">
            <w:pPr>
              <w:pStyle w:val="56"/>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  主要危险废物数量、有害因素分布表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670"/>
              <w:gridCol w:w="1494"/>
              <w:gridCol w:w="1699"/>
              <w:gridCol w:w="1209"/>
              <w:gridCol w:w="1968"/>
            </w:tblGrid>
            <w:tr w14:paraId="598FF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pct"/>
                  <w:noWrap w:val="0"/>
                  <w:vAlign w:val="center"/>
                </w:tcPr>
                <w:p w14:paraId="6FA28361">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物质名称</w:t>
                  </w:r>
                </w:p>
              </w:tc>
              <w:tc>
                <w:tcPr>
                  <w:tcW w:w="503" w:type="pct"/>
                  <w:noWrap w:val="0"/>
                  <w:vAlign w:val="center"/>
                </w:tcPr>
                <w:p w14:paraId="5DF12178">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形态</w:t>
                  </w:r>
                </w:p>
              </w:tc>
              <w:tc>
                <w:tcPr>
                  <w:tcW w:w="992" w:type="pct"/>
                  <w:noWrap w:val="0"/>
                  <w:vAlign w:val="center"/>
                </w:tcPr>
                <w:p w14:paraId="08B07434">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年用量(t)</w:t>
                  </w:r>
                </w:p>
              </w:tc>
              <w:tc>
                <w:tcPr>
                  <w:tcW w:w="1114" w:type="pct"/>
                  <w:noWrap w:val="0"/>
                  <w:vAlign w:val="center"/>
                </w:tcPr>
                <w:p w14:paraId="22595C60">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危险物质储量(t)</w:t>
                  </w:r>
                </w:p>
              </w:tc>
              <w:tc>
                <w:tcPr>
                  <w:tcW w:w="821" w:type="pct"/>
                  <w:noWrap w:val="0"/>
                  <w:vAlign w:val="center"/>
                </w:tcPr>
                <w:p w14:paraId="0399F4F0">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临界量(t)</w:t>
                  </w:r>
                </w:p>
              </w:tc>
              <w:tc>
                <w:tcPr>
                  <w:tcW w:w="643" w:type="pct"/>
                  <w:noWrap w:val="0"/>
                  <w:vAlign w:val="center"/>
                </w:tcPr>
                <w:p w14:paraId="4D8619C0">
                  <w:pPr>
                    <w:pStyle w:val="47"/>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Q值</w:t>
                  </w:r>
                </w:p>
              </w:tc>
            </w:tr>
            <w:tr w14:paraId="0D3C3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pct"/>
                  <w:noWrap w:val="0"/>
                  <w:vAlign w:val="center"/>
                </w:tcPr>
                <w:p w14:paraId="17D2F01E">
                  <w:pPr>
                    <w:pStyle w:val="47"/>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水性胶粘剂</w:t>
                  </w:r>
                </w:p>
              </w:tc>
              <w:tc>
                <w:tcPr>
                  <w:tcW w:w="503" w:type="pct"/>
                  <w:noWrap w:val="0"/>
                  <w:vAlign w:val="center"/>
                </w:tcPr>
                <w:p w14:paraId="75B45A13">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液态</w:t>
                  </w:r>
                </w:p>
              </w:tc>
              <w:tc>
                <w:tcPr>
                  <w:tcW w:w="992" w:type="pct"/>
                  <w:noWrap w:val="0"/>
                  <w:vAlign w:val="center"/>
                </w:tcPr>
                <w:p w14:paraId="27E39F8D">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35.6</w:t>
                  </w:r>
                </w:p>
              </w:tc>
              <w:tc>
                <w:tcPr>
                  <w:tcW w:w="1114" w:type="pct"/>
                  <w:noWrap w:val="0"/>
                  <w:vAlign w:val="center"/>
                </w:tcPr>
                <w:p w14:paraId="1AF00675">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21" w:type="pct"/>
                  <w:noWrap w:val="0"/>
                  <w:vAlign w:val="center"/>
                </w:tcPr>
                <w:p w14:paraId="1474564E">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643" w:type="pct"/>
                  <w:noWrap w:val="0"/>
                  <w:vAlign w:val="center"/>
                </w:tcPr>
                <w:p w14:paraId="0CC917BD">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3/50=0.06</w:t>
                  </w:r>
                </w:p>
              </w:tc>
            </w:tr>
            <w:tr w14:paraId="4F0C0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24" w:type="pct"/>
                  <w:noWrap w:val="0"/>
                  <w:vAlign w:val="center"/>
                </w:tcPr>
                <w:p w14:paraId="682172F1">
                  <w:pPr>
                    <w:pStyle w:val="47"/>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水性固化剂</w:t>
                  </w:r>
                </w:p>
              </w:tc>
              <w:tc>
                <w:tcPr>
                  <w:tcW w:w="503" w:type="pct"/>
                  <w:noWrap w:val="0"/>
                  <w:vAlign w:val="center"/>
                </w:tcPr>
                <w:p w14:paraId="263CD105">
                  <w:pPr>
                    <w:pStyle w:val="4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液态</w:t>
                  </w:r>
                </w:p>
              </w:tc>
              <w:tc>
                <w:tcPr>
                  <w:tcW w:w="992" w:type="pct"/>
                  <w:noWrap w:val="0"/>
                  <w:vAlign w:val="center"/>
                </w:tcPr>
                <w:p w14:paraId="69829A99">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w:t>
                  </w:r>
                </w:p>
              </w:tc>
              <w:tc>
                <w:tcPr>
                  <w:tcW w:w="1114" w:type="pct"/>
                  <w:noWrap w:val="0"/>
                  <w:vAlign w:val="center"/>
                </w:tcPr>
                <w:p w14:paraId="71D2B279">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w:t>
                  </w:r>
                </w:p>
              </w:tc>
              <w:tc>
                <w:tcPr>
                  <w:tcW w:w="821" w:type="pct"/>
                  <w:noWrap w:val="0"/>
                  <w:vAlign w:val="center"/>
                </w:tcPr>
                <w:p w14:paraId="6AB8F324">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643" w:type="pct"/>
                  <w:noWrap w:val="0"/>
                  <w:vAlign w:val="center"/>
                </w:tcPr>
                <w:p w14:paraId="7C2346F1">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0.2/50=0.004</w:t>
                  </w:r>
                </w:p>
              </w:tc>
            </w:tr>
            <w:tr w14:paraId="66314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24" w:type="pct"/>
                  <w:noWrap w:val="0"/>
                  <w:vAlign w:val="center"/>
                </w:tcPr>
                <w:p w14:paraId="50C709B1">
                  <w:pPr>
                    <w:pStyle w:val="47"/>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润滑油</w:t>
                  </w:r>
                </w:p>
              </w:tc>
              <w:tc>
                <w:tcPr>
                  <w:tcW w:w="503" w:type="pct"/>
                  <w:noWrap w:val="0"/>
                  <w:vAlign w:val="center"/>
                </w:tcPr>
                <w:p w14:paraId="79CA1853">
                  <w:pPr>
                    <w:pStyle w:val="47"/>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液态</w:t>
                  </w:r>
                </w:p>
              </w:tc>
              <w:tc>
                <w:tcPr>
                  <w:tcW w:w="992" w:type="pct"/>
                  <w:noWrap w:val="0"/>
                  <w:vAlign w:val="center"/>
                </w:tcPr>
                <w:p w14:paraId="0B3E9A31">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1114" w:type="pct"/>
                  <w:noWrap w:val="0"/>
                  <w:vAlign w:val="center"/>
                </w:tcPr>
                <w:p w14:paraId="64FA4FE7">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821" w:type="pct"/>
                  <w:noWrap w:val="0"/>
                  <w:vAlign w:val="center"/>
                </w:tcPr>
                <w:p w14:paraId="12874FC6">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2500</w:t>
                  </w:r>
                </w:p>
              </w:tc>
              <w:tc>
                <w:tcPr>
                  <w:tcW w:w="643" w:type="pct"/>
                  <w:noWrap w:val="0"/>
                  <w:vAlign w:val="center"/>
                </w:tcPr>
                <w:p w14:paraId="56B73A2C">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0.12/2500=0.000048</w:t>
                  </w:r>
                </w:p>
              </w:tc>
            </w:tr>
            <w:tr w14:paraId="66B9A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356" w:type="pct"/>
                  <w:gridSpan w:val="5"/>
                  <w:noWrap w:val="0"/>
                  <w:vAlign w:val="center"/>
                </w:tcPr>
                <w:p w14:paraId="5CE8A88B">
                  <w:pPr>
                    <w:pStyle w:val="47"/>
                    <w:bidi w:val="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合计</w:t>
                  </w:r>
                </w:p>
              </w:tc>
              <w:tc>
                <w:tcPr>
                  <w:tcW w:w="643" w:type="pct"/>
                  <w:noWrap w:val="0"/>
                  <w:vAlign w:val="center"/>
                </w:tcPr>
                <w:p w14:paraId="4EB34342">
                  <w:pPr>
                    <w:pStyle w:val="4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Q=0.064048</w:t>
                  </w:r>
                </w:p>
              </w:tc>
            </w:tr>
          </w:tbl>
          <w:p w14:paraId="1BF0B652">
            <w:pPr>
              <w:pStyle w:val="43"/>
              <w:bidi w:val="0"/>
              <w:rPr>
                <w:rFonts w:hint="default"/>
                <w:lang w:val="en-US" w:eastAsia="zh-CN"/>
              </w:rPr>
            </w:pPr>
            <w:r>
              <w:rPr>
                <w:rFonts w:hint="default"/>
                <w:lang w:val="en-US" w:eastAsia="zh-CN"/>
              </w:rPr>
              <w:t>计算得到项目</w:t>
            </w:r>
            <w:r>
              <w:rPr>
                <w:rFonts w:hint="eastAsia"/>
                <w:lang w:eastAsia="zh-CN"/>
              </w:rPr>
              <w:t>风险物质</w:t>
            </w:r>
            <w:r>
              <w:rPr>
                <w:rFonts w:hint="default"/>
                <w:lang w:val="en-US" w:eastAsia="zh-CN"/>
              </w:rPr>
              <w:t>存在量及其临界量比值Q=</w:t>
            </w:r>
            <w:r>
              <w:rPr>
                <w:rFonts w:hint="eastAsia"/>
                <w:lang w:val="en-US" w:eastAsia="zh-CN"/>
              </w:rPr>
              <w:t>0.064048</w:t>
            </w:r>
            <w:r>
              <w:rPr>
                <w:rFonts w:hint="default"/>
                <w:lang w:val="en-US" w:eastAsia="zh-CN"/>
              </w:rPr>
              <w:t>，根据</w:t>
            </w:r>
            <w:r>
              <w:rPr>
                <w:rFonts w:hint="default"/>
              </w:rPr>
              <w:t>《建设项目环境风险评价技术导则》(HJ</w:t>
            </w:r>
            <w:r>
              <w:rPr>
                <w:rFonts w:hint="default"/>
                <w:lang w:val="en-US" w:eastAsia="zh-CN"/>
              </w:rPr>
              <w:t xml:space="preserve"> </w:t>
            </w:r>
            <w:r>
              <w:rPr>
                <w:rFonts w:hint="default"/>
              </w:rPr>
              <w:t>169-2018)</w:t>
            </w:r>
            <w:r>
              <w:rPr>
                <w:rFonts w:hint="default"/>
                <w:lang w:eastAsia="zh-CN"/>
              </w:rPr>
              <w:t>附录</w:t>
            </w:r>
            <w:r>
              <w:rPr>
                <w:rFonts w:hint="default"/>
                <w:lang w:val="en-US" w:eastAsia="zh-CN"/>
              </w:rPr>
              <w:t>C，</w:t>
            </w:r>
            <w:r>
              <w:rPr>
                <w:rFonts w:hint="default"/>
              </w:rPr>
              <w:t>当Q＜1时，该项目环境风险潜势为Ⅰ</w:t>
            </w:r>
            <w:r>
              <w:rPr>
                <w:rFonts w:hint="default"/>
                <w:lang w:eastAsia="zh-CN"/>
              </w:rPr>
              <w:t>，无需进行</w:t>
            </w:r>
            <w:r>
              <w:rPr>
                <w:rFonts w:hint="default"/>
                <w:lang w:val="en-US" w:eastAsia="zh-CN"/>
              </w:rPr>
              <w:t>P、E值的计算。</w:t>
            </w:r>
          </w:p>
          <w:p w14:paraId="56A09562">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4.7.2 环境风险识别</w:t>
            </w:r>
          </w:p>
          <w:p w14:paraId="38234E4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通过对项目</w:t>
            </w:r>
            <w:r>
              <w:rPr>
                <w:rFonts w:hint="default" w:ascii="Times New Roman" w:hAnsi="Times New Roman" w:cs="Times New Roman"/>
                <w:color w:val="000000" w:themeColor="text1"/>
                <w:kern w:val="0"/>
                <w:sz w:val="24"/>
                <w:highlight w:val="none"/>
                <w:lang w:eastAsia="zh-CN"/>
                <w14:textFill>
                  <w14:solidFill>
                    <w14:schemeClr w14:val="tx1"/>
                  </w14:solidFill>
                </w14:textFill>
              </w:rPr>
              <w:t>危险物质的</w:t>
            </w:r>
            <w:r>
              <w:rPr>
                <w:rFonts w:hint="default" w:ascii="Times New Roman" w:hAnsi="Times New Roman" w:cs="Times New Roman"/>
                <w:color w:val="000000" w:themeColor="text1"/>
                <w:kern w:val="0"/>
                <w:sz w:val="24"/>
                <w:highlight w:val="none"/>
                <w14:textFill>
                  <w14:solidFill>
                    <w14:schemeClr w14:val="tx1"/>
                  </w14:solidFill>
                </w14:textFill>
              </w:rPr>
              <w:t>识别，项目</w:t>
            </w:r>
            <w:r>
              <w:rPr>
                <w:rFonts w:hint="default" w:ascii="Times New Roman" w:hAnsi="Times New Roman" w:cs="Times New Roman"/>
                <w:color w:val="000000" w:themeColor="text1"/>
                <w:kern w:val="0"/>
                <w:sz w:val="24"/>
                <w:highlight w:val="none"/>
                <w:lang w:eastAsia="zh-CN"/>
                <w14:textFill>
                  <w14:solidFill>
                    <w14:schemeClr w14:val="tx1"/>
                  </w14:solidFill>
                </w14:textFill>
              </w:rPr>
              <w:t>潜在环境风险事故</w:t>
            </w:r>
            <w:r>
              <w:rPr>
                <w:rFonts w:hint="default" w:ascii="Times New Roman" w:hAnsi="Times New Roman" w:cs="Times New Roman"/>
                <w:color w:val="000000" w:themeColor="text1"/>
                <w:kern w:val="0"/>
                <w:sz w:val="24"/>
                <w:highlight w:val="none"/>
                <w14:textFill>
                  <w14:solidFill>
                    <w14:schemeClr w14:val="tx1"/>
                  </w14:solidFill>
                </w14:textFill>
              </w:rPr>
              <w:t>识别结果见</w:t>
            </w:r>
            <w:r>
              <w:rPr>
                <w:rFonts w:hint="default" w:ascii="Times New Roman" w:hAnsi="Times New Roman" w:cs="Times New Roman"/>
                <w:color w:val="000000" w:themeColor="text1"/>
                <w:kern w:val="0"/>
                <w:sz w:val="24"/>
                <w:highlight w:val="none"/>
                <w:lang w:eastAsia="zh-CN"/>
                <w14:textFill>
                  <w14:solidFill>
                    <w14:schemeClr w14:val="tx1"/>
                  </w14:solidFill>
                </w14:textFill>
              </w:rPr>
              <w:t>下表</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4.7-2</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p>
          <w:p w14:paraId="78D07820">
            <w:pPr>
              <w:autoSpaceDE w:val="0"/>
              <w:autoSpaceDN w:val="0"/>
              <w:adjustRightInd w:val="0"/>
              <w:spacing w:before="165" w:beforeLines="50"/>
              <w:jc w:val="center"/>
              <w:rPr>
                <w:rFonts w:hint="default" w:ascii="Times New Roman" w:hAnsi="Times New Roman" w:eastAsia="黑体" w:cs="Times New Roman"/>
                <w:color w:val="000000" w:themeColor="text1"/>
                <w:kern w:val="0"/>
                <w:sz w:val="24"/>
                <w:highlight w:val="none"/>
                <w14:textFill>
                  <w14:solidFill>
                    <w14:schemeClr w14:val="tx1"/>
                  </w14:solidFill>
                </w14:textFill>
              </w:rPr>
            </w:pPr>
            <w:r>
              <w:rPr>
                <w:rFonts w:hint="default" w:ascii="Times New Roman" w:hAnsi="Times New Roman" w:eastAsia="黑体" w:cs="Times New Roman"/>
                <w:color w:val="000000" w:themeColor="text1"/>
                <w:kern w:val="0"/>
                <w:sz w:val="24"/>
                <w:highlight w:val="none"/>
                <w14:textFill>
                  <w14:solidFill>
                    <w14:schemeClr w14:val="tx1"/>
                  </w14:solidFill>
                </w14:textFill>
              </w:rPr>
              <w:t>表</w:t>
            </w:r>
            <w:r>
              <w:rPr>
                <w:rFonts w:hint="default" w:ascii="Times New Roman" w:hAnsi="Times New Roman" w:eastAsia="黑体" w:cs="Times New Roman"/>
                <w:color w:val="000000" w:themeColor="text1"/>
                <w:kern w:val="0"/>
                <w:sz w:val="24"/>
                <w:highlight w:val="none"/>
                <w:lang w:val="en-US" w:eastAsia="zh-CN"/>
                <w14:textFill>
                  <w14:solidFill>
                    <w14:schemeClr w14:val="tx1"/>
                  </w14:solidFill>
                </w14:textFill>
              </w:rPr>
              <w:t xml:space="preserve">4.7-2  </w:t>
            </w:r>
            <w:r>
              <w:rPr>
                <w:rFonts w:hint="default" w:ascii="Times New Roman" w:hAnsi="Times New Roman" w:eastAsia="黑体" w:cs="Times New Roman"/>
                <w:color w:val="000000" w:themeColor="text1"/>
                <w:kern w:val="0"/>
                <w:sz w:val="24"/>
                <w:highlight w:val="none"/>
                <w14:textFill>
                  <w14:solidFill>
                    <w14:schemeClr w14:val="tx1"/>
                  </w14:solidFill>
                </w14:textFill>
              </w:rPr>
              <w:t>项目</w:t>
            </w:r>
            <w:r>
              <w:rPr>
                <w:rFonts w:hint="default" w:ascii="Times New Roman" w:hAnsi="Times New Roman" w:eastAsia="黑体" w:cs="Times New Roman"/>
                <w:color w:val="000000" w:themeColor="text1"/>
                <w:kern w:val="0"/>
                <w:sz w:val="24"/>
                <w:highlight w:val="none"/>
                <w:lang w:eastAsia="zh-CN"/>
                <w14:textFill>
                  <w14:solidFill>
                    <w14:schemeClr w14:val="tx1"/>
                  </w14:solidFill>
                </w14:textFill>
              </w:rPr>
              <w:t>危险物质</w:t>
            </w:r>
            <w:r>
              <w:rPr>
                <w:rFonts w:hint="default" w:ascii="Times New Roman" w:hAnsi="Times New Roman" w:eastAsia="黑体" w:cs="Times New Roman"/>
                <w:color w:val="000000" w:themeColor="text1"/>
                <w:kern w:val="0"/>
                <w:sz w:val="24"/>
                <w:highlight w:val="none"/>
                <w14:textFill>
                  <w14:solidFill>
                    <w14:schemeClr w14:val="tx1"/>
                  </w14:solidFill>
                </w14:textFill>
              </w:rPr>
              <w:t>潜在环境风险事故一览表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2"/>
              <w:gridCol w:w="2013"/>
              <w:gridCol w:w="3424"/>
              <w:gridCol w:w="1754"/>
            </w:tblGrid>
            <w:tr w14:paraId="189543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noWrap w:val="0"/>
                  <w:vAlign w:val="center"/>
                </w:tcPr>
                <w:p w14:paraId="3C78791E">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潜在事故类型</w:t>
                  </w:r>
                </w:p>
              </w:tc>
              <w:tc>
                <w:tcPr>
                  <w:tcW w:w="1196" w:type="pct"/>
                  <w:noWrap w:val="0"/>
                  <w:vAlign w:val="center"/>
                </w:tcPr>
                <w:p w14:paraId="74E15B47">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事故原因</w:t>
                  </w:r>
                </w:p>
              </w:tc>
              <w:tc>
                <w:tcPr>
                  <w:tcW w:w="2034" w:type="pct"/>
                  <w:noWrap w:val="0"/>
                  <w:vAlign w:val="center"/>
                </w:tcPr>
                <w:p w14:paraId="0F464594">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危险物质向环境转移的可能途径</w:t>
                  </w:r>
                </w:p>
              </w:tc>
              <w:tc>
                <w:tcPr>
                  <w:tcW w:w="1042" w:type="pct"/>
                  <w:noWrap w:val="0"/>
                  <w:vAlign w:val="center"/>
                </w:tcPr>
                <w:p w14:paraId="67BA132C">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lang w:val="en-US" w:eastAsia="zh-CN"/>
                    </w:rPr>
                    <w:t>环境危害后果</w:t>
                  </w:r>
                </w:p>
              </w:tc>
            </w:tr>
            <w:tr w14:paraId="7A4480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noWrap w:val="0"/>
                  <w:vAlign w:val="center"/>
                </w:tcPr>
                <w:p w14:paraId="58877B50">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lang w:val="en-US" w:eastAsia="zh-CN"/>
                    </w:rPr>
                    <w:t>废气事故排放</w:t>
                  </w:r>
                </w:p>
              </w:tc>
              <w:tc>
                <w:tcPr>
                  <w:tcW w:w="1196" w:type="pct"/>
                  <w:noWrap w:val="0"/>
                  <w:vAlign w:val="center"/>
                </w:tcPr>
                <w:p w14:paraId="76545338">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lang w:val="en-US" w:eastAsia="zh-CN"/>
                    </w:rPr>
                    <w:t>废气处理设施故障</w:t>
                  </w:r>
                </w:p>
              </w:tc>
              <w:tc>
                <w:tcPr>
                  <w:tcW w:w="2034" w:type="pct"/>
                  <w:noWrap w:val="0"/>
                  <w:vAlign w:val="center"/>
                </w:tcPr>
                <w:p w14:paraId="12960658">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废气</w:t>
                  </w:r>
                  <w:r>
                    <w:rPr>
                      <w:rFonts w:hint="default"/>
                      <w:lang w:val="en-US" w:eastAsia="zh-CN"/>
                    </w:rPr>
                    <w:t>未经处理</w:t>
                  </w:r>
                  <w:r>
                    <w:rPr>
                      <w:rFonts w:hint="default"/>
                    </w:rPr>
                    <w:t>全部</w:t>
                  </w:r>
                  <w:r>
                    <w:rPr>
                      <w:rFonts w:hint="default"/>
                      <w:lang w:val="en-US" w:eastAsia="zh-CN"/>
                    </w:rPr>
                    <w:t>直接</w:t>
                  </w:r>
                  <w:r>
                    <w:rPr>
                      <w:rFonts w:hint="default"/>
                    </w:rPr>
                    <w:t>排放扩散</w:t>
                  </w:r>
                </w:p>
              </w:tc>
              <w:tc>
                <w:tcPr>
                  <w:tcW w:w="1042" w:type="pct"/>
                  <w:noWrap w:val="0"/>
                  <w:vAlign w:val="center"/>
                </w:tcPr>
                <w:p w14:paraId="2B39C27B">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对大气环境有</w:t>
                  </w:r>
                  <w:r>
                    <w:rPr>
                      <w:rFonts w:hint="default"/>
                      <w:lang w:val="en-US" w:eastAsia="zh-CN"/>
                    </w:rPr>
                    <w:t>轻微的</w:t>
                  </w:r>
                  <w:r>
                    <w:rPr>
                      <w:rFonts w:hint="default"/>
                    </w:rPr>
                    <w:t>影响</w:t>
                  </w:r>
                </w:p>
              </w:tc>
            </w:tr>
            <w:tr w14:paraId="3C7249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vMerge w:val="restart"/>
                  <w:noWrap w:val="0"/>
                  <w:vAlign w:val="center"/>
                </w:tcPr>
                <w:p w14:paraId="2EB11254">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eastAsia"/>
                      <w:lang w:val="en-US" w:eastAsia="zh-CN"/>
                    </w:rPr>
                    <w:t>化学品</w:t>
                  </w:r>
                  <w:r>
                    <w:rPr>
                      <w:rFonts w:hint="default"/>
                      <w:lang w:val="en-US" w:eastAsia="zh-CN"/>
                    </w:rPr>
                    <w:t>、危险废物等</w:t>
                  </w:r>
                  <w:r>
                    <w:rPr>
                      <w:rFonts w:hint="default"/>
                    </w:rPr>
                    <w:t>泄漏</w:t>
                  </w:r>
                </w:p>
              </w:tc>
              <w:tc>
                <w:tcPr>
                  <w:tcW w:w="1196" w:type="pct"/>
                  <w:noWrap w:val="0"/>
                  <w:vAlign w:val="center"/>
                </w:tcPr>
                <w:p w14:paraId="6C28D74C">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原料桶泄漏</w:t>
                  </w:r>
                </w:p>
              </w:tc>
              <w:tc>
                <w:tcPr>
                  <w:tcW w:w="2034" w:type="pct"/>
                  <w:noWrap w:val="0"/>
                  <w:vAlign w:val="center"/>
                </w:tcPr>
                <w:p w14:paraId="3C298557">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渗入土壤及排入周边水体、有机废气全部以无组织方式排放扩散</w:t>
                  </w:r>
                </w:p>
              </w:tc>
              <w:tc>
                <w:tcPr>
                  <w:tcW w:w="1042" w:type="pct"/>
                  <w:vMerge w:val="restart"/>
                  <w:noWrap w:val="0"/>
                  <w:vAlign w:val="center"/>
                </w:tcPr>
                <w:p w14:paraId="1D769391">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对周边地下水及周边水域可能造成严重影响、对大气环境有一定</w:t>
                  </w:r>
                  <w:r>
                    <w:rPr>
                      <w:rFonts w:hint="default"/>
                      <w:lang w:val="en-US" w:eastAsia="zh-CN"/>
                    </w:rPr>
                    <w:t>轻微</w:t>
                  </w:r>
                  <w:r>
                    <w:rPr>
                      <w:rFonts w:hint="default"/>
                    </w:rPr>
                    <w:t>影响</w:t>
                  </w:r>
                </w:p>
              </w:tc>
            </w:tr>
            <w:tr w14:paraId="71DAAE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vMerge w:val="continue"/>
                  <w:noWrap w:val="0"/>
                  <w:vAlign w:val="center"/>
                </w:tcPr>
                <w:p w14:paraId="2A460B84">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p>
              </w:tc>
              <w:tc>
                <w:tcPr>
                  <w:tcW w:w="1196" w:type="pct"/>
                  <w:noWrap w:val="0"/>
                  <w:vAlign w:val="center"/>
                </w:tcPr>
                <w:p w14:paraId="4D3200EC">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运输车辆发生事故发生泄漏</w:t>
                  </w:r>
                </w:p>
              </w:tc>
              <w:tc>
                <w:tcPr>
                  <w:tcW w:w="2034" w:type="pct"/>
                  <w:noWrap w:val="0"/>
                  <w:vAlign w:val="center"/>
                </w:tcPr>
                <w:p w14:paraId="24F3473D">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渗入土壤及排入周边水体、有机废气全部以无组织方式排放扩散</w:t>
                  </w:r>
                </w:p>
              </w:tc>
              <w:tc>
                <w:tcPr>
                  <w:tcW w:w="1042" w:type="pct"/>
                  <w:vMerge w:val="continue"/>
                  <w:noWrap w:val="0"/>
                  <w:vAlign w:val="center"/>
                </w:tcPr>
                <w:p w14:paraId="547C89C3">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p>
              </w:tc>
            </w:tr>
            <w:tr w14:paraId="542E63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noWrap w:val="0"/>
                  <w:vAlign w:val="center"/>
                </w:tcPr>
                <w:p w14:paraId="743CA044">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火灾事故</w:t>
                  </w:r>
                </w:p>
              </w:tc>
              <w:tc>
                <w:tcPr>
                  <w:tcW w:w="1196" w:type="pct"/>
                  <w:noWrap w:val="0"/>
                  <w:vAlign w:val="center"/>
                </w:tcPr>
                <w:p w14:paraId="75E1D3CC">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电线短路、静电火花等，遇明火或高热发生火灾事故</w:t>
                  </w:r>
                </w:p>
              </w:tc>
              <w:tc>
                <w:tcPr>
                  <w:tcW w:w="2034" w:type="pct"/>
                  <w:noWrap w:val="0"/>
                  <w:vAlign w:val="center"/>
                </w:tcPr>
                <w:p w14:paraId="67F9389D">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rPr>
                    <w:t>火灾产生的热辐射、浓烟、有害气体等直接进入环境，火灾扑救过</w:t>
                  </w:r>
                  <w:r>
                    <w:rPr>
                      <w:rFonts w:hint="eastAsia"/>
                      <w:lang w:eastAsia="zh-CN"/>
                    </w:rPr>
                    <w:t>程中</w:t>
                  </w:r>
                  <w:r>
                    <w:rPr>
                      <w:rFonts w:hint="default"/>
                    </w:rPr>
                    <w:t>产生的消防废水</w:t>
                  </w:r>
                </w:p>
              </w:tc>
              <w:tc>
                <w:tcPr>
                  <w:tcW w:w="1042" w:type="pct"/>
                  <w:noWrap w:val="0"/>
                  <w:vAlign w:val="center"/>
                </w:tcPr>
                <w:p w14:paraId="75997C80">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rPr>
                  </w:pPr>
                  <w:r>
                    <w:rPr>
                      <w:rFonts w:hint="default"/>
                    </w:rPr>
                    <w:t>对外环境影响</w:t>
                  </w:r>
                </w:p>
                <w:p w14:paraId="3C960609">
                  <w:pPr>
                    <w:pStyle w:val="64"/>
                    <w:keepNext w:val="0"/>
                    <w:keepLines w:val="0"/>
                    <w:pageBreakBefore w:val="0"/>
                    <w:widowControl w:val="0"/>
                    <w:kinsoku/>
                    <w:wordWrap/>
                    <w:overflowPunct/>
                    <w:topLinePunct w:val="0"/>
                    <w:autoSpaceDE/>
                    <w:autoSpaceDN/>
                    <w:bidi w:val="0"/>
                    <w:adjustRightInd/>
                    <w:snapToGrid/>
                    <w:spacing w:line="340" w:lineRule="exact"/>
                    <w:ind w:left="0"/>
                    <w:textAlignment w:val="auto"/>
                    <w:rPr>
                      <w:rFonts w:hint="default"/>
                      <w:lang w:val="en-US" w:eastAsia="zh-CN"/>
                    </w:rPr>
                  </w:pPr>
                  <w:r>
                    <w:rPr>
                      <w:rFonts w:hint="default"/>
                      <w:lang w:eastAsia="zh-CN"/>
                    </w:rPr>
                    <w:t>严重影响</w:t>
                  </w:r>
                </w:p>
              </w:tc>
            </w:tr>
          </w:tbl>
          <w:p w14:paraId="16B06CCA">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4.7.</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环境风险防范措施</w:t>
            </w:r>
          </w:p>
          <w:p w14:paraId="3C76F61D">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(1)火灾事故风险防范措施</w:t>
            </w:r>
          </w:p>
          <w:p w14:paraId="1FB45B02">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①加强消防设施和灭火器材的配备，严格落实有关消防技术规范的规定，加强人员疏散设施管理，保证疏散通道畅通。</w:t>
            </w:r>
          </w:p>
          <w:p w14:paraId="0E6DE2AA">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②定期进行防火安全检查，确保消防设施完整好用。</w:t>
            </w:r>
          </w:p>
          <w:p w14:paraId="247B5FA2">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t>公司要求职工应遵守各项规章制度，杜绝“三违”(违章作业、违章指挥、违反劳动纪律)，作业时要遵守各项规定(如动火、高处作业、进入设备作业等规定)、要求，确保安全生产。</w:t>
            </w:r>
          </w:p>
          <w:p w14:paraId="58F80BA5">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④公司强化安全、消防和环保管理，完善环保安全管理机构，完善各项管理制度，加强日常监督检查；</w:t>
            </w:r>
            <w:r>
              <w:rPr>
                <w:rFonts w:hint="default" w:ascii="Times New Roman" w:hAnsi="Times New Roman" w:cs="Times New Roman"/>
                <w:color w:val="000000" w:themeColor="text1"/>
                <w:lang w:eastAsia="zh-CN"/>
                <w14:textFill>
                  <w14:solidFill>
                    <w14:schemeClr w14:val="tx1"/>
                  </w14:solidFill>
                </w14:textFill>
              </w:rPr>
              <w:t>车间</w:t>
            </w:r>
            <w:r>
              <w:rPr>
                <w:rFonts w:hint="default" w:ascii="Times New Roman" w:hAnsi="Times New Roman" w:cs="Times New Roman"/>
                <w:color w:val="000000" w:themeColor="text1"/>
                <w14:textFill>
                  <w14:solidFill>
                    <w14:schemeClr w14:val="tx1"/>
                  </w14:solidFill>
                </w14:textFill>
              </w:rPr>
              <w:t>内严禁烟火，严格动火审批制度，进料车辆必须戴阻火器。</w:t>
            </w:r>
          </w:p>
          <w:p w14:paraId="71B01CD9">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(2)废气事故排放风险防范措施</w:t>
            </w:r>
          </w:p>
          <w:p w14:paraId="680CE8C7">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①定期对废气处理设施从设备到运输管道进行检修，发现问题及时解决。</w:t>
            </w:r>
          </w:p>
          <w:p w14:paraId="75B44C68">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②各生产岗位制定严格的操作规程和注意事项，车间工人需熟悉工作流程，严格按操作规程进行运行控制，防止操作失误导致废气事故排放。</w:t>
            </w:r>
          </w:p>
          <w:p w14:paraId="165D0D2C">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③定期更换活性炭，同时确保项目活性炭吸附</w:t>
            </w:r>
            <w:r>
              <w:rPr>
                <w:rFonts w:hint="eastAsia" w:cs="Times New Roman"/>
                <w:color w:val="000000" w:themeColor="text1"/>
                <w:lang w:val="en-US" w:eastAsia="zh-CN"/>
                <w14:textFill>
                  <w14:solidFill>
                    <w14:schemeClr w14:val="tx1"/>
                  </w14:solidFill>
                </w14:textFill>
              </w:rPr>
              <w:t>柜</w:t>
            </w:r>
            <w:r>
              <w:rPr>
                <w:rFonts w:hint="default" w:ascii="Times New Roman" w:hAnsi="Times New Roman" w:cs="Times New Roman"/>
                <w:color w:val="000000" w:themeColor="text1"/>
                <w:lang w:val="en-US" w:eastAsia="zh-CN"/>
                <w14:textFill>
                  <w14:solidFill>
                    <w14:schemeClr w14:val="tx1"/>
                  </w14:solidFill>
                </w14:textFill>
              </w:rPr>
              <w:t>一次性装置量。</w:t>
            </w:r>
          </w:p>
          <w:p w14:paraId="3877A61A">
            <w:pPr>
              <w:autoSpaceDE w:val="0"/>
              <w:autoSpaceDN w:val="0"/>
              <w:adjustRightInd w:val="0"/>
              <w:spacing w:line="360" w:lineRule="auto"/>
              <w:ind w:firstLine="480" w:firstLineChars="200"/>
              <w:jc w:val="left"/>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危险废物等泄漏事故风险防范措施</w:t>
            </w:r>
          </w:p>
          <w:p w14:paraId="5F8ECD5E">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①危险废物间周围设置围堰，</w:t>
            </w:r>
            <w:r>
              <w:rPr>
                <w:rFonts w:hint="default" w:ascii="Times New Roman" w:hAnsi="Times New Roman" w:cs="Times New Roman"/>
                <w:color w:val="000000" w:themeColor="text1"/>
                <w:kern w:val="0"/>
                <w:sz w:val="24"/>
                <w14:textFill>
                  <w14:solidFill>
                    <w14:schemeClr w14:val="tx1"/>
                  </w14:solidFill>
                </w14:textFill>
              </w:rPr>
              <w:t>地面</w:t>
            </w:r>
            <w:r>
              <w:rPr>
                <w:rFonts w:hint="default" w:ascii="Times New Roman" w:hAnsi="Times New Roman" w:cs="Times New Roman"/>
                <w:color w:val="000000" w:themeColor="text1"/>
                <w:kern w:val="0"/>
                <w:sz w:val="24"/>
                <w:lang w:eastAsia="zh-CN"/>
                <w14:textFill>
                  <w14:solidFill>
                    <w14:schemeClr w14:val="tx1"/>
                  </w14:solidFill>
                </w14:textFill>
              </w:rPr>
              <w:t>硬化并刷环氧树脂防渗</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，设置警示标识等</w:t>
            </w:r>
            <w:r>
              <w:rPr>
                <w:rFonts w:hint="default" w:ascii="Times New Roman" w:hAnsi="Times New Roman" w:cs="Times New Roman"/>
                <w:color w:val="000000" w:themeColor="text1"/>
                <w:kern w:val="0"/>
                <w:sz w:val="24"/>
                <w:highlight w:val="none"/>
                <w:u w:val="none"/>
                <w:lang w:val="en-US" w:eastAsia="zh-CN"/>
                <w14:textFill>
                  <w14:solidFill>
                    <w14:schemeClr w14:val="tx1"/>
                  </w14:solidFill>
                </w14:textFill>
              </w:rPr>
              <w:t>。</w:t>
            </w:r>
          </w:p>
          <w:p w14:paraId="573AF407">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②危险废物间严禁明火，严格遵守操作规程，避免因操作失误发生事故。</w:t>
            </w:r>
          </w:p>
          <w:p w14:paraId="16BC97B8">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③</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配备</w:t>
            </w:r>
            <w:r>
              <w:rPr>
                <w:rFonts w:hint="default" w:ascii="Times New Roman" w:hAnsi="Times New Roman" w:eastAsia="宋体" w:cs="Times New Roman"/>
                <w:color w:val="000000" w:themeColor="text1"/>
                <w:sz w:val="24"/>
                <w:highlight w:val="none"/>
                <w:u w:val="none"/>
                <w14:textFill>
                  <w14:solidFill>
                    <w14:schemeClr w14:val="tx1"/>
                  </w14:solidFill>
                </w14:textFill>
              </w:rPr>
              <w:t>相应的堵漏材料(</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沙袋</w:t>
            </w:r>
            <w:r>
              <w:rPr>
                <w:rFonts w:hint="default" w:ascii="Times New Roman" w:hAnsi="Times New Roman" w:eastAsia="宋体" w:cs="Times New Roman"/>
                <w:color w:val="000000" w:themeColor="text1"/>
                <w:sz w:val="24"/>
                <w:highlight w:val="none"/>
                <w:u w:val="none"/>
                <w14:textFill>
                  <w14:solidFill>
                    <w14:schemeClr w14:val="tx1"/>
                  </w14:solidFill>
                </w14:textFill>
              </w:rPr>
              <w:t>、吸油毡等)</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w:t>
            </w:r>
          </w:p>
          <w:p w14:paraId="0311E403">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4</w:t>
            </w:r>
            <w:r>
              <w:rPr>
                <w:rFonts w:hint="default" w:ascii="Times New Roman" w:hAnsi="Times New Roman" w:cs="Times New Roman"/>
                <w:color w:val="000000" w:themeColor="text1"/>
                <w:kern w:val="0"/>
                <w:sz w:val="24"/>
                <w14:textFill>
                  <w14:solidFill>
                    <w14:schemeClr w14:val="tx1"/>
                  </w14:solidFill>
                </w14:textFill>
              </w:rPr>
              <w:t>)化学品库泄漏事故风险防范措施</w:t>
            </w:r>
          </w:p>
          <w:p w14:paraId="236243E9">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①</w:t>
            </w:r>
            <w:r>
              <w:rPr>
                <w:rFonts w:hint="default" w:ascii="Times New Roman" w:hAnsi="Times New Roman" w:cs="Times New Roman"/>
                <w:color w:val="000000" w:themeColor="text1"/>
                <w:kern w:val="0"/>
                <w:sz w:val="24"/>
                <w:lang w:eastAsia="zh-CN"/>
                <w14:textFill>
                  <w14:solidFill>
                    <w14:schemeClr w14:val="tx1"/>
                  </w14:solidFill>
                </w14:textFill>
              </w:rPr>
              <w:t>车间</w:t>
            </w:r>
            <w:r>
              <w:rPr>
                <w:rFonts w:hint="eastAsia" w:cs="Times New Roman"/>
                <w:color w:val="000000" w:themeColor="text1"/>
                <w:kern w:val="0"/>
                <w:sz w:val="24"/>
                <w:lang w:eastAsia="zh-CN"/>
                <w14:textFill>
                  <w14:solidFill>
                    <w14:schemeClr w14:val="tx1"/>
                  </w14:solidFill>
                </w14:textFill>
              </w:rPr>
              <w:t>三层西南侧</w:t>
            </w:r>
            <w:r>
              <w:rPr>
                <w:rFonts w:hint="default" w:ascii="Times New Roman" w:hAnsi="Times New Roman" w:cs="Times New Roman"/>
                <w:color w:val="000000" w:themeColor="text1"/>
                <w:kern w:val="0"/>
                <w:sz w:val="24"/>
                <w14:textFill>
                  <w14:solidFill>
                    <w14:schemeClr w14:val="tx1"/>
                  </w14:solidFill>
                </w14:textFill>
              </w:rPr>
              <w:t>设置专门的化学品库，地面</w:t>
            </w:r>
            <w:r>
              <w:rPr>
                <w:rFonts w:hint="default" w:ascii="Times New Roman" w:hAnsi="Times New Roman" w:cs="Times New Roman"/>
                <w:color w:val="000000" w:themeColor="text1"/>
                <w:kern w:val="0"/>
                <w:sz w:val="24"/>
                <w:lang w:eastAsia="zh-CN"/>
                <w14:textFill>
                  <w14:solidFill>
                    <w14:schemeClr w14:val="tx1"/>
                  </w14:solidFill>
                </w14:textFill>
              </w:rPr>
              <w:t>硬化并刷环氧树脂防渗</w:t>
            </w:r>
            <w:r>
              <w:rPr>
                <w:rFonts w:hint="default" w:ascii="Times New Roman" w:hAnsi="Times New Roman" w:cs="Times New Roman"/>
                <w:color w:val="000000" w:themeColor="text1"/>
                <w:kern w:val="0"/>
                <w:sz w:val="24"/>
                <w14:textFill>
                  <w14:solidFill>
                    <w14:schemeClr w14:val="tx1"/>
                  </w14:solidFill>
                </w14:textFill>
              </w:rPr>
              <w:t>，设置警示标识等。</w:t>
            </w:r>
          </w:p>
          <w:p w14:paraId="23B6D609">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②仓库严禁明火，严格遵守操作规程，避免因操作失误发生事故。</w:t>
            </w:r>
          </w:p>
          <w:p w14:paraId="63FA99C5">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③配备</w:t>
            </w:r>
            <w:r>
              <w:rPr>
                <w:rFonts w:hint="default" w:ascii="Times New Roman" w:hAnsi="Times New Roman" w:cs="Times New Roman"/>
                <w:color w:val="000000" w:themeColor="text1"/>
                <w:sz w:val="24"/>
                <w14:textFill>
                  <w14:solidFill>
                    <w14:schemeClr w14:val="tx1"/>
                  </w14:solidFill>
                </w14:textFill>
              </w:rPr>
              <w:t>相应的堵漏材料(</w:t>
            </w:r>
            <w:r>
              <w:rPr>
                <w:rFonts w:hint="eastAsia" w:ascii="Times New Roman" w:hAnsi="Times New Roman" w:cs="Times New Roman"/>
                <w:color w:val="000000" w:themeColor="text1"/>
                <w:sz w:val="24"/>
                <w:lang w:eastAsia="zh-CN"/>
                <w14:textFill>
                  <w14:solidFill>
                    <w14:schemeClr w14:val="tx1"/>
                  </w14:solidFill>
                </w14:textFill>
              </w:rPr>
              <w:t>沙袋</w:t>
            </w:r>
            <w:r>
              <w:rPr>
                <w:rFonts w:hint="default" w:ascii="Times New Roman" w:hAnsi="Times New Roman" w:cs="Times New Roman"/>
                <w:color w:val="000000" w:themeColor="text1"/>
                <w:sz w:val="24"/>
                <w14:textFill>
                  <w14:solidFill>
                    <w14:schemeClr w14:val="tx1"/>
                  </w14:solidFill>
                </w14:textFill>
              </w:rPr>
              <w:t>、吸油毡等)。</w:t>
            </w:r>
          </w:p>
          <w:p w14:paraId="67712F20">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4.7.</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 xml:space="preserve"> 应急处置措施</w:t>
            </w:r>
          </w:p>
          <w:p w14:paraId="20BE2B1A">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当发生火灾等事故、废气事故排放时，应首先组织人员疏散，在确保安全的前提下，尝试进行以下应急处理措施：</w:t>
            </w:r>
          </w:p>
          <w:p w14:paraId="78BB54CD">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(1)火灾应急措施</w:t>
            </w:r>
          </w:p>
          <w:p w14:paraId="1B402348">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在车间发生火灾时，组织企业自身人员利用干粉、CO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、雾状水或泡沫灭火器等消防器材进行自救，将火源与原料和产品分离，发生初期火灾</w:t>
            </w:r>
            <w:r>
              <w:rPr>
                <w:rFonts w:hint="eastAsia" w:cs="Times New Roman"/>
                <w:color w:val="000000" w:themeColor="text1"/>
                <w:lang w:val="en-US" w:eastAsia="zh-CN"/>
                <w14:textFill>
                  <w14:solidFill>
                    <w14:schemeClr w14:val="tx1"/>
                  </w14:solidFill>
                </w14:textFill>
              </w:rPr>
              <w:t>时</w:t>
            </w:r>
            <w:r>
              <w:rPr>
                <w:rFonts w:hint="default" w:ascii="Times New Roman" w:hAnsi="Times New Roman" w:cs="Times New Roman"/>
                <w:color w:val="000000" w:themeColor="text1"/>
                <w:lang w:val="en-US" w:eastAsia="zh-CN"/>
                <w14:textFill>
                  <w14:solidFill>
                    <w14:schemeClr w14:val="tx1"/>
                  </w14:solidFill>
                </w14:textFill>
              </w:rPr>
              <w:t>，在岗员工应立即对初起火灾进行扑救，就近原则运用灭火器材扑灭火源；如发生重大火灾事故，还应报告环保、公安、医疗等部门机构，组织社会多方力量救援。</w:t>
            </w:r>
          </w:p>
          <w:p w14:paraId="11AE31AD">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(2)环保设施故障应急措施</w:t>
            </w:r>
          </w:p>
          <w:p w14:paraId="3AE1ACE1">
            <w:pPr>
              <w:pStyle w:val="4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当发现废气排放有异常或者浓度超标时，第一发现人员应立即通知现场岗位操作员及时分析确定原因并操作调整，同时上报生产负责人。同时组织维修人员及时抢修。若短时间无法修复，应及时停止生产。</w:t>
            </w:r>
          </w:p>
          <w:p w14:paraId="2A8476BD">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(3)泄漏应急措施</w:t>
            </w:r>
          </w:p>
          <w:p w14:paraId="653CE5C4">
            <w:pPr>
              <w:pStyle w:val="88"/>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GB"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胶水、固化剂、润滑油</w:t>
            </w:r>
            <w:r>
              <w:rPr>
                <w:rFonts w:hint="default" w:ascii="Times New Roman" w:hAnsi="Times New Roman" w:cs="Times New Roman"/>
                <w:color w:val="000000" w:themeColor="text1"/>
                <w:sz w:val="24"/>
                <w:szCs w:val="24"/>
                <w:highlight w:val="none"/>
                <w:lang w:eastAsia="zh-CN"/>
                <w14:textFill>
                  <w14:solidFill>
                    <w14:schemeClr w14:val="tx1"/>
                  </w14:solidFill>
                </w14:textFill>
              </w:rPr>
              <w:t>等</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储存量较小，设置在专门的仓库内，发生泄漏时</w:t>
            </w:r>
            <w:r>
              <w:rPr>
                <w:rFonts w:hint="default" w:ascii="Times New Roman" w:hAnsi="Times New Roman" w:cs="Times New Roman"/>
                <w:color w:val="000000" w:themeColor="text1"/>
                <w:kern w:val="0"/>
                <w:sz w:val="24"/>
                <w:highlight w:val="none"/>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立即找出泄漏口，切断污染源，再用</w:t>
            </w:r>
            <w:r>
              <w:rPr>
                <w:rFonts w:hint="eastAsia" w:ascii="Times New Roman" w:hAnsi="Times New Roman" w:cs="Times New Roman"/>
                <w:color w:val="000000" w:themeColor="text1"/>
                <w:sz w:val="24"/>
                <w:highlight w:val="none"/>
                <w:lang w:eastAsia="zh-CN"/>
                <w14:textFill>
                  <w14:solidFill>
                    <w14:schemeClr w14:val="tx1"/>
                  </w14:solidFill>
                </w14:textFill>
              </w:rPr>
              <w:t>沙袋</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、吸油毡</w:t>
            </w:r>
            <w:r>
              <w:rPr>
                <w:rFonts w:hint="default" w:ascii="Times New Roman" w:hAnsi="Times New Roman" w:cs="Times New Roman"/>
                <w:color w:val="000000" w:themeColor="text1"/>
                <w:sz w:val="24"/>
                <w:highlight w:val="none"/>
                <w14:textFill>
                  <w14:solidFill>
                    <w14:schemeClr w14:val="tx1"/>
                  </w14:solidFill>
                </w14:textFill>
              </w:rPr>
              <w:t>堵塞泄漏口周围，将泄漏口与外部隔绝开，以防泄漏量加大</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630286C7">
            <w:pPr>
              <w:pStyle w:val="4"/>
              <w:bidi w:val="0"/>
              <w:ind w:left="0" w:leftChars="0" w:firstLine="0" w:firstLineChars="0"/>
              <w:outlineLvl w:val="9"/>
            </w:pPr>
            <w:bookmarkStart w:id="30" w:name="_Toc5414"/>
            <w:bookmarkStart w:id="31" w:name="_Toc18956"/>
            <w:bookmarkStart w:id="32" w:name="_Toc25928"/>
            <w:r>
              <w:rPr>
                <w:rFonts w:hint="eastAsia"/>
                <w:lang w:val="en-US" w:eastAsia="zh-CN"/>
              </w:rPr>
              <w:t>4.7.5</w:t>
            </w:r>
            <w:r>
              <w:t>环境风险影响</w:t>
            </w:r>
          </w:p>
          <w:p w14:paraId="74A6B6FC">
            <w:pPr>
              <w:pStyle w:val="43"/>
              <w:bidi w:val="0"/>
            </w:pPr>
            <w:r>
              <w:t>项目环境风险潜势为</w:t>
            </w:r>
            <w:r>
              <w:rPr>
                <w:rFonts w:hint="eastAsia"/>
              </w:rPr>
              <w:t>Ⅰ</w:t>
            </w:r>
            <w:r>
              <w:t>，属简单分析。建设单位在严格采取各项风险防范应急措施，并加强安全管理，在以此为前提的情况下，一旦以上突发事件发生，环境风险可达到控制，能最大限度地减少环境污染危害，环境风险防范措施有效，风险影响程度可接受。</w:t>
            </w:r>
          </w:p>
          <w:p w14:paraId="08992FBD">
            <w:pPr>
              <w:pStyle w:val="81"/>
              <w:bidi w:val="0"/>
            </w:pPr>
            <w:r>
              <w:rPr>
                <w:rFonts w:hint="default"/>
                <w:lang w:val="en-US" w:eastAsia="zh-CN"/>
              </w:rPr>
              <w:t>表4.</w:t>
            </w:r>
            <w:r>
              <w:rPr>
                <w:rFonts w:hint="eastAsia"/>
                <w:lang w:val="en-US" w:eastAsia="zh-CN"/>
              </w:rPr>
              <w:t>7</w:t>
            </w:r>
            <w:r>
              <w:rPr>
                <w:rFonts w:hint="default"/>
                <w:lang w:val="en-US" w:eastAsia="zh-CN"/>
              </w:rPr>
              <w:t>-</w:t>
            </w:r>
            <w:r>
              <w:rPr>
                <w:rFonts w:hint="eastAsia"/>
                <w:lang w:val="en-US" w:eastAsia="zh-CN"/>
              </w:rPr>
              <w:t xml:space="preserve">3 </w:t>
            </w:r>
            <w:r>
              <w:t>建设项目环境风险简单分析内容表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61"/>
              <w:gridCol w:w="1468"/>
              <w:gridCol w:w="2333"/>
              <w:gridCol w:w="859"/>
              <w:gridCol w:w="1848"/>
            </w:tblGrid>
            <w:tr w14:paraId="1DB99F9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08B3CD9A">
                  <w:pPr>
                    <w:pStyle w:val="91"/>
                    <w:bidi w:val="0"/>
                  </w:pPr>
                  <w:r>
                    <w:t>建设项目名称</w:t>
                  </w:r>
                </w:p>
              </w:tc>
              <w:tc>
                <w:tcPr>
                  <w:tcW w:w="6508" w:type="dxa"/>
                  <w:gridSpan w:val="4"/>
                  <w:noWrap w:val="0"/>
                  <w:vAlign w:val="center"/>
                </w:tcPr>
                <w:p w14:paraId="2F9A7B2F">
                  <w:pPr>
                    <w:pStyle w:val="91"/>
                    <w:bidi w:val="0"/>
                  </w:pPr>
                  <w:r>
                    <w:rPr>
                      <w:rFonts w:hint="eastAsia" w:cs="Times New Roman"/>
                      <w:color w:val="000000" w:themeColor="text1"/>
                      <w:szCs w:val="21"/>
                      <w:lang w:eastAsia="zh-CN"/>
                      <w14:textFill>
                        <w14:solidFill>
                          <w14:schemeClr w14:val="tx1"/>
                        </w14:solidFill>
                      </w14:textFill>
                    </w:rPr>
                    <w:t>年加工汽车零部件20万套</w:t>
                  </w:r>
                </w:p>
              </w:tc>
            </w:tr>
            <w:tr w14:paraId="7BD15FD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36191D30">
                  <w:pPr>
                    <w:pStyle w:val="91"/>
                    <w:bidi w:val="0"/>
                  </w:pPr>
                  <w:r>
                    <w:t>建设地点</w:t>
                  </w:r>
                </w:p>
              </w:tc>
              <w:tc>
                <w:tcPr>
                  <w:tcW w:w="6508" w:type="dxa"/>
                  <w:gridSpan w:val="4"/>
                  <w:noWrap w:val="0"/>
                  <w:vAlign w:val="center"/>
                </w:tcPr>
                <w:p w14:paraId="14F8575A">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福建省福州市福清市石竹街道融侨开发区</w:t>
                  </w:r>
                </w:p>
                <w:p w14:paraId="6D775BF1">
                  <w:pPr>
                    <w:pStyle w:val="91"/>
                    <w:bidi w:val="0"/>
                  </w:pPr>
                  <w:r>
                    <w:rPr>
                      <w:rFonts w:hint="eastAsia" w:cs="Times New Roman"/>
                      <w:color w:val="000000" w:themeColor="text1"/>
                      <w:szCs w:val="21"/>
                      <w:lang w:eastAsia="zh-CN"/>
                      <w14:textFill>
                        <w14:solidFill>
                          <w14:schemeClr w14:val="tx1"/>
                        </w14:solidFill>
                      </w14:textFill>
                    </w:rPr>
                    <w:t>（租赁</w:t>
                  </w:r>
                  <w:r>
                    <w:rPr>
                      <w:rFonts w:hint="eastAsia" w:ascii="Times New Roman" w:hAnsi="Times New Roman" w:eastAsia="宋体" w:cs="Times New Roman"/>
                      <w:color w:val="000000" w:themeColor="text1"/>
                      <w:szCs w:val="21"/>
                      <w:lang w:eastAsia="zh-CN"/>
                      <w14:textFill>
                        <w14:solidFill>
                          <w14:schemeClr w14:val="tx1"/>
                        </w14:solidFill>
                      </w14:textFill>
                    </w:rPr>
                    <w:t>福州聚德电子有限公司1号厂房三层</w:t>
                  </w:r>
                  <w:r>
                    <w:rPr>
                      <w:rFonts w:hint="eastAsia" w:cs="Times New Roman"/>
                      <w:color w:val="000000" w:themeColor="text1"/>
                      <w:szCs w:val="21"/>
                      <w:lang w:eastAsia="zh-CN"/>
                      <w14:textFill>
                        <w14:solidFill>
                          <w14:schemeClr w14:val="tx1"/>
                        </w14:solidFill>
                      </w14:textFill>
                    </w:rPr>
                    <w:t>）</w:t>
                  </w:r>
                </w:p>
              </w:tc>
            </w:tr>
            <w:tr w14:paraId="7209F9C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26CB311F">
                  <w:pPr>
                    <w:pStyle w:val="91"/>
                    <w:bidi w:val="0"/>
                  </w:pPr>
                  <w:r>
                    <w:t>地理坐标</w:t>
                  </w:r>
                </w:p>
              </w:tc>
              <w:tc>
                <w:tcPr>
                  <w:tcW w:w="1468" w:type="dxa"/>
                  <w:noWrap w:val="0"/>
                  <w:vAlign w:val="center"/>
                </w:tcPr>
                <w:p w14:paraId="04632876">
                  <w:pPr>
                    <w:pStyle w:val="91"/>
                    <w:bidi w:val="0"/>
                  </w:pPr>
                  <w:r>
                    <w:t>经度</w:t>
                  </w:r>
                </w:p>
              </w:tc>
              <w:tc>
                <w:tcPr>
                  <w:tcW w:w="2333" w:type="dxa"/>
                  <w:noWrap w:val="0"/>
                  <w:vAlign w:val="center"/>
                </w:tcPr>
                <w:p w14:paraId="60F9353A">
                  <w:pPr>
                    <w:pStyle w:val="91"/>
                    <w:bidi w:val="0"/>
                  </w:pPr>
                  <w:r>
                    <w:rPr>
                      <w:rFonts w:hint="default" w:ascii="Times New Roman" w:hAnsi="Times New Roman" w:cs="Times New Roman"/>
                      <w:color w:val="000000" w:themeColor="text1"/>
                      <w:szCs w:val="21"/>
                      <w14:textFill>
                        <w14:solidFill>
                          <w14:schemeClr w14:val="tx1"/>
                        </w14:solidFill>
                      </w14:textFill>
                    </w:rPr>
                    <w:t>119°1</w:t>
                  </w:r>
                  <w:r>
                    <w:rPr>
                      <w:rFonts w:hint="default"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31.456</w:t>
                  </w:r>
                  <w:r>
                    <w:rPr>
                      <w:rFonts w:hint="default" w:ascii="Times New Roman" w:hAnsi="Times New Roman" w:cs="Times New Roman"/>
                      <w:color w:val="000000" w:themeColor="text1"/>
                      <w:szCs w:val="21"/>
                      <w14:textFill>
                        <w14:solidFill>
                          <w14:schemeClr w14:val="tx1"/>
                        </w14:solidFill>
                      </w14:textFill>
                    </w:rPr>
                    <w:t>″</w:t>
                  </w:r>
                </w:p>
              </w:tc>
              <w:tc>
                <w:tcPr>
                  <w:tcW w:w="859" w:type="dxa"/>
                  <w:noWrap w:val="0"/>
                  <w:vAlign w:val="center"/>
                </w:tcPr>
                <w:p w14:paraId="444275C3">
                  <w:pPr>
                    <w:pStyle w:val="91"/>
                    <w:bidi w:val="0"/>
                  </w:pPr>
                  <w:r>
                    <w:t>纬度</w:t>
                  </w:r>
                </w:p>
              </w:tc>
              <w:tc>
                <w:tcPr>
                  <w:tcW w:w="1848" w:type="dxa"/>
                  <w:noWrap w:val="0"/>
                  <w:vAlign w:val="center"/>
                </w:tcPr>
                <w:p w14:paraId="0A1BC5E1">
                  <w:pPr>
                    <w:pStyle w:val="91"/>
                    <w:bidi w:val="0"/>
                  </w:pPr>
                  <w:r>
                    <w:rPr>
                      <w:rFonts w:hint="default" w:ascii="Times New Roman" w:hAnsi="Times New Roman" w:cs="Times New Roman"/>
                      <w:color w:val="000000" w:themeColor="text1"/>
                      <w:szCs w:val="21"/>
                      <w14:textFill>
                        <w14:solidFill>
                          <w14:schemeClr w14:val="tx1"/>
                        </w14:solidFill>
                      </w14:textFill>
                    </w:rPr>
                    <w:t>25°</w:t>
                  </w:r>
                  <w:r>
                    <w:rPr>
                      <w:rFonts w:hint="default" w:ascii="Times New Roman" w:hAnsi="Times New Roman" w:cs="Times New Roman"/>
                      <w:color w:val="000000" w:themeColor="text1"/>
                      <w:szCs w:val="21"/>
                      <w:lang w:val="en-US" w:eastAsia="zh-CN"/>
                      <w14:textFill>
                        <w14:solidFill>
                          <w14:schemeClr w14:val="tx1"/>
                        </w14:solidFill>
                      </w14:textFill>
                    </w:rPr>
                    <w:t>45</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18.601</w:t>
                  </w:r>
                  <w:r>
                    <w:rPr>
                      <w:rFonts w:hint="default" w:ascii="Times New Roman" w:hAnsi="Times New Roman" w:cs="Times New Roman"/>
                      <w:color w:val="000000" w:themeColor="text1"/>
                      <w:szCs w:val="21"/>
                      <w14:textFill>
                        <w14:solidFill>
                          <w14:schemeClr w14:val="tx1"/>
                        </w14:solidFill>
                      </w14:textFill>
                    </w:rPr>
                    <w:t>″</w:t>
                  </w:r>
                </w:p>
              </w:tc>
            </w:tr>
            <w:tr w14:paraId="1686488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1D10E17D">
                  <w:pPr>
                    <w:pStyle w:val="91"/>
                    <w:bidi w:val="0"/>
                  </w:pPr>
                  <w:r>
                    <w:t>主要危险物质及分布</w:t>
                  </w:r>
                </w:p>
              </w:tc>
              <w:tc>
                <w:tcPr>
                  <w:tcW w:w="6508" w:type="dxa"/>
                  <w:gridSpan w:val="4"/>
                  <w:noWrap w:val="0"/>
                  <w:vAlign w:val="center"/>
                </w:tcPr>
                <w:p w14:paraId="5B62D725">
                  <w:pPr>
                    <w:pStyle w:val="91"/>
                    <w:bidi w:val="0"/>
                  </w:pPr>
                  <w:r>
                    <w:t>主要的危险物质</w:t>
                  </w:r>
                  <w:r>
                    <w:rPr>
                      <w:rFonts w:hint="eastAsia"/>
                      <w:lang w:eastAsia="zh-CN"/>
                    </w:rPr>
                    <w:t>是水性胶粘剂、水性固化剂、润滑油</w:t>
                  </w:r>
                  <w:r>
                    <w:t>。</w:t>
                  </w:r>
                </w:p>
              </w:tc>
            </w:tr>
            <w:tr w14:paraId="1D769B4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4D43CD81">
                  <w:pPr>
                    <w:pStyle w:val="91"/>
                    <w:bidi w:val="0"/>
                  </w:pPr>
                  <w:r>
                    <w:t>环境影响途径及危害后果（大气、地表水、地下水等）</w:t>
                  </w:r>
                </w:p>
              </w:tc>
              <w:tc>
                <w:tcPr>
                  <w:tcW w:w="6508" w:type="dxa"/>
                  <w:gridSpan w:val="4"/>
                  <w:noWrap w:val="0"/>
                  <w:vAlign w:val="center"/>
                </w:tcPr>
                <w:p w14:paraId="29F493EC">
                  <w:pPr>
                    <w:pStyle w:val="92"/>
                    <w:bidi w:val="0"/>
                  </w:pPr>
                  <w:r>
                    <w:t>（1）</w:t>
                  </w:r>
                  <w:r>
                    <w:rPr>
                      <w:rFonts w:hint="eastAsia"/>
                      <w:lang w:eastAsia="zh-CN"/>
                    </w:rPr>
                    <w:t>水性胶粘剂、水性固化剂、润滑油</w:t>
                  </w:r>
                  <w:r>
                    <w:t>外泄可能进入下水管道、下渗土壤、地下水</w:t>
                  </w:r>
                  <w:r>
                    <w:rPr>
                      <w:rFonts w:hint="eastAsia"/>
                      <w:lang w:eastAsia="zh-CN"/>
                    </w:rPr>
                    <w:t>并</w:t>
                  </w:r>
                  <w:r>
                    <w:t>挥发进入大气。影响周围土壤、地表水、地下水、大气环境及周边居民。</w:t>
                  </w:r>
                </w:p>
                <w:p w14:paraId="17A193C1">
                  <w:pPr>
                    <w:pStyle w:val="92"/>
                    <w:bidi w:val="0"/>
                  </w:pPr>
                  <w:r>
                    <w:t>（2）废气事故排放超标排放影响大气环境</w:t>
                  </w:r>
                </w:p>
                <w:p w14:paraId="05CA1669">
                  <w:pPr>
                    <w:pStyle w:val="92"/>
                    <w:bidi w:val="0"/>
                  </w:pPr>
                  <w:r>
                    <w:t>（3）火灾、爆炸事故产生消防废水经排水管进地表水污染水体</w:t>
                  </w:r>
                  <w:r>
                    <w:rPr>
                      <w:rFonts w:hint="eastAsia"/>
                      <w:lang w:eastAsia="zh-CN"/>
                    </w:rPr>
                    <w:t>，</w:t>
                  </w:r>
                  <w:r>
                    <w:t>燃烧产物将会对周围大气质量和居民健康造成影响。</w:t>
                  </w:r>
                </w:p>
              </w:tc>
            </w:tr>
            <w:tr w14:paraId="2EFC1E3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61" w:type="dxa"/>
                  <w:noWrap w:val="0"/>
                  <w:vAlign w:val="center"/>
                </w:tcPr>
                <w:p w14:paraId="22C1FE88">
                  <w:pPr>
                    <w:pStyle w:val="91"/>
                    <w:bidi w:val="0"/>
                  </w:pPr>
                  <w:r>
                    <w:t>风险防范措施要求</w:t>
                  </w:r>
                </w:p>
              </w:tc>
              <w:tc>
                <w:tcPr>
                  <w:tcW w:w="6508" w:type="dxa"/>
                  <w:gridSpan w:val="4"/>
                  <w:noWrap w:val="0"/>
                  <w:vAlign w:val="center"/>
                </w:tcPr>
                <w:p w14:paraId="6FEE773A">
                  <w:pPr>
                    <w:pStyle w:val="92"/>
                    <w:bidi w:val="0"/>
                    <w:rPr>
                      <w:rFonts w:hint="eastAsia"/>
                    </w:rPr>
                  </w:pPr>
                  <w:r>
                    <w:rPr>
                      <w:rFonts w:hint="eastAsia"/>
                    </w:rPr>
                    <w:t>（1）</w:t>
                  </w:r>
                  <w:r>
                    <w:rPr>
                      <w:rFonts w:hint="eastAsia"/>
                      <w:lang w:eastAsia="zh-CN"/>
                    </w:rPr>
                    <w:t>车间及化学品库、危废间</w:t>
                  </w:r>
                  <w:r>
                    <w:rPr>
                      <w:rFonts w:hint="eastAsia"/>
                    </w:rPr>
                    <w:t>布置有消防器材，周边不能布置火源，并配备泄漏应急处理设施；危废采用不漏水、防腐蚀的密封袋或密封桶储存，危废暂存间按</w:t>
                  </w:r>
                  <w:r>
                    <w:t>《危险废物贮存污染控制标准》</w:t>
                  </w:r>
                  <w:r>
                    <w:rPr>
                      <w:rFonts w:hint="eastAsia"/>
                    </w:rPr>
                    <w:t>（</w:t>
                  </w:r>
                  <w:r>
                    <w:t>GB 18597—2023</w:t>
                  </w:r>
                  <w:r>
                    <w:rPr>
                      <w:rFonts w:hint="eastAsia"/>
                    </w:rPr>
                    <w:t>）的相关要求进行设置。</w:t>
                  </w:r>
                </w:p>
                <w:p w14:paraId="19648EF9">
                  <w:pPr>
                    <w:pStyle w:val="92"/>
                    <w:bidi w:val="0"/>
                  </w:pPr>
                  <w:r>
                    <w:rPr>
                      <w:rFonts w:hint="eastAsia"/>
                    </w:rPr>
                    <w:t>（2）</w:t>
                  </w:r>
                  <w:r>
                    <w:rPr>
                      <w:rFonts w:hint="eastAsia"/>
                      <w:lang w:eastAsia="zh-CN"/>
                    </w:rPr>
                    <w:t>化学品库</w:t>
                  </w:r>
                  <w:r>
                    <w:rPr>
                      <w:rFonts w:hint="eastAsia"/>
                    </w:rPr>
                    <w:t>、危废间的内部地坪宜比门口或墙体开洞低至少0.15m，以确保物料不会溢流到室外；</w:t>
                  </w:r>
                  <w:r>
                    <w:rPr>
                      <w:rFonts w:hint="eastAsia"/>
                      <w:lang w:eastAsia="zh-CN"/>
                    </w:rPr>
                    <w:t>化学品库</w:t>
                  </w:r>
                  <w:r>
                    <w:rPr>
                      <w:rFonts w:hint="eastAsia"/>
                    </w:rPr>
                    <w:t>、危废间的地面基础必须防渗。</w:t>
                  </w:r>
                </w:p>
                <w:p w14:paraId="4F1A913A">
                  <w:pPr>
                    <w:pStyle w:val="92"/>
                    <w:bidi w:val="0"/>
                    <w:rPr>
                      <w:rFonts w:hint="eastAsia"/>
                    </w:rPr>
                  </w:pPr>
                  <w:r>
                    <w:rPr>
                      <w:rFonts w:hint="eastAsia"/>
                    </w:rPr>
                    <w:t>（3）生产车间、危废间设置防火、禁止吸烟等标志；严禁在仓库、生产车间附近吸烟和违章用火；不得将原料或产品堆放于道路，确保消防通道畅通；厂区内</w:t>
                  </w:r>
                  <w:r>
                    <w:rPr>
                      <w:rFonts w:hint="eastAsia"/>
                      <w:lang w:eastAsia="zh-CN"/>
                    </w:rPr>
                    <w:t>设置</w:t>
                  </w:r>
                  <w:r>
                    <w:rPr>
                      <w:rFonts w:hint="eastAsia"/>
                    </w:rPr>
                    <w:t>地上式灭火栓，车间内设置墙式灭火栓箱，配装干粉灭火器等应急灭火器材。</w:t>
                  </w:r>
                </w:p>
                <w:p w14:paraId="1CC6D1C7">
                  <w:pPr>
                    <w:pStyle w:val="92"/>
                    <w:bidi w:val="0"/>
                  </w:pPr>
                  <w:r>
                    <w:rPr>
                      <w:rFonts w:hint="eastAsia"/>
                    </w:rPr>
                    <w:t>（4）按照《国务院办公厅关于印发国家突发环境事件应急预案的通知》国办函[2014]119号、《企业事业单位突发环境事件应急预案备案管理办法（试行）》环发[2015]4号等文件要求编制突发环境事件应急预案，重点分析环境风险影响分析和环境风险防范措施和应急要求</w:t>
                  </w:r>
                  <w:r>
                    <w:rPr>
                      <w:rFonts w:hint="eastAsia"/>
                      <w:lang w:eastAsia="zh-CN"/>
                    </w:rPr>
                    <w:t>，将</w:t>
                  </w:r>
                  <w:r>
                    <w:rPr>
                      <w:rFonts w:hint="eastAsia"/>
                    </w:rPr>
                    <w:t>应急预案向生态环境部门备案，并定期开展应急演练。</w:t>
                  </w:r>
                </w:p>
              </w:tc>
            </w:tr>
            <w:tr w14:paraId="5B5C5F3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1761" w:type="dxa"/>
                  <w:noWrap w:val="0"/>
                  <w:vAlign w:val="center"/>
                </w:tcPr>
                <w:p w14:paraId="1CE08AB3">
                  <w:pPr>
                    <w:pStyle w:val="91"/>
                    <w:bidi w:val="0"/>
                  </w:pPr>
                  <w:r>
                    <w:t>填表说明（列出项目相关信息及评价说明）</w:t>
                  </w:r>
                </w:p>
              </w:tc>
              <w:tc>
                <w:tcPr>
                  <w:tcW w:w="6508" w:type="dxa"/>
                  <w:gridSpan w:val="4"/>
                  <w:noWrap w:val="0"/>
                  <w:vAlign w:val="center"/>
                </w:tcPr>
                <w:p w14:paraId="4063339B">
                  <w:pPr>
                    <w:pStyle w:val="92"/>
                    <w:bidi w:val="0"/>
                  </w:pPr>
                  <w:r>
                    <w:t>主要的危险物质为</w:t>
                  </w:r>
                  <w:r>
                    <w:rPr>
                      <w:rFonts w:hint="eastAsia"/>
                      <w:lang w:eastAsia="zh-CN"/>
                    </w:rPr>
                    <w:t>水性胶粘剂、水性固化剂、润滑油</w:t>
                  </w:r>
                  <w:r>
                    <w:t>。根据《建设项目环境风险评价技术导则》（HJ169-2018），本项目风险评价风险潜势为</w:t>
                  </w:r>
                  <w:r>
                    <w:rPr>
                      <w:rFonts w:hint="eastAsia"/>
                    </w:rPr>
                    <w:t>Ⅰ</w:t>
                  </w:r>
                  <w:r>
                    <w:t>类，评价工作等级为简单分析。根据《建设项目环境风险评价技术导则》（HJ169-2018）附录A，对本项目进行风险识别、环境风险分析，针对可能发生的风险采取了相应的防范措施及应急要求，在采取相应的防范措施及应急要求后，环境风险可以控制在可接受风险水平之内。</w:t>
                  </w:r>
                </w:p>
              </w:tc>
            </w:tr>
          </w:tbl>
          <w:p w14:paraId="15BC1F59">
            <w:pPr>
              <w:pStyle w:val="4"/>
              <w:bidi w:val="0"/>
              <w:ind w:left="0" w:leftChars="0" w:firstLine="0" w:firstLineChars="0"/>
              <w:outlineLvl w:val="9"/>
              <w:rPr>
                <w:rFonts w:hint="default"/>
              </w:rPr>
            </w:pPr>
            <w:r>
              <w:rPr>
                <w:rFonts w:hint="eastAsia"/>
                <w:lang w:val="en-US" w:eastAsia="zh-CN"/>
              </w:rPr>
              <w:t xml:space="preserve">4.7.6 </w:t>
            </w:r>
            <w:r>
              <w:rPr>
                <w:rFonts w:hint="default"/>
              </w:rPr>
              <w:t>风险分析结论</w:t>
            </w:r>
          </w:p>
          <w:p w14:paraId="2647F6DA">
            <w:pPr>
              <w:pStyle w:val="43"/>
              <w:bidi w:val="0"/>
              <w:rPr>
                <w:rFonts w:hint="default"/>
                <w:lang w:val="en-GB"/>
              </w:rPr>
            </w:pPr>
            <w:r>
              <w:rPr>
                <w:rFonts w:hint="default"/>
                <w:lang w:val="en-GB"/>
              </w:rPr>
              <w:t>本项目</w:t>
            </w:r>
            <w:r>
              <w:rPr>
                <w:rFonts w:hint="eastAsia"/>
                <w:lang w:val="en-GB" w:eastAsia="zh-CN"/>
              </w:rPr>
              <w:t>风险物质在厂区内贮存量较少</w:t>
            </w:r>
            <w:r>
              <w:rPr>
                <w:rFonts w:hint="default"/>
                <w:lang w:val="en-GB"/>
              </w:rPr>
              <w:t>，不构成重大危险源。</w:t>
            </w:r>
            <w:r>
              <w:rPr>
                <w:rFonts w:hint="eastAsia"/>
                <w:lang w:val="en-GB" w:eastAsia="zh-CN"/>
              </w:rPr>
              <w:t>在</w:t>
            </w:r>
            <w:r>
              <w:rPr>
                <w:rFonts w:hint="default"/>
                <w:lang w:val="en-GB" w:eastAsia="zh-CN"/>
              </w:rPr>
              <w:t>配套相应的</w:t>
            </w:r>
            <w:r>
              <w:rPr>
                <w:rFonts w:hint="eastAsia"/>
                <w:lang w:val="en-GB" w:eastAsia="zh-CN"/>
              </w:rPr>
              <w:t>应急物资</w:t>
            </w:r>
            <w:r>
              <w:rPr>
                <w:rFonts w:hint="default"/>
                <w:lang w:val="en-GB" w:eastAsia="zh-CN"/>
              </w:rPr>
              <w:t>，</w:t>
            </w:r>
            <w:r>
              <w:rPr>
                <w:rFonts w:hint="default"/>
                <w:lang w:val="en-GB"/>
              </w:rPr>
              <w:t>在加强厂区防火管理、完善事故应急预案的基础上，事故发生概率很低，经过采取妥善的风险防范措施，本项目环境风险在可接受的范围内。</w:t>
            </w:r>
          </w:p>
          <w:p w14:paraId="352F834C">
            <w:pPr>
              <w:pStyle w:val="3"/>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 xml:space="preserve"> 环保投资概算</w:t>
            </w:r>
            <w:bookmarkEnd w:id="30"/>
            <w:bookmarkEnd w:id="31"/>
            <w:bookmarkEnd w:id="32"/>
          </w:p>
          <w:p w14:paraId="59137DDD">
            <w:pPr>
              <w:pStyle w:val="4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项目的环保设施投资主要内容及估算如表4.</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-1所示：</w:t>
            </w:r>
          </w:p>
          <w:p w14:paraId="7C8CEB77">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-1  环保措施投资估算表</w:t>
            </w:r>
            <w:r>
              <w:rPr>
                <w:rFonts w:hint="default" w:ascii="Times New Roman" w:hAnsi="Times New Roman" w:cs="Times New Roman"/>
                <w:color w:val="000000" w:themeColor="text1"/>
                <w:lang w:val="en-US" w:eastAsia="zh-CN"/>
                <w14:textFill>
                  <w14:solidFill>
                    <w14:schemeClr w14:val="tx1"/>
                  </w14:solidFill>
                </w14:textFill>
              </w:rPr>
              <w:t xml:space="preserve">   单位：万元</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6131"/>
              <w:gridCol w:w="1086"/>
            </w:tblGrid>
            <w:tr w14:paraId="56177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noWrap w:val="0"/>
                  <w:vAlign w:val="center"/>
                </w:tcPr>
                <w:p w14:paraId="52026AD6">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w:t>
                  </w:r>
                </w:p>
              </w:tc>
              <w:tc>
                <w:tcPr>
                  <w:tcW w:w="3641" w:type="pct"/>
                  <w:noWrap w:val="0"/>
                  <w:vAlign w:val="center"/>
                </w:tcPr>
                <w:p w14:paraId="4E1EA90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治理措施或设施</w:t>
                  </w:r>
                </w:p>
              </w:tc>
              <w:tc>
                <w:tcPr>
                  <w:tcW w:w="645" w:type="pct"/>
                  <w:noWrap w:val="0"/>
                  <w:vAlign w:val="center"/>
                </w:tcPr>
                <w:p w14:paraId="40E8CDA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投资</w:t>
                  </w:r>
                </w:p>
              </w:tc>
            </w:tr>
            <w:tr w14:paraId="42D29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noWrap w:val="0"/>
                  <w:vAlign w:val="center"/>
                </w:tcPr>
                <w:p w14:paraId="3B7E4E0D">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3641" w:type="pct"/>
                  <w:noWrap w:val="0"/>
                  <w:vAlign w:val="center"/>
                </w:tcPr>
                <w:p w14:paraId="2E106BC7">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生活污水依托出租方已建化粪池处理后排入市政污水管网</w:t>
                  </w:r>
                </w:p>
              </w:tc>
              <w:tc>
                <w:tcPr>
                  <w:tcW w:w="645" w:type="pct"/>
                  <w:noWrap w:val="0"/>
                  <w:vAlign w:val="center"/>
                </w:tcPr>
                <w:p w14:paraId="3B50E30F">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p>
              </w:tc>
            </w:tr>
            <w:tr w14:paraId="0C914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13" w:type="pct"/>
                  <w:noWrap w:val="0"/>
                  <w:vAlign w:val="center"/>
                </w:tcPr>
                <w:p w14:paraId="2E3AA81B">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w:t>
                  </w:r>
                </w:p>
              </w:tc>
              <w:tc>
                <w:tcPr>
                  <w:tcW w:w="3641" w:type="pct"/>
                  <w:noWrap w:val="0"/>
                  <w:vAlign w:val="center"/>
                </w:tcPr>
                <w:p w14:paraId="5C9CCA55">
                  <w:pPr>
                    <w:pStyle w:val="47"/>
                    <w:bidi w:val="0"/>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废气收集管道和一套干式过滤器+二级活性炭吸附装置</w:t>
                  </w:r>
                </w:p>
              </w:tc>
              <w:tc>
                <w:tcPr>
                  <w:tcW w:w="645" w:type="pct"/>
                  <w:noWrap w:val="0"/>
                  <w:vAlign w:val="center"/>
                </w:tcPr>
                <w:p w14:paraId="7F2C97CB">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color w:val="000000" w:themeColor="text1"/>
                      <w:lang w:val="en-US"/>
                      <w14:textFill>
                        <w14:solidFill>
                          <w14:schemeClr w14:val="tx1"/>
                        </w14:solidFill>
                      </w14:textFill>
                    </w:rPr>
                  </w:pPr>
                  <w:r>
                    <w:rPr>
                      <w:rFonts w:hint="eastAsia" w:cs="Times New Roman"/>
                      <w:b w:val="0"/>
                      <w:bCs w:val="0"/>
                      <w:i w:val="0"/>
                      <w:iCs w:val="0"/>
                      <w:smallCaps w:val="0"/>
                      <w:strike w:val="0"/>
                      <w:color w:val="000000" w:themeColor="text1"/>
                      <w:sz w:val="21"/>
                      <w:szCs w:val="21"/>
                      <w:lang w:val="en-US" w:eastAsia="zh-CN"/>
                      <w14:textFill>
                        <w14:solidFill>
                          <w14:schemeClr w14:val="tx1"/>
                        </w14:solidFill>
                      </w14:textFill>
                    </w:rPr>
                    <w:t>30</w:t>
                  </w:r>
                </w:p>
              </w:tc>
            </w:tr>
            <w:tr w14:paraId="4E3D8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noWrap w:val="0"/>
                  <w:vAlign w:val="center"/>
                </w:tcPr>
                <w:p w14:paraId="2C2AA4D3">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3641" w:type="pct"/>
                  <w:noWrap w:val="0"/>
                  <w:vAlign w:val="center"/>
                </w:tcPr>
                <w:p w14:paraId="05F16064">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隔声、减振等综合降噪措施</w:t>
                  </w:r>
                </w:p>
              </w:tc>
              <w:tc>
                <w:tcPr>
                  <w:tcW w:w="645" w:type="pct"/>
                  <w:noWrap w:val="0"/>
                  <w:vAlign w:val="center"/>
                </w:tcPr>
                <w:p w14:paraId="2C9F06DE">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r>
            <w:tr w14:paraId="5160B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noWrap w:val="0"/>
                  <w:vAlign w:val="center"/>
                </w:tcPr>
                <w:p w14:paraId="1BAB514C">
                  <w:pPr>
                    <w:pStyle w:val="4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w:t>
                  </w:r>
                </w:p>
              </w:tc>
              <w:tc>
                <w:tcPr>
                  <w:tcW w:w="3641" w:type="pct"/>
                  <w:noWrap w:val="0"/>
                  <w:vAlign w:val="center"/>
                </w:tcPr>
                <w:p w14:paraId="19FD559D">
                  <w:pPr>
                    <w:pStyle w:val="47"/>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固废收集装置、</w:t>
                  </w:r>
                  <w:r>
                    <w:rPr>
                      <w:rFonts w:hint="eastAsia" w:cs="Times New Roman"/>
                      <w:color w:val="000000" w:themeColor="text1"/>
                      <w:lang w:eastAsia="zh-CN"/>
                      <w14:textFill>
                        <w14:solidFill>
                          <w14:schemeClr w14:val="tx1"/>
                        </w14:solidFill>
                      </w14:textFill>
                    </w:rPr>
                    <w:t>危废间</w:t>
                  </w:r>
                </w:p>
              </w:tc>
              <w:tc>
                <w:tcPr>
                  <w:tcW w:w="645" w:type="pct"/>
                  <w:noWrap w:val="0"/>
                  <w:vAlign w:val="center"/>
                </w:tcPr>
                <w:p w14:paraId="4006D2D9">
                  <w:pPr>
                    <w:pStyle w:val="4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r>
            <w:tr w14:paraId="1A996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4" w:type="pct"/>
                  <w:gridSpan w:val="2"/>
                  <w:noWrap w:val="0"/>
                  <w:vAlign w:val="center"/>
                </w:tcPr>
                <w:p w14:paraId="09E97242">
                  <w:pPr>
                    <w:pStyle w:val="47"/>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合计</w:t>
                  </w:r>
                </w:p>
              </w:tc>
              <w:tc>
                <w:tcPr>
                  <w:tcW w:w="645" w:type="pct"/>
                  <w:noWrap w:val="0"/>
                  <w:vAlign w:val="center"/>
                </w:tcPr>
                <w:p w14:paraId="77C4F482">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31.5</w:t>
                  </w:r>
                </w:p>
              </w:tc>
            </w:tr>
          </w:tbl>
          <w:p w14:paraId="20CE49C5">
            <w:pPr>
              <w:pStyle w:val="43"/>
              <w:bidi w:val="0"/>
              <w:ind w:left="0" w:leftChars="0" w:firstLine="0" w:firstLineChars="0"/>
              <w:rPr>
                <w:rFonts w:hint="default" w:ascii="Times New Roman" w:hAnsi="Times New Roman" w:cs="Times New Roman"/>
                <w:color w:val="000000" w:themeColor="text1"/>
                <w14:textFill>
                  <w14:solidFill>
                    <w14:schemeClr w14:val="tx1"/>
                  </w14:solidFill>
                </w14:textFill>
              </w:rPr>
            </w:pPr>
          </w:p>
        </w:tc>
      </w:tr>
    </w:tbl>
    <w:p w14:paraId="2030F23F">
      <w:pPr>
        <w:pStyle w:val="13"/>
        <w:rPr>
          <w:rFonts w:hint="default" w:ascii="Times New Roman" w:hAnsi="Times New Roman" w:cs="Times New Roma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D223675">
      <w:pPr>
        <w:pStyle w:val="22"/>
        <w:jc w:val="center"/>
        <w:outlineLvl w:val="0"/>
        <w:rPr>
          <w:rFonts w:hint="default" w:ascii="Times New Roman" w:hAnsi="Times New Roman" w:eastAsia="黑体" w:cs="Times New Roman"/>
          <w:snapToGrid w:val="0"/>
          <w:sz w:val="30"/>
          <w:szCs w:val="30"/>
        </w:rPr>
      </w:pPr>
      <w:bookmarkStart w:id="33" w:name="_Toc22329"/>
      <w:bookmarkStart w:id="34" w:name="_Toc13915"/>
      <w:bookmarkStart w:id="35" w:name="_Toc3825"/>
      <w:bookmarkStart w:id="36" w:name="_Toc19176"/>
      <w:r>
        <w:rPr>
          <w:rFonts w:hint="default" w:ascii="Times New Roman" w:hAnsi="Times New Roman" w:eastAsia="黑体" w:cs="Times New Roman"/>
          <w:snapToGrid w:val="0"/>
          <w:sz w:val="30"/>
          <w:szCs w:val="30"/>
        </w:rPr>
        <w:t>五、</w:t>
      </w:r>
      <w:bookmarkStart w:id="37" w:name="_Hlk54167917"/>
      <w:r>
        <w:rPr>
          <w:rFonts w:hint="default" w:ascii="Times New Roman" w:hAnsi="Times New Roman" w:eastAsia="黑体" w:cs="Times New Roman"/>
          <w:snapToGrid w:val="0"/>
          <w:sz w:val="30"/>
          <w:szCs w:val="30"/>
        </w:rPr>
        <w:t>环境保护措施监督检查清单</w:t>
      </w:r>
      <w:bookmarkEnd w:id="33"/>
      <w:bookmarkEnd w:id="34"/>
      <w:bookmarkEnd w:id="35"/>
      <w:bookmarkEnd w:id="36"/>
      <w:bookmarkEnd w:id="37"/>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293"/>
        <w:gridCol w:w="1021"/>
        <w:gridCol w:w="2246"/>
        <w:gridCol w:w="3586"/>
      </w:tblGrid>
      <w:tr w14:paraId="1512F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tcBorders>
              <w:tl2br w:val="single" w:color="auto" w:sz="4" w:space="0"/>
            </w:tcBorders>
            <w:noWrap w:val="0"/>
            <w:vAlign w:val="top"/>
          </w:tcPr>
          <w:p w14:paraId="5E5709A1">
            <w:pPr>
              <w:adjustRightInd w:val="0"/>
              <w:snapToGrid w:val="0"/>
              <w:jc w:val="righ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内容</w:t>
            </w:r>
          </w:p>
          <w:p w14:paraId="6642F63A">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要素</w:t>
            </w:r>
          </w:p>
        </w:tc>
        <w:tc>
          <w:tcPr>
            <w:tcW w:w="1293" w:type="dxa"/>
            <w:noWrap w:val="0"/>
            <w:vAlign w:val="center"/>
          </w:tcPr>
          <w:p w14:paraId="69D78F3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排放口(编号、名称)/污染源</w:t>
            </w:r>
          </w:p>
        </w:tc>
        <w:tc>
          <w:tcPr>
            <w:tcW w:w="1021" w:type="dxa"/>
            <w:noWrap w:val="0"/>
            <w:vAlign w:val="center"/>
          </w:tcPr>
          <w:p w14:paraId="4991EC0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w:t>
            </w:r>
          </w:p>
          <w:p w14:paraId="5AD1DF6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w:t>
            </w:r>
          </w:p>
        </w:tc>
        <w:tc>
          <w:tcPr>
            <w:tcW w:w="2246" w:type="dxa"/>
            <w:noWrap w:val="0"/>
            <w:vAlign w:val="center"/>
          </w:tcPr>
          <w:p w14:paraId="4D0AE79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环境保护措施</w:t>
            </w:r>
          </w:p>
        </w:tc>
        <w:tc>
          <w:tcPr>
            <w:tcW w:w="3586" w:type="dxa"/>
            <w:noWrap w:val="0"/>
            <w:vAlign w:val="center"/>
          </w:tcPr>
          <w:p w14:paraId="1F6B3DA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执行标准</w:t>
            </w:r>
          </w:p>
        </w:tc>
      </w:tr>
      <w:tr w14:paraId="04118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restart"/>
            <w:noWrap w:val="0"/>
            <w:vAlign w:val="center"/>
          </w:tcPr>
          <w:p w14:paraId="751018D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1293" w:type="dxa"/>
            <w:noWrap w:val="0"/>
            <w:vAlign w:val="center"/>
          </w:tcPr>
          <w:p w14:paraId="31136A7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eastAsia" w:cs="Times New Roman"/>
                <w:color w:val="000000" w:themeColor="text1"/>
                <w:szCs w:val="21"/>
                <w:lang w:val="en-US" w:eastAsia="zh-CN"/>
                <w14:textFill>
                  <w14:solidFill>
                    <w14:schemeClr w14:val="tx1"/>
                  </w14:solidFill>
                </w14:textFill>
              </w:rPr>
              <w:t>工艺</w:t>
            </w:r>
            <w:r>
              <w:rPr>
                <w:rFonts w:hint="default" w:ascii="Times New Roman" w:hAnsi="Times New Roman" w:cs="Times New Roman"/>
                <w:color w:val="000000" w:themeColor="text1"/>
                <w:szCs w:val="21"/>
                <w:lang w:val="en-US" w:eastAsia="zh-CN"/>
                <w14:textFill>
                  <w14:solidFill>
                    <w14:schemeClr w14:val="tx1"/>
                  </w14:solidFill>
                </w14:textFill>
              </w:rPr>
              <w:t>废气排放口/</w:t>
            </w:r>
            <w:r>
              <w:rPr>
                <w:rFonts w:hint="eastAsia" w:cs="Times New Roman"/>
                <w:color w:val="000000" w:themeColor="text1"/>
                <w:szCs w:val="21"/>
                <w:lang w:val="en-US" w:eastAsia="zh-CN"/>
                <w14:textFill>
                  <w14:solidFill>
                    <w14:schemeClr w14:val="tx1"/>
                  </w14:solidFill>
                </w14:textFill>
              </w:rPr>
              <w:t>调胶、喷胶、辊胶、烘干、热铆焊接</w:t>
            </w:r>
          </w:p>
        </w:tc>
        <w:tc>
          <w:tcPr>
            <w:tcW w:w="1021" w:type="dxa"/>
            <w:noWrap w:val="0"/>
            <w:vAlign w:val="center"/>
          </w:tcPr>
          <w:p w14:paraId="62E9F2E1">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颗粒物、非甲烷总烃</w:t>
            </w:r>
          </w:p>
          <w:p w14:paraId="08D6849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246" w:type="dxa"/>
            <w:noWrap w:val="0"/>
            <w:vAlign w:val="center"/>
          </w:tcPr>
          <w:p w14:paraId="3438CAE0">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废气经收集汇总后通过1套</w:t>
            </w:r>
            <w:r>
              <w:rPr>
                <w:rFonts w:hint="eastAsia" w:cs="Times New Roman"/>
                <w:color w:val="000000" w:themeColor="text1"/>
                <w:szCs w:val="21"/>
                <w:lang w:eastAsia="zh-CN"/>
                <w14:textFill>
                  <w14:solidFill>
                    <w14:schemeClr w14:val="tx1"/>
                  </w14:solidFill>
                </w14:textFill>
              </w:rPr>
              <w:t>干式过滤器</w:t>
            </w:r>
            <w:r>
              <w:rPr>
                <w:rFonts w:hint="eastAsia"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二级活性炭吸附装置</w:t>
            </w:r>
            <w:r>
              <w:rPr>
                <w:rFonts w:hint="default" w:ascii="Times New Roman" w:hAnsi="Times New Roman" w:cs="Times New Roman"/>
                <w:color w:val="000000" w:themeColor="text1"/>
                <w:szCs w:val="21"/>
                <w14:textFill>
                  <w14:solidFill>
                    <w14:schemeClr w14:val="tx1"/>
                  </w14:solidFill>
                </w14:textFill>
              </w:rPr>
              <w:t>处理达标后</w:t>
            </w:r>
            <w:r>
              <w:rPr>
                <w:rFonts w:hint="eastAsia" w:cs="Times New Roman"/>
                <w:color w:val="000000" w:themeColor="text1"/>
                <w:szCs w:val="21"/>
                <w:lang w:eastAsia="zh-CN"/>
                <w14:textFill>
                  <w14:solidFill>
                    <w14:schemeClr w14:val="tx1"/>
                  </w14:solidFill>
                </w14:textFill>
              </w:rPr>
              <w:t>引至屋面排气筒</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DA001,H=</w:t>
            </w:r>
            <w:r>
              <w:rPr>
                <w:rFonts w:hint="default" w:ascii="Times New Roman" w:hAnsi="Times New Roman" w:cs="Times New Roman"/>
                <w:color w:val="000000" w:themeColor="text1"/>
                <w:szCs w:val="21"/>
                <w:lang w:val="en-US" w:eastAsia="zh-CN"/>
                <w14:textFill>
                  <w14:solidFill>
                    <w14:schemeClr w14:val="tx1"/>
                  </w14:solidFill>
                </w14:textFill>
              </w:rPr>
              <w:t>27</w:t>
            </w:r>
            <w:r>
              <w:rPr>
                <w:rFonts w:hint="default"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lang w:eastAsia="zh-CN"/>
                <w14:textFill>
                  <w14:solidFill>
                    <w14:schemeClr w14:val="tx1"/>
                  </w14:solidFill>
                </w14:textFill>
              </w:rPr>
              <w:t>)</w:t>
            </w:r>
          </w:p>
        </w:tc>
        <w:tc>
          <w:tcPr>
            <w:tcW w:w="3586" w:type="dxa"/>
            <w:noWrap w:val="0"/>
            <w:vAlign w:val="center"/>
          </w:tcPr>
          <w:p w14:paraId="7A18458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eastAsia="宋体" w:cs="Times New Roman"/>
                <w:color w:val="000000" w:themeColor="text1"/>
                <w14:textFill>
                  <w14:solidFill>
                    <w14:schemeClr w14:val="tx1"/>
                  </w14:solidFill>
                </w14:textFill>
              </w:rPr>
              <w:t>颗粒物执行《大气污染物综合排放标准》(GB16297-1996)中表2二级标准</w:t>
            </w:r>
            <w:r>
              <w:rPr>
                <w:rFonts w:hint="default" w:ascii="Times New Roman" w:hAnsi="Times New Roman" w:cs="Times New Roman"/>
                <w:color w:val="000000" w:themeColor="text1"/>
                <w:szCs w:val="21"/>
                <w14:textFill>
                  <w14:solidFill>
                    <w14:schemeClr w14:val="tx1"/>
                  </w14:solidFill>
                </w14:textFill>
              </w:rPr>
              <w:t>(即</w:t>
            </w:r>
            <w:r>
              <w:rPr>
                <w:rFonts w:hint="eastAsia" w:cs="Times New Roman"/>
                <w:color w:val="000000" w:themeColor="text1"/>
                <w:szCs w:val="21"/>
                <w:lang w:eastAsia="zh-CN"/>
                <w14:textFill>
                  <w14:solidFill>
                    <w14:schemeClr w14:val="tx1"/>
                  </w14:solidFill>
                </w14:textFill>
              </w:rPr>
              <w:t>颗粒物</w:t>
            </w:r>
            <w:r>
              <w:rPr>
                <w:rFonts w:hint="default" w:ascii="Times New Roman" w:hAnsi="Times New Roman" w:cs="Times New Roman"/>
                <w:color w:val="000000" w:themeColor="text1"/>
                <w:szCs w:val="21"/>
                <w14:textFill>
                  <w14:solidFill>
                    <w14:schemeClr w14:val="tx1"/>
                  </w14:solidFill>
                </w14:textFill>
              </w:rPr>
              <w:t>排放浓度≤</w:t>
            </w:r>
            <w:r>
              <w:rPr>
                <w:rFonts w:hint="eastAsia" w:cs="Times New Roman"/>
                <w:color w:val="000000" w:themeColor="text1"/>
                <w:szCs w:val="21"/>
                <w:lang w:val="en-US" w:eastAsia="zh-CN"/>
                <w14:textFill>
                  <w14:solidFill>
                    <w14:schemeClr w14:val="tx1"/>
                  </w14:solidFill>
                </w14:textFill>
              </w:rPr>
              <w:t>120</w:t>
            </w:r>
            <w:r>
              <w:rPr>
                <w:rFonts w:hint="default" w:ascii="Times New Roman" w:hAnsi="Times New Roman" w:cs="Times New Roman"/>
                <w:color w:val="000000" w:themeColor="text1"/>
                <w:szCs w:val="21"/>
                <w14:textFill>
                  <w14:solidFill>
                    <w14:schemeClr w14:val="tx1"/>
                  </w14:solidFill>
                </w14:textFill>
              </w:rPr>
              <w:t>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eastAsia" w:cs="Times New Roman"/>
                <w:color w:val="000000" w:themeColor="text1"/>
                <w:szCs w:val="21"/>
                <w:vertAlign w:val="baseline"/>
                <w:lang w:eastAsia="zh-CN"/>
                <w14:textFill>
                  <w14:solidFill>
                    <w14:schemeClr w14:val="tx1"/>
                  </w14:solidFill>
                </w14:textFill>
              </w:rPr>
              <w:t>，排放速率从严</w:t>
            </w:r>
            <w:r>
              <w:rPr>
                <w:rFonts w:hint="eastAsia" w:cs="Times New Roman"/>
                <w:color w:val="000000" w:themeColor="text1"/>
                <w:szCs w:val="21"/>
                <w:vertAlign w:val="baseline"/>
                <w:lang w:val="en-US" w:eastAsia="zh-CN"/>
                <w14:textFill>
                  <w14:solidFill>
                    <w14:schemeClr w14:val="tx1"/>
                  </w14:solidFill>
                </w14:textFill>
              </w:rPr>
              <w:t>50%≤8.92kg/h</w:t>
            </w:r>
            <w:r>
              <w:rPr>
                <w:rFonts w:hint="default" w:ascii="Times New Roman" w:hAnsi="Times New Roman" w:cs="Times New Roman"/>
                <w:color w:val="000000" w:themeColor="text1"/>
                <w:szCs w:val="21"/>
                <w14:textFill>
                  <w14:solidFill>
                    <w14:schemeClr w14:val="tx1"/>
                  </w14:solidFill>
                </w14:textFill>
              </w:rPr>
              <w:t>)；</w:t>
            </w:r>
          </w:p>
          <w:p w14:paraId="279107D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w:t>
            </w:r>
            <w:r>
              <w:rPr>
                <w:rFonts w:hint="eastAsia" w:cs="Times New Roman"/>
                <w:color w:val="000000" w:themeColor="text1"/>
                <w:szCs w:val="21"/>
                <w:lang w:eastAsia="zh-CN"/>
                <w14:textFill>
                  <w14:solidFill>
                    <w14:schemeClr w14:val="tx1"/>
                  </w14:solidFill>
                </w14:textFill>
              </w:rPr>
              <w:t>非甲烷总烃</w:t>
            </w:r>
            <w:r>
              <w:rPr>
                <w:rFonts w:hint="default" w:ascii="Times New Roman" w:hAnsi="Times New Roman" w:cs="Times New Roman"/>
                <w:color w:val="000000" w:themeColor="text1"/>
                <w:szCs w:val="21"/>
                <w14:textFill>
                  <w14:solidFill>
                    <w14:schemeClr w14:val="tx1"/>
                  </w14:solidFill>
                </w14:textFill>
              </w:rPr>
              <w:t>执行《工业企业挥发性有机物排放标准》（DB35/1782-2018)表1其他行业标准(即</w:t>
            </w:r>
            <w:r>
              <w:rPr>
                <w:rFonts w:hint="eastAsia" w:cs="Times New Roman"/>
                <w:color w:val="000000" w:themeColor="text1"/>
                <w:szCs w:val="21"/>
                <w:lang w:eastAsia="zh-CN"/>
                <w14:textFill>
                  <w14:solidFill>
                    <w14:schemeClr w14:val="tx1"/>
                  </w14:solidFill>
                </w14:textFill>
              </w:rPr>
              <w:t>非甲烷总烃</w:t>
            </w:r>
            <w:r>
              <w:rPr>
                <w:rFonts w:hint="default" w:ascii="Times New Roman" w:hAnsi="Times New Roman" w:cs="Times New Roman"/>
                <w:color w:val="000000" w:themeColor="text1"/>
                <w:szCs w:val="21"/>
                <w14:textFill>
                  <w14:solidFill>
                    <w14:schemeClr w14:val="tx1"/>
                  </w14:solidFill>
                </w14:textFill>
              </w:rPr>
              <w:t>排放浓度≤</w:t>
            </w:r>
            <w:r>
              <w:rPr>
                <w:rFonts w:hint="eastAsia" w:cs="Times New Roman"/>
                <w:color w:val="000000" w:themeColor="text1"/>
                <w:szCs w:val="21"/>
                <w:lang w:val="en-US" w:eastAsia="zh-CN"/>
                <w14:textFill>
                  <w14:solidFill>
                    <w14:schemeClr w14:val="tx1"/>
                  </w14:solidFill>
                </w14:textFill>
              </w:rPr>
              <w:t>100</w:t>
            </w:r>
            <w:r>
              <w:rPr>
                <w:rFonts w:hint="default" w:ascii="Times New Roman" w:hAnsi="Times New Roman" w:cs="Times New Roman"/>
                <w:color w:val="000000" w:themeColor="text1"/>
                <w:szCs w:val="21"/>
                <w14:textFill>
                  <w14:solidFill>
                    <w14:schemeClr w14:val="tx1"/>
                  </w14:solidFill>
                </w14:textFill>
              </w:rPr>
              <w:t>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eastAsia" w:cs="Times New Roman"/>
                <w:color w:val="000000" w:themeColor="text1"/>
                <w:szCs w:val="21"/>
                <w:vertAlign w:val="baseline"/>
                <w:lang w:eastAsia="zh-CN"/>
                <w14:textFill>
                  <w14:solidFill>
                    <w14:schemeClr w14:val="tx1"/>
                  </w14:solidFill>
                </w14:textFill>
              </w:rPr>
              <w:t>，排放速率</w:t>
            </w:r>
            <w:r>
              <w:rPr>
                <w:rFonts w:hint="eastAsia" w:cs="Times New Roman"/>
                <w:color w:val="000000" w:themeColor="text1"/>
                <w:szCs w:val="21"/>
                <w:vertAlign w:val="baseline"/>
                <w:lang w:val="en-US" w:eastAsia="zh-CN"/>
                <w14:textFill>
                  <w14:solidFill>
                    <w14:schemeClr w14:val="tx1"/>
                  </w14:solidFill>
                </w14:textFill>
              </w:rPr>
              <w:t>≤7.8kg/h</w:t>
            </w:r>
            <w:r>
              <w:rPr>
                <w:rFonts w:hint="default" w:ascii="Times New Roman" w:hAnsi="Times New Roman" w:eastAsia="宋体" w:cs="Times New Roman"/>
                <w:color w:val="000000" w:themeColor="text1"/>
                <w:szCs w:val="21"/>
                <w14:textFill>
                  <w14:solidFill>
                    <w14:schemeClr w14:val="tx1"/>
                  </w14:solidFill>
                </w14:textFill>
              </w:rPr>
              <w:t>)</w:t>
            </w:r>
          </w:p>
        </w:tc>
      </w:tr>
      <w:tr w14:paraId="0EB60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continue"/>
            <w:noWrap w:val="0"/>
            <w:vAlign w:val="center"/>
          </w:tcPr>
          <w:p w14:paraId="499FD15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293" w:type="dxa"/>
            <w:noWrap w:val="0"/>
            <w:vAlign w:val="center"/>
          </w:tcPr>
          <w:p w14:paraId="3DC94EE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w:t>
            </w:r>
          </w:p>
        </w:tc>
        <w:tc>
          <w:tcPr>
            <w:tcW w:w="1021" w:type="dxa"/>
            <w:noWrap w:val="0"/>
            <w:vAlign w:val="center"/>
          </w:tcPr>
          <w:p w14:paraId="73036A2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颗粒物、非甲烷总烃</w:t>
            </w:r>
          </w:p>
        </w:tc>
        <w:tc>
          <w:tcPr>
            <w:tcW w:w="2246" w:type="dxa"/>
            <w:vMerge w:val="restart"/>
            <w:noWrap w:val="0"/>
            <w:vAlign w:val="center"/>
          </w:tcPr>
          <w:p w14:paraId="63CE82C6">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加强废气的收集；定期更换</w:t>
            </w:r>
            <w:r>
              <w:rPr>
                <w:rFonts w:hint="eastAsia" w:cs="Times New Roman"/>
                <w:color w:val="000000" w:themeColor="text1"/>
                <w:szCs w:val="21"/>
                <w:lang w:val="en-US" w:eastAsia="zh-CN"/>
                <w14:textFill>
                  <w14:solidFill>
                    <w14:schemeClr w14:val="tx1"/>
                  </w14:solidFill>
                </w14:textFill>
              </w:rPr>
              <w:t>干式过滤器滤材以及</w:t>
            </w:r>
            <w:r>
              <w:rPr>
                <w:rFonts w:hint="default" w:ascii="Times New Roman" w:hAnsi="Times New Roman" w:cs="Times New Roman"/>
                <w:color w:val="000000" w:themeColor="text1"/>
                <w:szCs w:val="21"/>
                <w:lang w:val="en-US" w:eastAsia="zh-CN"/>
                <w14:textFill>
                  <w14:solidFill>
                    <w14:schemeClr w14:val="tx1"/>
                  </w14:solidFill>
                </w14:textFill>
              </w:rPr>
              <w:t>活性炭以保证处理设备达到最佳处理效果</w:t>
            </w:r>
          </w:p>
        </w:tc>
        <w:tc>
          <w:tcPr>
            <w:tcW w:w="3586" w:type="dxa"/>
            <w:noWrap w:val="0"/>
            <w:vAlign w:val="center"/>
          </w:tcPr>
          <w:p w14:paraId="07F9BA38">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w:t>
            </w:r>
            <w:r>
              <w:rPr>
                <w:rFonts w:hint="default" w:ascii="Times New Roman" w:hAnsi="Times New Roman" w:eastAsia="宋体" w:cs="Times New Roman"/>
                <w:color w:val="000000" w:themeColor="text1"/>
                <w:sz w:val="21"/>
                <w:szCs w:val="21"/>
                <w14:textFill>
                  <w14:solidFill>
                    <w14:schemeClr w14:val="tx1"/>
                  </w14:solidFill>
                </w14:textFill>
              </w:rPr>
              <w:t>《大气污染物综合排放标准》(GB16297-1996)二级标准无组织排放监控浓度限值(即颗粒物≤1.0mg/m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p w14:paraId="5A0524F1">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非甲烷总烃执行</w:t>
            </w:r>
            <w:r>
              <w:rPr>
                <w:rFonts w:hint="eastAsia" w:cs="Times New Roman"/>
                <w:color w:val="000000" w:themeColor="text1"/>
                <w:lang w:val="en-US" w:eastAsia="zh-CN"/>
                <w14:textFill>
                  <w14:solidFill>
                    <w14:schemeClr w14:val="tx1"/>
                  </w14:solidFill>
                </w14:textFill>
              </w:rPr>
              <w:t>《工业企业挥发性有机物排放标准》（DB35/1782-2018)表3</w:t>
            </w:r>
            <w:r>
              <w:rPr>
                <w:rFonts w:hint="default" w:ascii="Times New Roman" w:hAnsi="Times New Roman" w:cs="Times New Roman"/>
                <w:color w:val="000000" w:themeColor="text1"/>
                <w:lang w:val="en-US" w:eastAsia="zh-CN"/>
                <w14:textFill>
                  <w14:solidFill>
                    <w14:schemeClr w14:val="tx1"/>
                  </w14:solidFill>
                </w14:textFill>
              </w:rPr>
              <w:t>标准</w:t>
            </w:r>
            <w:r>
              <w:rPr>
                <w:rFonts w:hint="eastAsia" w:ascii="Times New Roman" w:hAnsi="Times New Roman" w:cs="Times New Roman"/>
                <w:color w:val="000000" w:themeColor="text1"/>
                <w:lang w:val="en-US" w:eastAsia="zh-CN"/>
                <w14:textFill>
                  <w14:solidFill>
                    <w14:schemeClr w14:val="tx1"/>
                  </w14:solidFill>
                </w14:textFill>
              </w:rPr>
              <w:t>限值</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即非甲烷总烃≤2.0mg/m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1BA1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continue"/>
            <w:noWrap w:val="0"/>
            <w:vAlign w:val="center"/>
          </w:tcPr>
          <w:p w14:paraId="2D3BACF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293" w:type="dxa"/>
            <w:noWrap w:val="0"/>
            <w:vAlign w:val="center"/>
          </w:tcPr>
          <w:p w14:paraId="4633EAD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厂内</w:t>
            </w:r>
          </w:p>
        </w:tc>
        <w:tc>
          <w:tcPr>
            <w:tcW w:w="1021" w:type="dxa"/>
            <w:noWrap w:val="0"/>
            <w:vAlign w:val="center"/>
          </w:tcPr>
          <w:p w14:paraId="54027A2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非甲烷总烃</w:t>
            </w:r>
          </w:p>
        </w:tc>
        <w:tc>
          <w:tcPr>
            <w:tcW w:w="2246" w:type="dxa"/>
            <w:vMerge w:val="continue"/>
            <w:noWrap w:val="0"/>
            <w:vAlign w:val="center"/>
          </w:tcPr>
          <w:p w14:paraId="29B37C23">
            <w:pPr>
              <w:adjustRightInd w:val="0"/>
              <w:snapToGrid w:val="0"/>
              <w:jc w:val="center"/>
              <w:rPr>
                <w:rFonts w:hint="default" w:ascii="Times New Roman" w:hAnsi="Times New Roman" w:cs="Times New Roman"/>
                <w:color w:val="000000" w:themeColor="text1"/>
                <w:szCs w:val="21"/>
                <w:lang w:eastAsia="zh-CN"/>
                <w14:textFill>
                  <w14:solidFill>
                    <w14:schemeClr w14:val="tx1"/>
                  </w14:solidFill>
                </w14:textFill>
              </w:rPr>
            </w:pPr>
          </w:p>
        </w:tc>
        <w:tc>
          <w:tcPr>
            <w:tcW w:w="3586" w:type="dxa"/>
            <w:noWrap w:val="0"/>
            <w:vAlign w:val="center"/>
          </w:tcPr>
          <w:p w14:paraId="0752E6E7">
            <w:pPr>
              <w:adjustRightInd w:val="0"/>
              <w:snapToGrid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执行《挥发性有机物无组织排放控制标准》(GB37822-2019)中附录A表A.1特别标准限值(</w:t>
            </w:r>
            <w:r>
              <w:rPr>
                <w:rFonts w:hint="default" w:ascii="Times New Roman" w:hAnsi="Times New Roman" w:cs="Times New Roman"/>
                <w:color w:val="000000" w:themeColor="text1"/>
                <w:szCs w:val="21"/>
                <w:lang w:val="en-US" w:eastAsia="zh-CN"/>
                <w14:textFill>
                  <w14:solidFill>
                    <w14:schemeClr w14:val="tx1"/>
                  </w14:solidFill>
                </w14:textFill>
              </w:rPr>
              <w:t>即：</w:t>
            </w:r>
            <w:r>
              <w:rPr>
                <w:rFonts w:hint="default" w:ascii="Times New Roman" w:hAnsi="Times New Roman" w:cs="Times New Roman"/>
                <w:color w:val="000000" w:themeColor="text1"/>
                <w:szCs w:val="21"/>
                <w14:textFill>
                  <w14:solidFill>
                    <w14:schemeClr w14:val="tx1"/>
                  </w14:solidFill>
                </w14:textFill>
              </w:rPr>
              <w:t>非甲烷总烃厂区内监控点1h平均浓度值≤6.0mg/m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、非甲烷总烃厂区内监控点任意一次浓度值≤20.0mg/m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eastAsia="zh-CN"/>
                <w14:textFill>
                  <w14:solidFill>
                    <w14:schemeClr w14:val="tx1"/>
                  </w14:solidFill>
                </w14:textFill>
              </w:rPr>
              <w:t>。</w:t>
            </w:r>
          </w:p>
        </w:tc>
      </w:tr>
      <w:tr w14:paraId="7E7B5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noWrap w:val="0"/>
            <w:vAlign w:val="center"/>
          </w:tcPr>
          <w:p w14:paraId="347ADB4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w:t>
            </w:r>
          </w:p>
        </w:tc>
        <w:tc>
          <w:tcPr>
            <w:tcW w:w="1293" w:type="dxa"/>
            <w:noWrap w:val="0"/>
            <w:vAlign w:val="center"/>
          </w:tcPr>
          <w:p w14:paraId="2E40CB29">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厂区生活污水</w:t>
            </w:r>
            <w:r>
              <w:rPr>
                <w:rFonts w:hint="default" w:ascii="Times New Roman" w:hAnsi="Times New Roman" w:cs="Times New Roman"/>
                <w:color w:val="000000" w:themeColor="text1"/>
                <w:szCs w:val="21"/>
                <w:lang w:eastAsia="zh-CN"/>
                <w14:textFill>
                  <w14:solidFill>
                    <w14:schemeClr w14:val="tx1"/>
                  </w14:solidFill>
                </w14:textFill>
              </w:rPr>
              <w:t>总排口</w:t>
            </w:r>
            <w:r>
              <w:rPr>
                <w:rFonts w:hint="default" w:ascii="Times New Roman" w:hAnsi="Times New Roman" w:cs="Times New Roman"/>
                <w:color w:val="000000" w:themeColor="text1"/>
                <w:szCs w:val="21"/>
                <w:lang w:val="en-US" w:eastAsia="zh-CN"/>
                <w14:textFill>
                  <w14:solidFill>
                    <w14:schemeClr w14:val="tx1"/>
                  </w14:solidFill>
                </w14:textFill>
              </w:rPr>
              <w:t>(DW001)</w:t>
            </w:r>
          </w:p>
        </w:tc>
        <w:tc>
          <w:tcPr>
            <w:tcW w:w="1021" w:type="dxa"/>
            <w:noWrap w:val="0"/>
            <w:vAlign w:val="center"/>
          </w:tcPr>
          <w:p w14:paraId="3C016CAC">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pH、COD、BOD</w:t>
            </w:r>
            <w:r>
              <w:rPr>
                <w:rFonts w:hint="default" w:ascii="Times New Roman" w:hAnsi="Times New Roman" w:cs="Times New Roman"/>
                <w:color w:val="000000" w:themeColor="text1"/>
                <w:szCs w:val="21"/>
                <w:vertAlign w:val="subscript"/>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、悬浮物、氨氮</w:t>
            </w:r>
          </w:p>
        </w:tc>
        <w:tc>
          <w:tcPr>
            <w:tcW w:w="2246" w:type="dxa"/>
            <w:noWrap w:val="0"/>
            <w:vAlign w:val="center"/>
          </w:tcPr>
          <w:p w14:paraId="70F495D6">
            <w:pPr>
              <w:pStyle w:val="64"/>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生活污水经化粪池预处理后排入市政污水管网送往福清市第二污水处理厂集中处理</w:t>
            </w:r>
          </w:p>
        </w:tc>
        <w:tc>
          <w:tcPr>
            <w:tcW w:w="3586" w:type="dxa"/>
            <w:noWrap w:val="0"/>
            <w:vAlign w:val="center"/>
          </w:tcPr>
          <w:p w14:paraId="3F72CA5C">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COD、BOD</w:t>
            </w:r>
            <w:r>
              <w:rPr>
                <w:rFonts w:hint="default" w:ascii="Times New Roman" w:hAnsi="Times New Roman" w:cs="Times New Roman"/>
                <w:color w:val="000000" w:themeColor="text1"/>
                <w:szCs w:val="21"/>
                <w:vertAlign w:val="subscript"/>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、悬浮物、氨氮</w:t>
            </w:r>
            <w:r>
              <w:rPr>
                <w:rFonts w:hint="eastAsia" w:cs="Times New Roman"/>
                <w:color w:val="000000" w:themeColor="text1"/>
                <w:szCs w:val="21"/>
                <w:lang w:eastAsia="zh-CN"/>
                <w14:textFill>
                  <w14:solidFill>
                    <w14:schemeClr w14:val="tx1"/>
                  </w14:solidFill>
                </w14:textFill>
              </w:rPr>
              <w:t>执行</w:t>
            </w:r>
            <w:r>
              <w:rPr>
                <w:rFonts w:hint="default" w:ascii="Times New Roman" w:hAnsi="Times New Roman" w:cs="Times New Roman"/>
                <w:color w:val="000000" w:themeColor="text1"/>
                <w:szCs w:val="21"/>
                <w:lang w:eastAsia="zh-CN"/>
                <w14:textFill>
                  <w14:solidFill>
                    <w14:schemeClr w14:val="tx1"/>
                  </w14:solidFill>
                </w14:textFill>
              </w:rPr>
              <w:t>《污水综合排放标准》(GB8978-1996)表4三级标准</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氨氮执行《污水排入城镇下水道水质标准》(GB/T 31962-2015)表1中B级标准限值)(</w:t>
            </w:r>
            <w:r>
              <w:rPr>
                <w:rFonts w:hint="default" w:ascii="Times New Roman" w:hAnsi="Times New Roman" w:cs="Times New Roman"/>
                <w:color w:val="000000" w:themeColor="text1"/>
                <w:szCs w:val="21"/>
                <w:lang w:val="en-US" w:eastAsia="zh-CN"/>
                <w14:textFill>
                  <w14:solidFill>
                    <w14:schemeClr w14:val="tx1"/>
                  </w14:solidFill>
                </w14:textFill>
              </w:rPr>
              <w:t>即：pH 6-9，COD≤500mg/L，BOD</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5</w:t>
            </w:r>
            <w:r>
              <w:rPr>
                <w:rFonts w:hint="default" w:ascii="Times New Roman" w:hAnsi="Times New Roman" w:cs="Times New Roman"/>
                <w:color w:val="000000" w:themeColor="text1"/>
                <w:szCs w:val="21"/>
                <w:lang w:val="en-US" w:eastAsia="zh-CN"/>
                <w14:textFill>
                  <w14:solidFill>
                    <w14:schemeClr w14:val="tx1"/>
                  </w14:solidFill>
                </w14:textFill>
              </w:rPr>
              <w:t>≤300mg/L，SS≤400mg/L，NH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-N≤45mg/L</w:t>
            </w:r>
            <w:r>
              <w:rPr>
                <w:rFonts w:hint="default" w:ascii="Times New Roman" w:hAnsi="Times New Roman" w:cs="Times New Roman"/>
                <w:color w:val="000000" w:themeColor="text1"/>
                <w:szCs w:val="21"/>
                <w:lang w:eastAsia="zh-CN"/>
                <w14:textFill>
                  <w14:solidFill>
                    <w14:schemeClr w14:val="tx1"/>
                  </w14:solidFill>
                </w14:textFill>
              </w:rPr>
              <w:t>)</w:t>
            </w:r>
          </w:p>
        </w:tc>
      </w:tr>
      <w:tr w14:paraId="038AA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noWrap w:val="0"/>
            <w:vAlign w:val="center"/>
          </w:tcPr>
          <w:p w14:paraId="50C579F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声环境</w:t>
            </w:r>
          </w:p>
        </w:tc>
        <w:tc>
          <w:tcPr>
            <w:tcW w:w="1293" w:type="dxa"/>
            <w:noWrap w:val="0"/>
            <w:vAlign w:val="center"/>
          </w:tcPr>
          <w:p w14:paraId="0D32CDD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厂界四周</w:t>
            </w:r>
          </w:p>
        </w:tc>
        <w:tc>
          <w:tcPr>
            <w:tcW w:w="1021" w:type="dxa"/>
            <w:noWrap w:val="0"/>
            <w:vAlign w:val="center"/>
          </w:tcPr>
          <w:p w14:paraId="02367D27">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he-IL"/>
                <w14:textFill>
                  <w14:solidFill>
                    <w14:schemeClr w14:val="tx1"/>
                  </w14:solidFill>
                </w14:textFill>
              </w:rPr>
              <w:t>等效A声级</w:t>
            </w:r>
          </w:p>
        </w:tc>
        <w:tc>
          <w:tcPr>
            <w:tcW w:w="2246" w:type="dxa"/>
            <w:noWrap w:val="0"/>
            <w:vAlign w:val="center"/>
          </w:tcPr>
          <w:p w14:paraId="17EC99D8">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GB" w:eastAsia="zh-CN" w:bidi="he-IL"/>
                <w14:textFill>
                  <w14:solidFill>
                    <w14:schemeClr w14:val="tx1"/>
                  </w14:solidFill>
                </w14:textFill>
              </w:rPr>
              <w:t>选用低噪声设备，加强设备维护，高噪声设备设置基础减振、隔声等措施</w:t>
            </w:r>
          </w:p>
        </w:tc>
        <w:tc>
          <w:tcPr>
            <w:tcW w:w="3586" w:type="dxa"/>
            <w:noWrap w:val="0"/>
            <w:vAlign w:val="center"/>
          </w:tcPr>
          <w:p w14:paraId="78266C00">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厂</w:t>
            </w:r>
            <w:r>
              <w:rPr>
                <w:rFonts w:hint="default" w:ascii="Times New Roman" w:hAnsi="Times New Roman" w:cs="Times New Roman"/>
                <w:color w:val="000000" w:themeColor="text1"/>
                <w:szCs w:val="21"/>
                <w:lang w:val="en-US" w:eastAsia="zh-CN"/>
                <w14:textFill>
                  <w14:solidFill>
                    <w14:schemeClr w14:val="tx1"/>
                  </w14:solidFill>
                </w14:textFill>
              </w:rPr>
              <w:t>界</w:t>
            </w:r>
            <w:r>
              <w:rPr>
                <w:rFonts w:hint="eastAsia" w:ascii="Times New Roman" w:hAnsi="Times New Roman" w:cs="Times New Roman"/>
                <w:color w:val="000000" w:themeColor="text1"/>
                <w:szCs w:val="21"/>
                <w:lang w:val="en-US" w:eastAsia="zh-CN"/>
                <w14:textFill>
                  <w14:solidFill>
                    <w14:schemeClr w14:val="tx1"/>
                  </w14:solidFill>
                </w14:textFill>
              </w:rPr>
              <w:t>四周</w:t>
            </w:r>
            <w:r>
              <w:rPr>
                <w:rFonts w:hint="default" w:ascii="Times New Roman" w:hAnsi="Times New Roman" w:eastAsia="宋体" w:cs="Times New Roman"/>
                <w:color w:val="000000" w:themeColor="text1"/>
                <w:szCs w:val="21"/>
                <w:lang w:val="en-US" w:eastAsia="zh-CN"/>
                <w14:textFill>
                  <w14:solidFill>
                    <w14:schemeClr w14:val="tx1"/>
                  </w14:solidFill>
                </w14:textFill>
              </w:rPr>
              <w:t>执行《工业企业厂界环境噪声排放标准》(GB12348-2008)表1中</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类标准(昼间≤6</w:t>
            </w:r>
            <w:r>
              <w:rPr>
                <w:rFonts w:hint="default" w:ascii="Times New Roman" w:hAnsi="Times New Roman"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val="en-US" w:eastAsia="zh-CN"/>
                <w14:textFill>
                  <w14:solidFill>
                    <w14:schemeClr w14:val="tx1"/>
                  </w14:solidFill>
                </w14:textFill>
              </w:rPr>
              <w:t>dB)</w:t>
            </w:r>
          </w:p>
        </w:tc>
      </w:tr>
      <w:tr w14:paraId="19426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restart"/>
            <w:noWrap w:val="0"/>
            <w:vAlign w:val="center"/>
          </w:tcPr>
          <w:p w14:paraId="55C1C98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固体废物</w:t>
            </w:r>
          </w:p>
        </w:tc>
        <w:tc>
          <w:tcPr>
            <w:tcW w:w="1293" w:type="dxa"/>
            <w:noWrap w:val="0"/>
            <w:vAlign w:val="center"/>
          </w:tcPr>
          <w:p w14:paraId="0B6F14B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一般工业固废</w:t>
            </w:r>
          </w:p>
        </w:tc>
        <w:tc>
          <w:tcPr>
            <w:tcW w:w="1021" w:type="dxa"/>
            <w:noWrap w:val="0"/>
            <w:vAlign w:val="center"/>
          </w:tcPr>
          <w:p w14:paraId="3F7D6631">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边角料、废包装材料</w:t>
            </w:r>
          </w:p>
        </w:tc>
        <w:tc>
          <w:tcPr>
            <w:tcW w:w="2246" w:type="dxa"/>
            <w:noWrap w:val="0"/>
            <w:vAlign w:val="center"/>
          </w:tcPr>
          <w:p w14:paraId="44F174FE">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default" w:ascii="Times New Roman" w:hAnsi="Times New Roman" w:eastAsia="宋体" w:cs="Times New Roman"/>
                <w:color w:val="000000" w:themeColor="text1"/>
                <w:szCs w:val="21"/>
                <w:lang w:val="en-GB" w:eastAsia="zh-CN"/>
                <w14:textFill>
                  <w14:solidFill>
                    <w14:schemeClr w14:val="tx1"/>
                  </w14:solidFill>
                </w14:textFill>
              </w:rPr>
              <w:t>暂存于一般工业固废暂存间，收集出售给回收企业综合利用</w:t>
            </w:r>
          </w:p>
        </w:tc>
        <w:tc>
          <w:tcPr>
            <w:tcW w:w="3586" w:type="dxa"/>
            <w:noWrap w:val="0"/>
            <w:vAlign w:val="center"/>
          </w:tcPr>
          <w:p w14:paraId="1DF2783E">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default" w:ascii="Times New Roman" w:hAnsi="Times New Roman" w:eastAsia="宋体" w:cs="Times New Roman"/>
                <w:color w:val="000000" w:themeColor="text1"/>
                <w:szCs w:val="21"/>
                <w:lang w:val="en-GB" w:eastAsia="zh-CN"/>
                <w14:textFill>
                  <w14:solidFill>
                    <w14:schemeClr w14:val="tx1"/>
                  </w14:solidFill>
                </w14:textFill>
              </w:rPr>
              <w:t>满足《</w:t>
            </w:r>
            <w:r>
              <w:rPr>
                <w:rFonts w:hint="default" w:ascii="Times New Roman" w:hAnsi="Times New Roman" w:eastAsia="宋体" w:cs="Times New Roman"/>
                <w:color w:val="000000" w:themeColor="text1"/>
                <w:szCs w:val="21"/>
                <w:lang w:val="en-US" w:eastAsia="zh-CN"/>
                <w14:textFill>
                  <w14:solidFill>
                    <w14:schemeClr w14:val="tx1"/>
                  </w14:solidFill>
                </w14:textFill>
              </w:rPr>
              <w:t>一般工业固体废物贮存和填埋污染控制标准</w:t>
            </w:r>
            <w:r>
              <w:rPr>
                <w:rFonts w:hint="default" w:ascii="Times New Roman" w:hAnsi="Times New Roman" w:eastAsia="宋体" w:cs="Times New Roman"/>
                <w:color w:val="000000" w:themeColor="text1"/>
                <w:szCs w:val="21"/>
                <w:lang w:val="en-GB"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(GB18599-2020)</w:t>
            </w:r>
            <w:r>
              <w:rPr>
                <w:rFonts w:hint="default" w:ascii="Times New Roman" w:hAnsi="Times New Roman" w:eastAsia="宋体" w:cs="Times New Roman"/>
                <w:color w:val="000000" w:themeColor="text1"/>
                <w:szCs w:val="21"/>
                <w:lang w:val="en-GB" w:eastAsia="zh-CN"/>
                <w14:textFill>
                  <w14:solidFill>
                    <w14:schemeClr w14:val="tx1"/>
                  </w14:solidFill>
                </w14:textFill>
              </w:rPr>
              <w:t>的相关要求</w:t>
            </w:r>
          </w:p>
        </w:tc>
      </w:tr>
      <w:tr w14:paraId="59C75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vMerge w:val="continue"/>
            <w:noWrap w:val="0"/>
            <w:vAlign w:val="center"/>
          </w:tcPr>
          <w:p w14:paraId="04EB620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293" w:type="dxa"/>
            <w:noWrap w:val="0"/>
            <w:vAlign w:val="center"/>
          </w:tcPr>
          <w:p w14:paraId="31E1788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危险废物</w:t>
            </w:r>
          </w:p>
        </w:tc>
        <w:tc>
          <w:tcPr>
            <w:tcW w:w="1021" w:type="dxa"/>
            <w:noWrap w:val="0"/>
            <w:vAlign w:val="center"/>
          </w:tcPr>
          <w:p w14:paraId="3B42585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废润滑油、废润滑油桶、胶渣、废空桶、废活性炭、含胶清洗废水</w:t>
            </w:r>
          </w:p>
        </w:tc>
        <w:tc>
          <w:tcPr>
            <w:tcW w:w="2246" w:type="dxa"/>
            <w:noWrap w:val="0"/>
            <w:vAlign w:val="center"/>
          </w:tcPr>
          <w:p w14:paraId="32CD2987">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default" w:ascii="Times New Roman" w:hAnsi="Times New Roman" w:eastAsia="宋体" w:cs="Times New Roman"/>
                <w:color w:val="000000" w:themeColor="text1"/>
                <w:szCs w:val="21"/>
                <w:lang w:val="en-GB" w:eastAsia="zh-CN"/>
                <w14:textFill>
                  <w14:solidFill>
                    <w14:schemeClr w14:val="tx1"/>
                  </w14:solidFill>
                </w14:textFill>
              </w:rPr>
              <w:t>设置</w:t>
            </w:r>
            <w:r>
              <w:rPr>
                <w:rFonts w:hint="eastAsia" w:cs="Times New Roman"/>
                <w:color w:val="000000" w:themeColor="text1"/>
                <w:szCs w:val="21"/>
                <w:lang w:val="en-GB" w:eastAsia="zh-CN"/>
                <w14:textFill>
                  <w14:solidFill>
                    <w14:schemeClr w14:val="tx1"/>
                  </w14:solidFill>
                </w14:textFill>
              </w:rPr>
              <w:t>危废间</w:t>
            </w:r>
            <w:r>
              <w:rPr>
                <w:rFonts w:hint="default" w:ascii="Times New Roman" w:hAnsi="Times New Roman" w:eastAsia="宋体" w:cs="Times New Roman"/>
                <w:color w:val="000000" w:themeColor="text1"/>
                <w:szCs w:val="21"/>
                <w:lang w:val="en-GB" w:eastAsia="zh-CN"/>
                <w14:textFill>
                  <w14:solidFill>
                    <w14:schemeClr w14:val="tx1"/>
                  </w14:solidFill>
                </w14:textFill>
              </w:rPr>
              <w:t>，妥善分类收集后定期委托有资质的单位进行处置</w:t>
            </w:r>
          </w:p>
        </w:tc>
        <w:tc>
          <w:tcPr>
            <w:tcW w:w="3586" w:type="dxa"/>
            <w:noWrap w:val="0"/>
            <w:vAlign w:val="center"/>
          </w:tcPr>
          <w:p w14:paraId="37BAD77F">
            <w:pPr>
              <w:adjustRightInd w:val="0"/>
              <w:snapToGrid w:val="0"/>
              <w:jc w:val="center"/>
              <w:rPr>
                <w:rFonts w:hint="default" w:ascii="Times New Roman" w:hAnsi="Times New Roman" w:eastAsia="宋体" w:cs="Times New Roman"/>
                <w:color w:val="000000" w:themeColor="text1"/>
                <w:szCs w:val="21"/>
                <w:lang w:val="en-GB" w:eastAsia="zh-CN"/>
                <w14:textFill>
                  <w14:solidFill>
                    <w14:schemeClr w14:val="tx1"/>
                  </w14:solidFill>
                </w14:textFill>
              </w:rPr>
            </w:pPr>
            <w:r>
              <w:rPr>
                <w:rFonts w:hint="default" w:ascii="Times New Roman" w:hAnsi="Times New Roman" w:eastAsia="宋体" w:cs="Times New Roman"/>
                <w:color w:val="000000" w:themeColor="text1"/>
                <w:szCs w:val="21"/>
                <w:lang w:val="en-GB" w:eastAsia="zh-CN"/>
                <w14:textFill>
                  <w14:solidFill>
                    <w14:schemeClr w14:val="tx1"/>
                  </w14:solidFill>
                </w14:textFill>
              </w:rPr>
              <w:t>危废贮存满足《危险废物贮存污染控制标准》(GB 18597-20</w:t>
            </w:r>
            <w:r>
              <w:rPr>
                <w:rFonts w:hint="default" w:ascii="Times New Roman" w:hAnsi="Times New Roman" w:eastAsia="宋体" w:cs="Times New Roman"/>
                <w:color w:val="000000" w:themeColor="text1"/>
                <w:szCs w:val="21"/>
                <w:lang w:val="en-US" w:eastAsia="zh-CN"/>
                <w14:textFill>
                  <w14:solidFill>
                    <w14:schemeClr w14:val="tx1"/>
                  </w14:solidFill>
                </w14:textFill>
              </w:rPr>
              <w:t>23</w:t>
            </w:r>
            <w:r>
              <w:rPr>
                <w:rFonts w:hint="default" w:ascii="Times New Roman" w:hAnsi="Times New Roman" w:eastAsia="宋体" w:cs="Times New Roman"/>
                <w:color w:val="000000" w:themeColor="text1"/>
                <w:szCs w:val="21"/>
                <w:lang w:val="en-GB" w:eastAsia="zh-CN"/>
                <w14:textFill>
                  <w14:solidFill>
                    <w14:schemeClr w14:val="tx1"/>
                  </w14:solidFill>
                </w14:textFill>
              </w:rPr>
              <w:t>)要求；</w:t>
            </w:r>
            <w:r>
              <w:rPr>
                <w:rFonts w:hint="default" w:ascii="Times New Roman" w:hAnsi="Times New Roman" w:eastAsia="宋体" w:cs="Times New Roman"/>
                <w:color w:val="000000" w:themeColor="text1"/>
                <w:szCs w:val="21"/>
                <w:lang w:val="en-US" w:eastAsia="zh-CN"/>
                <w14:textFill>
                  <w14:solidFill>
                    <w14:schemeClr w14:val="tx1"/>
                  </w14:solidFill>
                </w14:textFill>
              </w:rPr>
              <w:t>危废转移按《危险废物转移管理办法》要求执行</w:t>
            </w:r>
          </w:p>
        </w:tc>
      </w:tr>
      <w:tr w14:paraId="6334E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14" w:type="dxa"/>
            <w:vMerge w:val="continue"/>
            <w:noWrap w:val="0"/>
            <w:vAlign w:val="center"/>
          </w:tcPr>
          <w:p w14:paraId="30F8847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293" w:type="dxa"/>
            <w:noWrap w:val="0"/>
            <w:vAlign w:val="center"/>
          </w:tcPr>
          <w:p w14:paraId="4DD166A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生活垃圾</w:t>
            </w:r>
          </w:p>
        </w:tc>
        <w:tc>
          <w:tcPr>
            <w:tcW w:w="1021" w:type="dxa"/>
            <w:noWrap w:val="0"/>
            <w:vAlign w:val="center"/>
          </w:tcPr>
          <w:p w14:paraId="4EB7162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纸屑、塑料等</w:t>
            </w:r>
          </w:p>
        </w:tc>
        <w:tc>
          <w:tcPr>
            <w:tcW w:w="2246" w:type="dxa"/>
            <w:noWrap w:val="0"/>
            <w:vAlign w:val="center"/>
          </w:tcPr>
          <w:p w14:paraId="444D4A3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GB" w:eastAsia="zh-CN"/>
                <w14:textFill>
                  <w14:solidFill>
                    <w14:schemeClr w14:val="tx1"/>
                  </w14:solidFill>
                </w14:textFill>
              </w:rPr>
              <w:t>垃圾桶收集，市政环卫部门统一清运处理</w:t>
            </w:r>
          </w:p>
        </w:tc>
        <w:tc>
          <w:tcPr>
            <w:tcW w:w="3586" w:type="dxa"/>
            <w:noWrap w:val="0"/>
            <w:vAlign w:val="center"/>
          </w:tcPr>
          <w:p w14:paraId="1BE9AAD5">
            <w:pPr>
              <w:adjustRightInd w:val="0"/>
              <w:snapToGrid w:val="0"/>
              <w:spacing w:line="3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he-IL"/>
                <w14:textFill>
                  <w14:solidFill>
                    <w14:schemeClr w14:val="tx1"/>
                  </w14:solidFill>
                </w14:textFill>
              </w:rPr>
              <w:t>验收落实</w:t>
            </w:r>
          </w:p>
        </w:tc>
      </w:tr>
      <w:tr w14:paraId="7BD51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914" w:type="dxa"/>
            <w:noWrap w:val="0"/>
            <w:vAlign w:val="center"/>
          </w:tcPr>
          <w:p w14:paraId="7DB7870C">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土壤及地下水</w:t>
            </w:r>
          </w:p>
          <w:p w14:paraId="32130072">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污染防治措施</w:t>
            </w:r>
          </w:p>
        </w:tc>
        <w:tc>
          <w:tcPr>
            <w:tcW w:w="8146" w:type="dxa"/>
            <w:gridSpan w:val="4"/>
            <w:noWrap w:val="0"/>
            <w:vAlign w:val="center"/>
          </w:tcPr>
          <w:p w14:paraId="7CC77FB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合理进行防渗区域划分，</w:t>
            </w:r>
            <w:r>
              <w:rPr>
                <w:rFonts w:hint="eastAsia" w:cs="Times New Roman"/>
                <w:color w:val="000000" w:themeColor="text1"/>
                <w:szCs w:val="21"/>
                <w:lang w:eastAsia="zh-CN"/>
                <w14:textFill>
                  <w14:solidFill>
                    <w14:schemeClr w14:val="tx1"/>
                  </w14:solidFill>
                </w14:textFill>
              </w:rPr>
              <w:t>危废间、</w:t>
            </w:r>
            <w:r>
              <w:rPr>
                <w:rFonts w:hint="eastAsia" w:cs="Times New Roman"/>
                <w:color w:val="000000" w:themeColor="text1"/>
                <w:szCs w:val="21"/>
                <w:lang w:val="en-US" w:eastAsia="zh-CN"/>
                <w14:textFill>
                  <w14:solidFill>
                    <w14:schemeClr w14:val="tx1"/>
                  </w14:solidFill>
                </w14:textFill>
              </w:rPr>
              <w:t>化学品库</w:t>
            </w:r>
            <w:r>
              <w:rPr>
                <w:rFonts w:hint="default" w:ascii="Times New Roman" w:hAnsi="Times New Roman" w:cs="Times New Roman"/>
                <w:color w:val="000000" w:themeColor="text1"/>
                <w:szCs w:val="21"/>
                <w14:textFill>
                  <w14:solidFill>
                    <w14:schemeClr w14:val="tx1"/>
                  </w14:solidFill>
                </w14:textFill>
              </w:rPr>
              <w:t>地面采取防渗，按重点污染区防渗要求进行建设；一般工业固废间、项目生产车间等按一般污染区防渗要求进行建设</w:t>
            </w:r>
            <w:r>
              <w:rPr>
                <w:rFonts w:hint="eastAsia" w:cs="Times New Roman"/>
                <w:color w:val="000000" w:themeColor="text1"/>
                <w:szCs w:val="21"/>
                <w:lang w:eastAsia="zh-CN"/>
                <w14:textFill>
                  <w14:solidFill>
                    <w14:schemeClr w14:val="tx1"/>
                  </w14:solidFill>
                </w14:textFill>
              </w:rPr>
              <w:t>且</w:t>
            </w:r>
            <w:r>
              <w:rPr>
                <w:rFonts w:hint="default" w:ascii="Times New Roman" w:hAnsi="Times New Roman" w:cs="Times New Roman"/>
                <w:color w:val="000000" w:themeColor="text1"/>
                <w:szCs w:val="21"/>
                <w14:textFill>
                  <w14:solidFill>
                    <w14:schemeClr w14:val="tx1"/>
                  </w14:solidFill>
                </w14:textFill>
              </w:rPr>
              <w:t>具有防雨、防渗、防风、防日晒等功能</w:t>
            </w:r>
          </w:p>
        </w:tc>
      </w:tr>
      <w:tr w14:paraId="740CB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4" w:type="dxa"/>
            <w:noWrap w:val="0"/>
            <w:vAlign w:val="center"/>
          </w:tcPr>
          <w:p w14:paraId="09F4A791">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生态保护措施</w:t>
            </w:r>
          </w:p>
        </w:tc>
        <w:tc>
          <w:tcPr>
            <w:tcW w:w="8146" w:type="dxa"/>
            <w:gridSpan w:val="4"/>
            <w:noWrap w:val="0"/>
            <w:vAlign w:val="center"/>
          </w:tcPr>
          <w:p w14:paraId="35ABA3D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无</w:t>
            </w:r>
          </w:p>
        </w:tc>
      </w:tr>
      <w:tr w14:paraId="30050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914" w:type="dxa"/>
            <w:noWrap w:val="0"/>
            <w:vAlign w:val="center"/>
          </w:tcPr>
          <w:p w14:paraId="13EFD8E1">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环境风险防范措施</w:t>
            </w:r>
          </w:p>
        </w:tc>
        <w:tc>
          <w:tcPr>
            <w:tcW w:w="8146" w:type="dxa"/>
            <w:gridSpan w:val="4"/>
            <w:noWrap w:val="0"/>
            <w:vAlign w:val="center"/>
          </w:tcPr>
          <w:p w14:paraId="3C83C59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危废间、</w:t>
            </w:r>
            <w:r>
              <w:rPr>
                <w:rFonts w:hint="eastAsia" w:cs="Times New Roman"/>
                <w:color w:val="000000" w:themeColor="text1"/>
                <w:szCs w:val="21"/>
                <w:lang w:val="en-US" w:eastAsia="zh-CN"/>
                <w14:textFill>
                  <w14:solidFill>
                    <w14:schemeClr w14:val="tx1"/>
                  </w14:solidFill>
                </w14:textFill>
              </w:rPr>
              <w:t>化学品库</w:t>
            </w:r>
            <w:r>
              <w:rPr>
                <w:rFonts w:hint="default" w:ascii="Times New Roman" w:hAnsi="Times New Roman" w:cs="Times New Roman"/>
                <w:color w:val="000000" w:themeColor="text1"/>
                <w:szCs w:val="21"/>
                <w14:textFill>
                  <w14:solidFill>
                    <w14:schemeClr w14:val="tx1"/>
                  </w14:solidFill>
                </w14:textFill>
              </w:rPr>
              <w:t>地面采取防渗等风险防范措施；厂区内严禁烟火，严格动火审批制度；配备相应的堵漏材料(</w:t>
            </w:r>
            <w:r>
              <w:rPr>
                <w:rFonts w:hint="eastAsia" w:cs="Times New Roman"/>
                <w:color w:val="000000" w:themeColor="text1"/>
                <w:szCs w:val="21"/>
                <w:lang w:eastAsia="zh-CN"/>
                <w14:textFill>
                  <w14:solidFill>
                    <w14:schemeClr w14:val="tx1"/>
                  </w14:solidFill>
                </w14:textFill>
              </w:rPr>
              <w:t>沙袋</w:t>
            </w:r>
            <w:r>
              <w:rPr>
                <w:rFonts w:hint="default" w:ascii="Times New Roman" w:hAnsi="Times New Roman" w:cs="Times New Roman"/>
                <w:color w:val="000000" w:themeColor="text1"/>
                <w:szCs w:val="21"/>
                <w14:textFill>
                  <w14:solidFill>
                    <w14:schemeClr w14:val="tx1"/>
                  </w14:solidFill>
                </w14:textFill>
              </w:rPr>
              <w:t>、吸油毡等)</w:t>
            </w:r>
          </w:p>
        </w:tc>
      </w:tr>
      <w:tr w14:paraId="4022B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14" w:type="dxa"/>
            <w:noWrap w:val="0"/>
            <w:vAlign w:val="center"/>
          </w:tcPr>
          <w:p w14:paraId="1CD20C71">
            <w:pPr>
              <w:adjustRightInd w:val="0"/>
              <w:snapToGrid w:val="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其他环境管理要求</w:t>
            </w:r>
          </w:p>
        </w:tc>
        <w:tc>
          <w:tcPr>
            <w:tcW w:w="8146" w:type="dxa"/>
            <w:gridSpan w:val="4"/>
            <w:noWrap w:val="0"/>
            <w:vAlign w:val="center"/>
          </w:tcPr>
          <w:p w14:paraId="65C5CE2D">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一、环境管理的主要内容</w:t>
            </w:r>
          </w:p>
          <w:p w14:paraId="50A114A6">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及时开展企业自主环保验收和备案工作。根据《建设项目竣工环境保护验收暂行办法》的规定，建设项目竣工后，建设单位应当如实查验、监测、记载建设项目环境保护设施的建设和调试情况，编制验收监测报告表。</w:t>
            </w:r>
          </w:p>
          <w:p w14:paraId="03C87F02">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制定各环保设施操作规程，定期维修制度，使各项环保设施在生产过程中处于良好的运行状态，如环保设施出现故障，应立即停厂检修，严禁非正常排放。</w:t>
            </w:r>
          </w:p>
          <w:p w14:paraId="7E297FE8">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对技术工作进行上岗前的环保知识法规教育及操作规程的培训，使各项环保设施的操作规范化，保证环保设施的正常运转。</w:t>
            </w:r>
          </w:p>
          <w:p w14:paraId="67516AAD">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4</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加强环境监测工作，重点是各污染源的监测，并注意做好记录，不弄虚作假。监测中如发现异常情况应及时向有关部门通报，及时采取应急措施，防止事故排放。</w:t>
            </w:r>
          </w:p>
          <w:p w14:paraId="52E17496">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5</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建立本公司的环境保护档案。档案包括：</w:t>
            </w:r>
          </w:p>
          <w:p w14:paraId="0267E9A2">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①污染物排放情况，污染物治理设施的运行、操作和管理情况：</w:t>
            </w:r>
          </w:p>
          <w:p w14:paraId="27BAE83A">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②限期治理执行情况：</w:t>
            </w:r>
          </w:p>
          <w:p w14:paraId="306CA97B">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③事故情况及有关记录：</w:t>
            </w:r>
          </w:p>
          <w:p w14:paraId="5CED6BF0">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④采用的监测分析方法和监测记录：</w:t>
            </w:r>
          </w:p>
          <w:p w14:paraId="4DE66994">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⑤与污染有关的生产工艺、原材料使用方面的资料：</w:t>
            </w:r>
          </w:p>
          <w:p w14:paraId="6922B495">
            <w:pPr>
              <w:pStyle w:val="4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⑥其他与污染防治有关的情况和资料等。</w:t>
            </w:r>
          </w:p>
          <w:p w14:paraId="666E9354">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二、排污许可证申请要求</w:t>
            </w:r>
          </w:p>
          <w:p w14:paraId="1829603A">
            <w:pPr>
              <w:adjustRightInd w:val="0"/>
              <w:snapToGrid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企业应当按照《排污许可管理办法</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试行</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》规定的时限申请并取得排污许可</w:t>
            </w:r>
            <w:r>
              <w:rPr>
                <w:rFonts w:hint="default" w:ascii="Times New Roman" w:hAnsi="Times New Roman" w:cs="Times New Roman"/>
                <w:color w:val="000000" w:themeColor="text1"/>
                <w:sz w:val="21"/>
                <w:szCs w:val="21"/>
                <w:lang w:val="en-US" w:eastAsia="zh-CN"/>
                <w14:textFill>
                  <w14:solidFill>
                    <w14:schemeClr w14:val="tx1"/>
                  </w14:solidFill>
                </w14:textFill>
              </w:rPr>
              <w:t>手续</w:t>
            </w:r>
            <w:r>
              <w:rPr>
                <w:rFonts w:hint="default" w:ascii="Times New Roman" w:hAnsi="Times New Roman" w:cs="Times New Roman"/>
                <w:color w:val="000000" w:themeColor="text1"/>
                <w:sz w:val="21"/>
                <w:szCs w:val="21"/>
                <w14:textFill>
                  <w14:solidFill>
                    <w14:schemeClr w14:val="tx1"/>
                  </w14:solidFill>
                </w14:textFill>
              </w:rPr>
              <w:t>，根据《固定污染源排污许可分类管理名录(2019年版)》(生态环境部</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第11号)可知，</w:t>
            </w:r>
            <w:r>
              <w:rPr>
                <w:rFonts w:hint="eastAsia" w:cs="Times New Roman"/>
                <w:color w:val="000000" w:themeColor="text1"/>
                <w:sz w:val="21"/>
                <w:szCs w:val="21"/>
                <w:lang w:eastAsia="zh-CN"/>
                <w14:textFill>
                  <w14:solidFill>
                    <w14:schemeClr w14:val="tx1"/>
                  </w14:solidFill>
                </w14:textFill>
              </w:rPr>
              <w:t>项目使用的胶水为水性胶粘剂和水性固化剂，</w:t>
            </w:r>
            <w:r>
              <w:rPr>
                <w:rFonts w:hint="default" w:ascii="Times New Roman" w:hAnsi="Times New Roman" w:cs="Times New Roman"/>
                <w:color w:val="000000" w:themeColor="text1"/>
                <w:sz w:val="21"/>
                <w:szCs w:val="21"/>
                <w:lang w:eastAsia="zh-CN"/>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实行排污许可</w:t>
            </w:r>
            <w:r>
              <w:rPr>
                <w:rFonts w:hint="default" w:ascii="Times New Roman" w:hAnsi="Times New Roman" w:cs="Times New Roman"/>
                <w:color w:val="000000" w:themeColor="text1"/>
                <w:sz w:val="21"/>
                <w:szCs w:val="21"/>
                <w:lang w:eastAsia="zh-CN"/>
                <w14:textFill>
                  <w14:solidFill>
                    <w14:schemeClr w14:val="tx1"/>
                  </w14:solidFill>
                </w14:textFill>
              </w:rPr>
              <w:t>登记管理</w:t>
            </w:r>
            <w:r>
              <w:rPr>
                <w:rFonts w:hint="default" w:ascii="Times New Roman" w:hAnsi="Times New Roman" w:cs="Times New Roman"/>
                <w:color w:val="000000" w:themeColor="text1"/>
                <w:sz w:val="21"/>
                <w:szCs w:val="21"/>
                <w14:textFill>
                  <w14:solidFill>
                    <w14:schemeClr w14:val="tx1"/>
                  </w14:solidFill>
                </w14:textFill>
              </w:rPr>
              <w:t>；因此，建设单位应当在启动生产设施或者发生实际排污之前在全国排污许可证管理信息平台进行排污许可</w:t>
            </w:r>
            <w:r>
              <w:rPr>
                <w:rFonts w:hint="default" w:ascii="Times New Roman" w:hAnsi="Times New Roman" w:cs="Times New Roman"/>
                <w:color w:val="000000" w:themeColor="text1"/>
                <w:sz w:val="21"/>
                <w:szCs w:val="21"/>
                <w:lang w:eastAsia="zh-CN"/>
                <w14:textFill>
                  <w14:solidFill>
                    <w14:schemeClr w14:val="tx1"/>
                  </w14:solidFill>
                </w14:textFill>
              </w:rPr>
              <w:t>登记</w:t>
            </w:r>
            <w:r>
              <w:rPr>
                <w:rFonts w:hint="default" w:ascii="Times New Roman" w:hAnsi="Times New Roman" w:cs="Times New Roman"/>
                <w:color w:val="000000" w:themeColor="text1"/>
                <w:sz w:val="21"/>
                <w:szCs w:val="21"/>
                <w14:textFill>
                  <w14:solidFill>
                    <w14:schemeClr w14:val="tx1"/>
                  </w14:solidFill>
                </w14:textFill>
              </w:rPr>
              <w:t>。</w:t>
            </w:r>
          </w:p>
          <w:p w14:paraId="6E8C2DB5">
            <w:pPr>
              <w:pStyle w:val="56"/>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 xml:space="preserve">5-1  </w:t>
            </w:r>
            <w:r>
              <w:rPr>
                <w:rFonts w:hint="default" w:ascii="Times New Roman" w:hAnsi="Times New Roman" w:cs="Times New Roman"/>
                <w:color w:val="000000" w:themeColor="text1"/>
                <w14:textFill>
                  <w14:solidFill>
                    <w14:schemeClr w14:val="tx1"/>
                  </w14:solidFill>
                </w14:textFill>
              </w:rPr>
              <w:t>固定污染源排污许可分类管理名录(摘录)</w:t>
            </w:r>
          </w:p>
          <w:tbl>
            <w:tblPr>
              <w:tblStyle w:val="26"/>
              <w:tblW w:w="49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481"/>
              <w:gridCol w:w="1063"/>
              <w:gridCol w:w="3957"/>
              <w:gridCol w:w="805"/>
            </w:tblGrid>
            <w:tr w14:paraId="6C35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tcBorders>
                    <w:top w:val="single" w:color="auto" w:sz="12" w:space="0"/>
                    <w:left w:val="nil"/>
                    <w:bottom w:val="single" w:color="auto" w:sz="4" w:space="0"/>
                  </w:tcBorders>
                  <w:shd w:val="clear" w:color="auto" w:fill="auto"/>
                  <w:noWrap w:val="0"/>
                  <w:vAlign w:val="center"/>
                </w:tcPr>
                <w:p w14:paraId="6535B4A3">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序号</w:t>
                  </w:r>
                </w:p>
              </w:tc>
              <w:tc>
                <w:tcPr>
                  <w:tcW w:w="951" w:type="pct"/>
                  <w:tcBorders>
                    <w:top w:val="single" w:color="auto" w:sz="12" w:space="0"/>
                    <w:left w:val="single" w:color="auto" w:sz="4" w:space="0"/>
                    <w:bottom w:val="single" w:color="auto" w:sz="4" w:space="0"/>
                  </w:tcBorders>
                  <w:shd w:val="clear" w:color="auto" w:fill="auto"/>
                  <w:noWrap w:val="0"/>
                  <w:vAlign w:val="center"/>
                </w:tcPr>
                <w:p w14:paraId="5D7A728A">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行业类别</w:t>
                  </w:r>
                </w:p>
              </w:tc>
              <w:tc>
                <w:tcPr>
                  <w:tcW w:w="682" w:type="pct"/>
                  <w:tcBorders>
                    <w:top w:val="single" w:color="auto" w:sz="12" w:space="0"/>
                    <w:bottom w:val="single" w:color="auto" w:sz="4" w:space="0"/>
                  </w:tcBorders>
                  <w:shd w:val="clear" w:color="auto" w:fill="auto"/>
                  <w:noWrap w:val="0"/>
                  <w:vAlign w:val="center"/>
                </w:tcPr>
                <w:p w14:paraId="6BA6CE45">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重点管理</w:t>
                  </w:r>
                </w:p>
              </w:tc>
              <w:tc>
                <w:tcPr>
                  <w:tcW w:w="2541" w:type="pct"/>
                  <w:tcBorders>
                    <w:top w:val="single" w:color="auto" w:sz="12" w:space="0"/>
                    <w:bottom w:val="single" w:color="auto" w:sz="4" w:space="0"/>
                  </w:tcBorders>
                  <w:shd w:val="clear" w:color="auto" w:fill="auto"/>
                  <w:noWrap w:val="0"/>
                  <w:vAlign w:val="center"/>
                </w:tcPr>
                <w:p w14:paraId="7B09172D">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简化管理</w:t>
                  </w:r>
                </w:p>
              </w:tc>
              <w:tc>
                <w:tcPr>
                  <w:tcW w:w="517" w:type="pct"/>
                  <w:tcBorders>
                    <w:top w:val="single" w:color="auto" w:sz="12" w:space="0"/>
                    <w:bottom w:val="single" w:color="auto" w:sz="4" w:space="0"/>
                    <w:right w:val="nil"/>
                  </w:tcBorders>
                  <w:shd w:val="clear" w:color="auto" w:fill="BEBEBE"/>
                  <w:noWrap w:val="0"/>
                  <w:vAlign w:val="center"/>
                </w:tcPr>
                <w:p w14:paraId="3EBF61AB">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登记管理</w:t>
                  </w:r>
                </w:p>
              </w:tc>
            </w:tr>
            <w:tr w14:paraId="0529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bottom w:val="single" w:color="auto" w:sz="4" w:space="0"/>
                    <w:right w:val="nil"/>
                  </w:tcBorders>
                  <w:shd w:val="clear" w:color="auto" w:fill="BEBEBE"/>
                  <w:noWrap w:val="0"/>
                  <w:vAlign w:val="center"/>
                </w:tcPr>
                <w:p w14:paraId="5F098B6C">
                  <w:pPr>
                    <w:pStyle w:val="47"/>
                    <w:bidi w:val="0"/>
                    <w:jc w:val="left"/>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三十一、汽车制造业36</w:t>
                  </w:r>
                </w:p>
              </w:tc>
            </w:tr>
            <w:tr w14:paraId="6B08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 w:type="pct"/>
                  <w:tcBorders>
                    <w:top w:val="single" w:color="auto" w:sz="4" w:space="0"/>
                    <w:left w:val="nil"/>
                    <w:bottom w:val="single" w:color="auto" w:sz="4" w:space="0"/>
                  </w:tcBorders>
                  <w:shd w:val="clear" w:color="auto" w:fill="auto"/>
                  <w:noWrap w:val="0"/>
                  <w:vAlign w:val="center"/>
                </w:tcPr>
                <w:p w14:paraId="521BF196">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85</w:t>
                  </w:r>
                </w:p>
              </w:tc>
              <w:tc>
                <w:tcPr>
                  <w:tcW w:w="951" w:type="pct"/>
                  <w:tcBorders>
                    <w:top w:val="single" w:color="auto" w:sz="4" w:space="0"/>
                    <w:left w:val="single" w:color="auto" w:sz="4" w:space="0"/>
                    <w:bottom w:val="single" w:color="auto" w:sz="4" w:space="0"/>
                  </w:tcBorders>
                  <w:shd w:val="clear" w:color="auto" w:fill="auto"/>
                  <w:noWrap w:val="0"/>
                  <w:vAlign w:val="center"/>
                </w:tcPr>
                <w:p w14:paraId="1EFD81A2">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汽车零部件及配件制造367</w:t>
                  </w:r>
                </w:p>
              </w:tc>
              <w:tc>
                <w:tcPr>
                  <w:tcW w:w="682" w:type="pct"/>
                  <w:tcBorders>
                    <w:top w:val="single" w:color="auto" w:sz="4" w:space="0"/>
                    <w:bottom w:val="single" w:color="auto" w:sz="4" w:space="0"/>
                  </w:tcBorders>
                  <w:shd w:val="clear" w:color="auto" w:fill="auto"/>
                  <w:noWrap w:val="0"/>
                  <w:vAlign w:val="center"/>
                </w:tcPr>
                <w:p w14:paraId="301F6A2D">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纳入重点排污单位名录的</w:t>
                  </w:r>
                </w:p>
              </w:tc>
              <w:tc>
                <w:tcPr>
                  <w:tcW w:w="2541" w:type="pct"/>
                  <w:tcBorders>
                    <w:top w:val="single" w:color="auto" w:sz="4" w:space="0"/>
                    <w:bottom w:val="single" w:color="auto" w:sz="4" w:space="0"/>
                  </w:tcBorders>
                  <w:shd w:val="clear" w:color="auto" w:fill="auto"/>
                  <w:noWrap w:val="0"/>
                  <w:vAlign w:val="center"/>
                </w:tcPr>
                <w:p w14:paraId="5FFF7DA3">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除重点管理以外的汽车整车制造361，除重点管理以外的年使用10吨及以上溶剂型涂料或者胶粘剂(含稀释剂、固化剂、清洗溶剂)的汽车用发动机制造362、改装汽车制造363、低速汽车制造364、电车制造365、汽车车身、挂车制造366、汽车零部件及配件制造367</w:t>
                  </w:r>
                </w:p>
              </w:tc>
              <w:tc>
                <w:tcPr>
                  <w:tcW w:w="517" w:type="pct"/>
                  <w:tcBorders>
                    <w:top w:val="single" w:color="auto" w:sz="4" w:space="0"/>
                    <w:bottom w:val="single" w:color="auto" w:sz="4" w:space="0"/>
                    <w:right w:val="nil"/>
                  </w:tcBorders>
                  <w:shd w:val="clear" w:color="auto" w:fill="BEBEBE"/>
                  <w:noWrap w:val="0"/>
                  <w:vAlign w:val="center"/>
                </w:tcPr>
                <w:p w14:paraId="1A416EC2">
                  <w:pPr>
                    <w:pStyle w:val="4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其他</w:t>
                  </w:r>
                </w:p>
              </w:tc>
            </w:tr>
          </w:tbl>
          <w:p w14:paraId="2527A83D">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三、建设项目环境影响评价信息公开</w:t>
            </w:r>
          </w:p>
          <w:p w14:paraId="307818BF">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根据《建设项目环境影响评价信息公开机制方案》(环发[20151162号</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等相关规定，全面推进建设单位环评信息全过程公开。具体如下</w:t>
            </w:r>
            <w:r>
              <w:rPr>
                <w:rFonts w:hint="default" w:ascii="Times New Roman" w:hAnsi="Times New Roman" w:cs="Times New Roman"/>
                <w:color w:val="000000" w:themeColor="text1"/>
                <w:sz w:val="21"/>
                <w:szCs w:val="21"/>
                <w:lang w:eastAsia="zh-CN"/>
                <w14:textFill>
                  <w14:solidFill>
                    <w14:schemeClr w14:val="tx1"/>
                  </w14:solidFill>
                </w14:textFill>
              </w:rPr>
              <w:t>：</w:t>
            </w:r>
          </w:p>
          <w:p w14:paraId="32CA6457">
            <w:pPr>
              <w:adjustRightInd w:val="0"/>
              <w:snapToGrid w:val="0"/>
              <w:spacing w:line="360" w:lineRule="auto"/>
              <w:ind w:firstLine="420" w:firstLineChars="20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公开环</w:t>
            </w:r>
            <w:r>
              <w:rPr>
                <w:rFonts w:hint="default" w:ascii="Times New Roman" w:hAnsi="Times New Roman" w:eastAsia="宋体" w:cs="Times New Roman"/>
                <w:color w:val="000000" w:themeColor="text1"/>
                <w:sz w:val="21"/>
                <w:szCs w:val="21"/>
                <w14:textFill>
                  <w14:solidFill>
                    <w14:schemeClr w14:val="tx1"/>
                  </w14:solidFill>
                </w14:textFill>
              </w:rPr>
              <w:t>境影响报告书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表</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全本：本项目环境影响评价信息已于生态环境公示网进行了全文信息公开公</w:t>
            </w:r>
            <w:r>
              <w:rPr>
                <w:rFonts w:hint="default" w:ascii="Times New Roman" w:hAnsi="Times New Roman" w:eastAsia="宋体" w:cs="Times New Roman"/>
                <w:color w:val="000000" w:themeColor="text1"/>
                <w:sz w:val="21"/>
                <w:szCs w:val="21"/>
                <w:highlight w:val="none"/>
                <w14:textFill>
                  <w14:solidFill>
                    <w14:schemeClr w14:val="tx1"/>
                  </w14:solidFill>
                </w14:textFill>
              </w:rPr>
              <w:t>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5D38241">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根据《企业环境信息依法披露管理办法》(</w:t>
            </w:r>
            <w:r>
              <w:rPr>
                <w:rFonts w:hint="default" w:ascii="Times New Roman" w:hAnsi="Times New Roman" w:eastAsia="宋体" w:cs="Times New Roman"/>
                <w:color w:val="000000" w:themeColor="text1"/>
                <w:sz w:val="21"/>
                <w:szCs w:val="21"/>
                <w:lang w:eastAsia="zh-CN"/>
                <w14:textFill>
                  <w14:solidFill>
                    <w14:schemeClr w14:val="tx1"/>
                  </w14:solidFill>
                </w14:textFill>
              </w:rPr>
              <w:t>生态环境部</w:t>
            </w:r>
            <w:r>
              <w:rPr>
                <w:rFonts w:hint="default" w:ascii="Times New Roman" w:hAnsi="Times New Roman" w:eastAsia="宋体" w:cs="Times New Roman"/>
                <w:color w:val="000000" w:themeColor="text1"/>
                <w:sz w:val="21"/>
                <w:szCs w:val="21"/>
                <w14:textFill>
                  <w14:solidFill>
                    <w14:schemeClr w14:val="tx1"/>
                  </w14:solidFill>
                </w14:textFill>
              </w:rPr>
              <w:t>部令第24号</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2022年2月28日开始实施)</w:t>
            </w:r>
            <w:r>
              <w:rPr>
                <w:rFonts w:hint="default" w:ascii="Times New Roman" w:hAnsi="Times New Roman" w:eastAsia="宋体" w:cs="Times New Roman"/>
                <w:color w:val="000000" w:themeColor="text1"/>
                <w:sz w:val="21"/>
                <w:szCs w:val="21"/>
                <w14:textFill>
                  <w14:solidFill>
                    <w14:schemeClr w14:val="tx1"/>
                  </w14:solidFill>
                </w14:textFill>
              </w:rPr>
              <w:t>等相关规定，全面推进建设单位环评信息全过程公开。具体如下：企业是环境信息依法披露的责任主体。</w:t>
            </w:r>
          </w:p>
          <w:p w14:paraId="3D98116B">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企业应当建立健全环境信息依法披露管理制度，规范工作规程，明确工作职责，建立准确的环境信息管理台账，妥善保存相关原始记录，科学统计归集相关环境信息。</w:t>
            </w:r>
          </w:p>
          <w:p w14:paraId="6B7F40A1">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企业披露环境信息所使用的相关数据及表述应当符合环境监测、环境统计等方面的标准和技术规范要求，优先使用符合国家监测规范的污染物监测数据、排污许可执行报告数据等。</w:t>
            </w:r>
          </w:p>
          <w:p w14:paraId="53C36424">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企业应当按照准则编制年度环境信息依法披露报告和临时环境信息依法披露报告，并上传至企业环境信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息依法披露系统。企业年度环境信息依法披露报告应当包括以下内容：</w:t>
            </w:r>
          </w:p>
          <w:p w14:paraId="53A9CAC4">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①企业基本信息，包括企业生产和生态环境保护等方面的基础信息；</w:t>
            </w:r>
          </w:p>
          <w:p w14:paraId="52F7E3C5">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②企业环境管理信息，包括生态环境行政许可、环境保护税、环境污染责任保险、环保信用评价等方面的信息；</w:t>
            </w:r>
          </w:p>
          <w:p w14:paraId="099004A1">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③污染物产生、治理与排放信息，包括污染防治设施，污染物排放，有毒有害物质排放，工业固体废物和危险废物产生、贮存、流向、利用、处置，自行监测等方面的信息；</w:t>
            </w:r>
          </w:p>
          <w:p w14:paraId="594F9056">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④碳排放信息，包括排放量、排放设施等方面的信息；</w:t>
            </w:r>
          </w:p>
          <w:p w14:paraId="0E58AD25">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⑤生态环境应急信息，包括突发环境事件应急预案、重污染天气应急响应等方面信息；</w:t>
            </w:r>
          </w:p>
          <w:p w14:paraId="7B7FD993">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⑥生态环境违法信息；</w:t>
            </w:r>
          </w:p>
          <w:p w14:paraId="498AAE55">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⑦本年度临时环境信息依法披露情况；</w:t>
            </w:r>
          </w:p>
          <w:p w14:paraId="26B5DE36">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⑧法律法规规定的其他环境信息。</w:t>
            </w:r>
          </w:p>
          <w:p w14:paraId="025AD815">
            <w:pPr>
              <w:adjustRightInd w:val="0"/>
              <w:snapToGrid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公开建设项目开工前的信息：建设项目开工建设前，建设单位应当向社会公开建设项目开工日期、设计单位、施工单位和环境监理单位、工程基本情况、实际选址选线、拟采取的环境保护措施清单和实施计划、由地方政府或相关部门负责配套的环境保护措施清单和实施计划等，并确保上述信息在整个施工期内均处于公开状态。</w:t>
            </w:r>
          </w:p>
          <w:p w14:paraId="5CEA4A84">
            <w:pPr>
              <w:adjustRightInd w:val="0"/>
              <w:snapToGrid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公开建设项目施工过程中的信息：项目建设过程中，建设单位应当在施工中期向社会公开建设项目环境保护措施进展情况、施工期的环境保护措施落实情况、施工期环境监理情况、施工期环境监测结果等。</w:t>
            </w:r>
          </w:p>
          <w:p w14:paraId="664DD79C">
            <w:pPr>
              <w:adjustRightInd w:val="0"/>
              <w:snapToGrid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公开建设项目建成后的信息：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14:paraId="2FAF9B98">
            <w:pPr>
              <w:adjustRightInd w:val="0"/>
              <w:snapToGrid w:val="0"/>
              <w:spacing w:line="36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四、排污口规范化管理要求</w:t>
            </w:r>
          </w:p>
          <w:p w14:paraId="345E3091">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排污口规范化图标按照《环境保护图形标志—排放口</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源</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》(GB15563.1-1995</w:t>
            </w:r>
            <w:r>
              <w:rPr>
                <w:rFonts w:hint="default" w:ascii="Times New Roman" w:hAnsi="Times New Roman" w:eastAsia="宋体" w:cs="Times New Roman"/>
                <w:color w:val="000000" w:themeColor="text1"/>
                <w:sz w:val="21"/>
                <w:szCs w:val="21"/>
                <w:lang w:eastAsia="zh-CN"/>
                <w14:textFill>
                  <w14:solidFill>
                    <w14:schemeClr w14:val="tx1"/>
                  </w14:solidFill>
                </w14:textFill>
              </w:rPr>
              <w:t>)和</w:t>
            </w:r>
            <w:r>
              <w:rPr>
                <w:rFonts w:hint="default" w:ascii="Times New Roman" w:hAnsi="Times New Roman" w:eastAsia="宋体" w:cs="Times New Roman"/>
                <w:color w:val="000000" w:themeColor="text1"/>
                <w:sz w:val="21"/>
                <w:szCs w:val="21"/>
                <w14:textFill>
                  <w14:solidFill>
                    <w14:schemeClr w14:val="tx1"/>
                  </w14:solidFill>
                </w14:textFill>
              </w:rPr>
              <w:t>《环境保护图形标志—固体废物贮存</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处置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 15562.2-1995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修改单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详见表5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p>
          <w:p w14:paraId="148C7240">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黑体" w:cs="Times New Roman"/>
                <w:color w:val="000000" w:themeColor="text1"/>
                <w:spacing w:val="8"/>
                <w:sz w:val="21"/>
                <w:szCs w:val="21"/>
                <w:lang w:bidi="ar"/>
                <w14:textFill>
                  <w14:solidFill>
                    <w14:schemeClr w14:val="tx1"/>
                  </w14:solidFill>
                </w14:textFill>
              </w:rPr>
            </w:pPr>
            <w:r>
              <w:rPr>
                <w:rFonts w:hint="default" w:ascii="Times New Roman" w:hAnsi="Times New Roman" w:eastAsia="黑体" w:cs="Times New Roman"/>
                <w:color w:val="000000" w:themeColor="text1"/>
                <w:spacing w:val="8"/>
                <w:sz w:val="21"/>
                <w:szCs w:val="21"/>
                <w:lang w:bidi="ar"/>
                <w14:textFill>
                  <w14:solidFill>
                    <w14:schemeClr w14:val="tx1"/>
                  </w14:solidFill>
                </w14:textFill>
              </w:rPr>
              <w:t>表5-2  排污口图形符号(提示标志</w:t>
            </w:r>
            <w:r>
              <w:rPr>
                <w:rFonts w:hint="default" w:ascii="Times New Roman" w:hAnsi="Times New Roman" w:eastAsia="黑体" w:cs="Times New Roman"/>
                <w:color w:val="000000" w:themeColor="text1"/>
                <w:spacing w:val="8"/>
                <w:sz w:val="21"/>
                <w:szCs w:val="21"/>
                <w:lang w:eastAsia="zh-CN" w:bidi="ar"/>
                <w14:textFill>
                  <w14:solidFill>
                    <w14:schemeClr w14:val="tx1"/>
                  </w14:solidFill>
                </w14:textFill>
              </w:rPr>
              <w:t>)</w:t>
            </w:r>
            <w:r>
              <w:rPr>
                <w:rFonts w:hint="default" w:ascii="Times New Roman" w:hAnsi="Times New Roman" w:eastAsia="黑体" w:cs="Times New Roman"/>
                <w:color w:val="000000" w:themeColor="text1"/>
                <w:spacing w:val="8"/>
                <w:sz w:val="21"/>
                <w:szCs w:val="21"/>
                <w:lang w:bidi="ar"/>
                <w14:textFill>
                  <w14:solidFill>
                    <w14:schemeClr w14:val="tx1"/>
                  </w14:solidFill>
                </w14:textFill>
              </w:rPr>
              <w:t>一览表</w:t>
            </w:r>
          </w:p>
          <w:tbl>
            <w:tblPr>
              <w:tblStyle w:val="26"/>
              <w:tblW w:w="4997"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66"/>
              <w:gridCol w:w="1351"/>
              <w:gridCol w:w="1351"/>
              <w:gridCol w:w="1272"/>
              <w:gridCol w:w="1402"/>
              <w:gridCol w:w="1383"/>
            </w:tblGrid>
            <w:tr w14:paraId="308F2192">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505" w:hRule="atLeast"/>
                <w:jc w:val="center"/>
              </w:trPr>
              <w:tc>
                <w:tcPr>
                  <w:tcW w:w="736" w:type="pct"/>
                  <w:tcBorders>
                    <w:top w:val="single" w:color="auto" w:sz="12" w:space="0"/>
                    <w:left w:val="nil"/>
                    <w:bottom w:val="single" w:color="auto" w:sz="6" w:space="0"/>
                    <w:right w:val="single" w:color="auto" w:sz="6" w:space="0"/>
                    <w:tl2br w:val="single" w:color="auto" w:sz="4" w:space="0"/>
                  </w:tcBorders>
                  <w:noWrap w:val="0"/>
                  <w:vAlign w:val="center"/>
                </w:tcPr>
                <w:p w14:paraId="20F42CDE">
                  <w:pPr>
                    <w:pStyle w:val="47"/>
                    <w:bidi w:val="0"/>
                    <w:jc w:val="right"/>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排放部位</w:t>
                  </w:r>
                </w:p>
                <w:p w14:paraId="61454942">
                  <w:pPr>
                    <w:pStyle w:val="47"/>
                    <w:bidi w:val="0"/>
                    <w:jc w:val="left"/>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项目</w:t>
                  </w:r>
                </w:p>
              </w:tc>
              <w:tc>
                <w:tcPr>
                  <w:tcW w:w="852" w:type="pct"/>
                  <w:tcBorders>
                    <w:top w:val="single" w:color="auto" w:sz="12" w:space="0"/>
                    <w:left w:val="single" w:color="auto" w:sz="6" w:space="0"/>
                    <w:bottom w:val="single" w:color="auto" w:sz="6" w:space="0"/>
                    <w:right w:val="single" w:color="auto" w:sz="6" w:space="0"/>
                  </w:tcBorders>
                  <w:noWrap w:val="0"/>
                  <w:vAlign w:val="center"/>
                </w:tcPr>
                <w:p w14:paraId="56876113">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污水排放口</w:t>
                  </w:r>
                </w:p>
              </w:tc>
              <w:tc>
                <w:tcPr>
                  <w:tcW w:w="852" w:type="pct"/>
                  <w:tcBorders>
                    <w:top w:val="single" w:color="auto" w:sz="12" w:space="0"/>
                    <w:left w:val="single" w:color="auto" w:sz="6" w:space="0"/>
                    <w:bottom w:val="single" w:color="auto" w:sz="6" w:space="0"/>
                    <w:right w:val="single" w:color="auto" w:sz="6" w:space="0"/>
                  </w:tcBorders>
                  <w:noWrap w:val="0"/>
                  <w:vAlign w:val="center"/>
                </w:tcPr>
                <w:p w14:paraId="22AF8847">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废气排放口</w:t>
                  </w:r>
                </w:p>
              </w:tc>
              <w:tc>
                <w:tcPr>
                  <w:tcW w:w="802" w:type="pct"/>
                  <w:tcBorders>
                    <w:top w:val="single" w:color="auto" w:sz="12" w:space="0"/>
                    <w:left w:val="single" w:color="auto" w:sz="6" w:space="0"/>
                    <w:bottom w:val="single" w:color="auto" w:sz="6" w:space="0"/>
                    <w:right w:val="single" w:color="auto" w:sz="6" w:space="0"/>
                  </w:tcBorders>
                  <w:noWrap w:val="0"/>
                  <w:vAlign w:val="center"/>
                </w:tcPr>
                <w:p w14:paraId="1438F42B">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噪声排放源</w:t>
                  </w:r>
                </w:p>
              </w:tc>
              <w:tc>
                <w:tcPr>
                  <w:tcW w:w="884" w:type="pct"/>
                  <w:tcBorders>
                    <w:top w:val="single" w:color="auto" w:sz="12" w:space="0"/>
                    <w:left w:val="single" w:color="auto" w:sz="6" w:space="0"/>
                    <w:bottom w:val="single" w:color="auto" w:sz="6" w:space="0"/>
                    <w:right w:val="single" w:color="auto" w:sz="6" w:space="0"/>
                  </w:tcBorders>
                  <w:noWrap w:val="0"/>
                  <w:vAlign w:val="center"/>
                </w:tcPr>
                <w:p w14:paraId="773CAB88">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一般工业固废</w:t>
                  </w:r>
                </w:p>
              </w:tc>
              <w:tc>
                <w:tcPr>
                  <w:tcW w:w="872" w:type="pct"/>
                  <w:tcBorders>
                    <w:top w:val="single" w:color="auto" w:sz="12" w:space="0"/>
                    <w:left w:val="single" w:color="auto" w:sz="6" w:space="0"/>
                    <w:bottom w:val="single" w:color="auto" w:sz="6" w:space="0"/>
                    <w:right w:val="nil"/>
                  </w:tcBorders>
                  <w:noWrap w:val="0"/>
                  <w:vAlign w:val="center"/>
                </w:tcPr>
                <w:p w14:paraId="7A859F8E">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危险废物</w:t>
                  </w:r>
                </w:p>
              </w:tc>
            </w:tr>
            <w:tr w14:paraId="69A912F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55" w:hRule="atLeast"/>
                <w:jc w:val="center"/>
              </w:trPr>
              <w:tc>
                <w:tcPr>
                  <w:tcW w:w="736" w:type="pct"/>
                  <w:tcBorders>
                    <w:top w:val="single" w:color="auto" w:sz="6" w:space="0"/>
                    <w:left w:val="nil"/>
                    <w:bottom w:val="single" w:color="auto" w:sz="6" w:space="0"/>
                    <w:right w:val="single" w:color="auto" w:sz="6" w:space="0"/>
                  </w:tcBorders>
                  <w:noWrap w:val="0"/>
                  <w:vAlign w:val="center"/>
                </w:tcPr>
                <w:p w14:paraId="353C3207">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图形符号</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7AFC3F0E">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4384" behindDoc="0" locked="0" layoutInCell="1" allowOverlap="1">
                        <wp:simplePos x="0" y="0"/>
                        <wp:positionH relativeFrom="column">
                          <wp:posOffset>59055</wp:posOffset>
                        </wp:positionH>
                        <wp:positionV relativeFrom="paragraph">
                          <wp:posOffset>-3810</wp:posOffset>
                        </wp:positionV>
                        <wp:extent cx="639445" cy="639445"/>
                        <wp:effectExtent l="0" t="0" r="635" b="635"/>
                        <wp:wrapNone/>
                        <wp:docPr id="318"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754" descr="1"/>
                                <pic:cNvPicPr>
                                  <a:picLocks noChangeAspect="1"/>
                                </pic:cNvPicPr>
                              </pic:nvPicPr>
                              <pic:blipFill>
                                <a:blip r:embed="rId25"/>
                                <a:stretch>
                                  <a:fillRect/>
                                </a:stretch>
                              </pic:blipFill>
                              <pic:spPr>
                                <a:xfrm>
                                  <a:off x="0" y="0"/>
                                  <a:ext cx="639445" cy="639445"/>
                                </a:xfrm>
                                <a:prstGeom prst="rect">
                                  <a:avLst/>
                                </a:prstGeom>
                                <a:noFill/>
                                <a:ln>
                                  <a:noFill/>
                                </a:ln>
                              </pic:spPr>
                            </pic:pic>
                          </a:graphicData>
                        </a:graphic>
                      </wp:anchor>
                    </w:drawing>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451D0BD0">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5408" behindDoc="0" locked="0" layoutInCell="1" allowOverlap="1">
                        <wp:simplePos x="0" y="0"/>
                        <wp:positionH relativeFrom="column">
                          <wp:posOffset>60960</wp:posOffset>
                        </wp:positionH>
                        <wp:positionV relativeFrom="paragraph">
                          <wp:posOffset>5080</wp:posOffset>
                        </wp:positionV>
                        <wp:extent cx="640715" cy="640715"/>
                        <wp:effectExtent l="0" t="0" r="14605" b="14605"/>
                        <wp:wrapNone/>
                        <wp:docPr id="319" name="图片 7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755" descr="点击看大图及详细资料"/>
                                <pic:cNvPicPr>
                                  <a:picLocks noChangeAspect="1"/>
                                </pic:cNvPicPr>
                              </pic:nvPicPr>
                              <pic:blipFill>
                                <a:blip r:embed="rId26"/>
                                <a:stretch>
                                  <a:fillRect/>
                                </a:stretch>
                              </pic:blipFill>
                              <pic:spPr>
                                <a:xfrm>
                                  <a:off x="0" y="0"/>
                                  <a:ext cx="640715" cy="640715"/>
                                </a:xfrm>
                                <a:prstGeom prst="rect">
                                  <a:avLst/>
                                </a:prstGeom>
                                <a:noFill/>
                                <a:ln>
                                  <a:noFill/>
                                </a:ln>
                              </pic:spPr>
                            </pic:pic>
                          </a:graphicData>
                        </a:graphic>
                      </wp:anchor>
                    </w:drawing>
                  </w:r>
                </w:p>
                <w:p w14:paraId="5065BEB0">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p>
                <w:p w14:paraId="405B0809">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p>
              </w:tc>
              <w:tc>
                <w:tcPr>
                  <w:tcW w:w="802" w:type="pct"/>
                  <w:tcBorders>
                    <w:top w:val="single" w:color="auto" w:sz="6" w:space="0"/>
                    <w:left w:val="single" w:color="auto" w:sz="6" w:space="0"/>
                    <w:bottom w:val="single" w:color="auto" w:sz="6" w:space="0"/>
                    <w:right w:val="single" w:color="auto" w:sz="6" w:space="0"/>
                  </w:tcBorders>
                  <w:noWrap w:val="0"/>
                  <w:vAlign w:val="center"/>
                </w:tcPr>
                <w:p w14:paraId="0CFA6CCE">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6432" behindDoc="0" locked="0" layoutInCell="1" allowOverlap="1">
                        <wp:simplePos x="0" y="0"/>
                        <wp:positionH relativeFrom="column">
                          <wp:posOffset>43180</wp:posOffset>
                        </wp:positionH>
                        <wp:positionV relativeFrom="paragraph">
                          <wp:posOffset>-635</wp:posOffset>
                        </wp:positionV>
                        <wp:extent cx="640715" cy="640715"/>
                        <wp:effectExtent l="0" t="0" r="14605" b="14605"/>
                        <wp:wrapNone/>
                        <wp:docPr id="320"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756" descr="点击看大图及详细资料"/>
                                <pic:cNvPicPr>
                                  <a:picLocks noChangeAspect="1"/>
                                </pic:cNvPicPr>
                              </pic:nvPicPr>
                              <pic:blipFill>
                                <a:blip r:embed="rId27"/>
                                <a:stretch>
                                  <a:fillRect/>
                                </a:stretch>
                              </pic:blipFill>
                              <pic:spPr>
                                <a:xfrm>
                                  <a:off x="0" y="0"/>
                                  <a:ext cx="640715" cy="640715"/>
                                </a:xfrm>
                                <a:prstGeom prst="rect">
                                  <a:avLst/>
                                </a:prstGeom>
                                <a:noFill/>
                                <a:ln>
                                  <a:noFill/>
                                </a:ln>
                              </pic:spPr>
                            </pic:pic>
                          </a:graphicData>
                        </a:graphic>
                      </wp:anchor>
                    </w:drawing>
                  </w:r>
                </w:p>
                <w:p w14:paraId="01E64CDF">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p>
                <w:p w14:paraId="4F9E0D10">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p>
              </w:tc>
              <w:tc>
                <w:tcPr>
                  <w:tcW w:w="884" w:type="pct"/>
                  <w:tcBorders>
                    <w:top w:val="single" w:color="auto" w:sz="6" w:space="0"/>
                    <w:left w:val="single" w:color="auto" w:sz="6" w:space="0"/>
                    <w:bottom w:val="single" w:color="auto" w:sz="6" w:space="0"/>
                    <w:right w:val="single" w:color="auto" w:sz="6" w:space="0"/>
                  </w:tcBorders>
                  <w:noWrap w:val="0"/>
                  <w:vAlign w:val="center"/>
                </w:tcPr>
                <w:p w14:paraId="0D3FEE0C">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7456" behindDoc="0" locked="0" layoutInCell="1" allowOverlap="1">
                        <wp:simplePos x="0" y="0"/>
                        <wp:positionH relativeFrom="column">
                          <wp:posOffset>76835</wp:posOffset>
                        </wp:positionH>
                        <wp:positionV relativeFrom="paragraph">
                          <wp:posOffset>15875</wp:posOffset>
                        </wp:positionV>
                        <wp:extent cx="617220" cy="617220"/>
                        <wp:effectExtent l="0" t="0" r="7620" b="7620"/>
                        <wp:wrapNone/>
                        <wp:docPr id="321" name="图片 75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757" descr="一般固废"/>
                                <pic:cNvPicPr>
                                  <a:picLocks noChangeAspect="1"/>
                                </pic:cNvPicPr>
                              </pic:nvPicPr>
                              <pic:blipFill>
                                <a:blip r:embed="rId28"/>
                                <a:stretch>
                                  <a:fillRect/>
                                </a:stretch>
                              </pic:blipFill>
                              <pic:spPr>
                                <a:xfrm>
                                  <a:off x="0" y="0"/>
                                  <a:ext cx="617220" cy="617220"/>
                                </a:xfrm>
                                <a:prstGeom prst="rect">
                                  <a:avLst/>
                                </a:prstGeom>
                                <a:noFill/>
                                <a:ln>
                                  <a:noFill/>
                                </a:ln>
                              </pic:spPr>
                            </pic:pic>
                          </a:graphicData>
                        </a:graphic>
                      </wp:anchor>
                    </w:drawing>
                  </w:r>
                </w:p>
              </w:tc>
              <w:tc>
                <w:tcPr>
                  <w:tcW w:w="872" w:type="pct"/>
                  <w:tcBorders>
                    <w:top w:val="single" w:color="auto" w:sz="6" w:space="0"/>
                    <w:left w:val="single" w:color="auto" w:sz="6" w:space="0"/>
                    <w:bottom w:val="single" w:color="auto" w:sz="6" w:space="0"/>
                    <w:right w:val="nil"/>
                  </w:tcBorders>
                  <w:noWrap w:val="0"/>
                  <w:vAlign w:val="center"/>
                </w:tcPr>
                <w:p w14:paraId="40F70668">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3360" behindDoc="0" locked="0" layoutInCell="1" allowOverlap="1">
                        <wp:simplePos x="0" y="0"/>
                        <wp:positionH relativeFrom="column">
                          <wp:posOffset>-2540</wp:posOffset>
                        </wp:positionH>
                        <wp:positionV relativeFrom="paragraph">
                          <wp:posOffset>15240</wp:posOffset>
                        </wp:positionV>
                        <wp:extent cx="640715" cy="622300"/>
                        <wp:effectExtent l="0" t="0" r="14605" b="2540"/>
                        <wp:wrapNone/>
                        <wp:docPr id="317" name="图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975"/>
                                <pic:cNvPicPr>
                                  <a:picLocks noChangeAspect="1"/>
                                </pic:cNvPicPr>
                              </pic:nvPicPr>
                              <pic:blipFill>
                                <a:blip r:embed="rId29"/>
                                <a:srcRect l="4700" r="9000"/>
                                <a:stretch>
                                  <a:fillRect/>
                                </a:stretch>
                              </pic:blipFill>
                              <pic:spPr>
                                <a:xfrm>
                                  <a:off x="0" y="0"/>
                                  <a:ext cx="640715" cy="622300"/>
                                </a:xfrm>
                                <a:prstGeom prst="rect">
                                  <a:avLst/>
                                </a:prstGeom>
                                <a:noFill/>
                                <a:ln>
                                  <a:noFill/>
                                </a:ln>
                              </pic:spPr>
                            </pic:pic>
                          </a:graphicData>
                        </a:graphic>
                      </wp:anchor>
                    </w:drawing>
                  </w:r>
                  <w:r>
                    <w:rPr>
                      <w:rFonts w:hint="default" w:ascii="Times New Roman" w:hAnsi="Times New Roman" w:cs="Times New Roman"/>
                      <w:color w:val="000000" w:themeColor="text1"/>
                      <w:sz w:val="18"/>
                      <w:szCs w:val="18"/>
                      <w14:textFill>
                        <w14:solidFill>
                          <w14:schemeClr w14:val="tx1"/>
                        </w14:solidFill>
                      </w14:textFill>
                    </w:rPr>
                    <w:drawing>
                      <wp:anchor distT="0" distB="0" distL="114300" distR="114300" simplePos="0" relativeHeight="251668480" behindDoc="0" locked="0" layoutInCell="1" allowOverlap="1">
                        <wp:simplePos x="0" y="0"/>
                        <wp:positionH relativeFrom="column">
                          <wp:posOffset>5852160</wp:posOffset>
                        </wp:positionH>
                        <wp:positionV relativeFrom="paragraph">
                          <wp:posOffset>7855585</wp:posOffset>
                        </wp:positionV>
                        <wp:extent cx="640715" cy="622300"/>
                        <wp:effectExtent l="0" t="0" r="14605" b="2540"/>
                        <wp:wrapNone/>
                        <wp:docPr id="322"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430"/>
                                <pic:cNvPicPr>
                                  <a:picLocks noChangeAspect="1"/>
                                </pic:cNvPicPr>
                              </pic:nvPicPr>
                              <pic:blipFill>
                                <a:blip r:embed="rId29"/>
                                <a:srcRect l="4700" r="9000"/>
                                <a:stretch>
                                  <a:fillRect/>
                                </a:stretch>
                              </pic:blipFill>
                              <pic:spPr>
                                <a:xfrm>
                                  <a:off x="0" y="0"/>
                                  <a:ext cx="640715" cy="622300"/>
                                </a:xfrm>
                                <a:prstGeom prst="rect">
                                  <a:avLst/>
                                </a:prstGeom>
                                <a:noFill/>
                                <a:ln>
                                  <a:noFill/>
                                </a:ln>
                              </pic:spPr>
                            </pic:pic>
                          </a:graphicData>
                        </a:graphic>
                      </wp:anchor>
                    </w:drawing>
                  </w:r>
                </w:p>
              </w:tc>
            </w:tr>
            <w:tr w14:paraId="0C73933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736" w:type="pct"/>
                  <w:tcBorders>
                    <w:top w:val="single" w:color="auto" w:sz="6" w:space="0"/>
                    <w:left w:val="nil"/>
                    <w:bottom w:val="single" w:color="auto" w:sz="6" w:space="0"/>
                    <w:right w:val="single" w:color="auto" w:sz="6" w:space="0"/>
                  </w:tcBorders>
                  <w:noWrap w:val="0"/>
                  <w:vAlign w:val="center"/>
                </w:tcPr>
                <w:p w14:paraId="5538A2A9">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形状</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7D97342E">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正方形边框</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7E73B0E0">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正方形边框</w:t>
                  </w:r>
                </w:p>
              </w:tc>
              <w:tc>
                <w:tcPr>
                  <w:tcW w:w="802" w:type="pct"/>
                  <w:tcBorders>
                    <w:top w:val="single" w:color="auto" w:sz="6" w:space="0"/>
                    <w:left w:val="single" w:color="auto" w:sz="6" w:space="0"/>
                    <w:bottom w:val="single" w:color="auto" w:sz="6" w:space="0"/>
                    <w:right w:val="single" w:color="auto" w:sz="6" w:space="0"/>
                  </w:tcBorders>
                  <w:noWrap w:val="0"/>
                  <w:vAlign w:val="center"/>
                </w:tcPr>
                <w:p w14:paraId="42DC381E">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正方形边框</w:t>
                  </w:r>
                </w:p>
              </w:tc>
              <w:tc>
                <w:tcPr>
                  <w:tcW w:w="884" w:type="pct"/>
                  <w:tcBorders>
                    <w:top w:val="single" w:color="auto" w:sz="6" w:space="0"/>
                    <w:left w:val="single" w:color="auto" w:sz="6" w:space="0"/>
                    <w:bottom w:val="single" w:color="auto" w:sz="6" w:space="0"/>
                    <w:right w:val="single" w:color="auto" w:sz="6" w:space="0"/>
                  </w:tcBorders>
                  <w:noWrap w:val="0"/>
                  <w:vAlign w:val="center"/>
                </w:tcPr>
                <w:p w14:paraId="2B62ACC6">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三角形边框</w:t>
                  </w:r>
                </w:p>
              </w:tc>
              <w:tc>
                <w:tcPr>
                  <w:tcW w:w="872" w:type="pct"/>
                  <w:tcBorders>
                    <w:top w:val="single" w:color="auto" w:sz="6" w:space="0"/>
                    <w:left w:val="single" w:color="auto" w:sz="6" w:space="0"/>
                    <w:bottom w:val="single" w:color="auto" w:sz="6" w:space="0"/>
                    <w:right w:val="nil"/>
                  </w:tcBorders>
                  <w:noWrap w:val="0"/>
                  <w:vAlign w:val="center"/>
                </w:tcPr>
                <w:p w14:paraId="61D63B34">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三角形边框</w:t>
                  </w:r>
                </w:p>
              </w:tc>
            </w:tr>
            <w:tr w14:paraId="5838250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736" w:type="pct"/>
                  <w:tcBorders>
                    <w:top w:val="single" w:color="auto" w:sz="6" w:space="0"/>
                    <w:left w:val="nil"/>
                    <w:bottom w:val="single" w:color="auto" w:sz="6" w:space="0"/>
                    <w:right w:val="single" w:color="auto" w:sz="6" w:space="0"/>
                  </w:tcBorders>
                  <w:noWrap w:val="0"/>
                  <w:vAlign w:val="center"/>
                </w:tcPr>
                <w:p w14:paraId="4B793FB5">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背景颜色</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5FFB5543">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绿色</w:t>
                  </w:r>
                </w:p>
              </w:tc>
              <w:tc>
                <w:tcPr>
                  <w:tcW w:w="852" w:type="pct"/>
                  <w:tcBorders>
                    <w:top w:val="single" w:color="auto" w:sz="6" w:space="0"/>
                    <w:left w:val="single" w:color="auto" w:sz="6" w:space="0"/>
                    <w:bottom w:val="single" w:color="auto" w:sz="6" w:space="0"/>
                    <w:right w:val="single" w:color="auto" w:sz="6" w:space="0"/>
                  </w:tcBorders>
                  <w:noWrap w:val="0"/>
                  <w:vAlign w:val="center"/>
                </w:tcPr>
                <w:p w14:paraId="1D4AAA52">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绿色</w:t>
                  </w:r>
                </w:p>
              </w:tc>
              <w:tc>
                <w:tcPr>
                  <w:tcW w:w="802" w:type="pct"/>
                  <w:tcBorders>
                    <w:top w:val="single" w:color="auto" w:sz="6" w:space="0"/>
                    <w:left w:val="single" w:color="auto" w:sz="6" w:space="0"/>
                    <w:bottom w:val="single" w:color="auto" w:sz="6" w:space="0"/>
                    <w:right w:val="single" w:color="auto" w:sz="6" w:space="0"/>
                  </w:tcBorders>
                  <w:noWrap w:val="0"/>
                  <w:vAlign w:val="center"/>
                </w:tcPr>
                <w:p w14:paraId="54691992">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绿色</w:t>
                  </w:r>
                </w:p>
              </w:tc>
              <w:tc>
                <w:tcPr>
                  <w:tcW w:w="884" w:type="pct"/>
                  <w:tcBorders>
                    <w:top w:val="single" w:color="auto" w:sz="6" w:space="0"/>
                    <w:left w:val="single" w:color="auto" w:sz="6" w:space="0"/>
                    <w:bottom w:val="single" w:color="auto" w:sz="6" w:space="0"/>
                    <w:right w:val="single" w:color="auto" w:sz="6" w:space="0"/>
                  </w:tcBorders>
                  <w:noWrap w:val="0"/>
                  <w:vAlign w:val="center"/>
                </w:tcPr>
                <w:p w14:paraId="00DB7056">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黄色</w:t>
                  </w:r>
                </w:p>
              </w:tc>
              <w:tc>
                <w:tcPr>
                  <w:tcW w:w="872" w:type="pct"/>
                  <w:tcBorders>
                    <w:top w:val="single" w:color="auto" w:sz="6" w:space="0"/>
                    <w:left w:val="single" w:color="auto" w:sz="6" w:space="0"/>
                    <w:bottom w:val="single" w:color="auto" w:sz="6" w:space="0"/>
                    <w:right w:val="nil"/>
                  </w:tcBorders>
                  <w:noWrap w:val="0"/>
                  <w:vAlign w:val="center"/>
                </w:tcPr>
                <w:p w14:paraId="6D6D10B3">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黄色</w:t>
                  </w:r>
                </w:p>
              </w:tc>
            </w:tr>
            <w:tr w14:paraId="69D723E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736" w:type="pct"/>
                  <w:tcBorders>
                    <w:top w:val="single" w:color="auto" w:sz="6" w:space="0"/>
                    <w:left w:val="nil"/>
                    <w:bottom w:val="single" w:color="auto" w:sz="12" w:space="0"/>
                    <w:right w:val="single" w:color="auto" w:sz="6" w:space="0"/>
                  </w:tcBorders>
                  <w:noWrap w:val="0"/>
                  <w:vAlign w:val="center"/>
                </w:tcPr>
                <w:p w14:paraId="66CEF86A">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图形颜色</w:t>
                  </w:r>
                </w:p>
              </w:tc>
              <w:tc>
                <w:tcPr>
                  <w:tcW w:w="852" w:type="pct"/>
                  <w:tcBorders>
                    <w:top w:val="single" w:color="auto" w:sz="6" w:space="0"/>
                    <w:left w:val="single" w:color="auto" w:sz="6" w:space="0"/>
                    <w:bottom w:val="single" w:color="auto" w:sz="12" w:space="0"/>
                    <w:right w:val="single" w:color="auto" w:sz="6" w:space="0"/>
                  </w:tcBorders>
                  <w:noWrap w:val="0"/>
                  <w:vAlign w:val="center"/>
                </w:tcPr>
                <w:p w14:paraId="1C0EAF4C">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白色</w:t>
                  </w:r>
                </w:p>
              </w:tc>
              <w:tc>
                <w:tcPr>
                  <w:tcW w:w="852" w:type="pct"/>
                  <w:tcBorders>
                    <w:top w:val="single" w:color="auto" w:sz="6" w:space="0"/>
                    <w:left w:val="single" w:color="auto" w:sz="6" w:space="0"/>
                    <w:bottom w:val="single" w:color="auto" w:sz="12" w:space="0"/>
                    <w:right w:val="single" w:color="auto" w:sz="6" w:space="0"/>
                  </w:tcBorders>
                  <w:noWrap w:val="0"/>
                  <w:vAlign w:val="center"/>
                </w:tcPr>
                <w:p w14:paraId="0B0DDD63">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白色</w:t>
                  </w:r>
                </w:p>
              </w:tc>
              <w:tc>
                <w:tcPr>
                  <w:tcW w:w="802" w:type="pct"/>
                  <w:tcBorders>
                    <w:top w:val="single" w:color="auto" w:sz="6" w:space="0"/>
                    <w:left w:val="single" w:color="auto" w:sz="6" w:space="0"/>
                    <w:bottom w:val="single" w:color="auto" w:sz="12" w:space="0"/>
                    <w:right w:val="single" w:color="auto" w:sz="6" w:space="0"/>
                  </w:tcBorders>
                  <w:noWrap w:val="0"/>
                  <w:vAlign w:val="center"/>
                </w:tcPr>
                <w:p w14:paraId="1BF816C3">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白色</w:t>
                  </w:r>
                </w:p>
              </w:tc>
              <w:tc>
                <w:tcPr>
                  <w:tcW w:w="884" w:type="pct"/>
                  <w:tcBorders>
                    <w:top w:val="single" w:color="auto" w:sz="6" w:space="0"/>
                    <w:left w:val="single" w:color="auto" w:sz="6" w:space="0"/>
                    <w:bottom w:val="single" w:color="auto" w:sz="12" w:space="0"/>
                    <w:right w:val="single" w:color="auto" w:sz="6" w:space="0"/>
                  </w:tcBorders>
                  <w:noWrap w:val="0"/>
                  <w:vAlign w:val="center"/>
                </w:tcPr>
                <w:p w14:paraId="3CC1EC11">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黑色</w:t>
                  </w:r>
                </w:p>
              </w:tc>
              <w:tc>
                <w:tcPr>
                  <w:tcW w:w="872" w:type="pct"/>
                  <w:tcBorders>
                    <w:top w:val="single" w:color="auto" w:sz="6" w:space="0"/>
                    <w:left w:val="single" w:color="auto" w:sz="6" w:space="0"/>
                    <w:bottom w:val="single" w:color="auto" w:sz="12" w:space="0"/>
                    <w:right w:val="nil"/>
                  </w:tcBorders>
                  <w:noWrap w:val="0"/>
                  <w:vAlign w:val="center"/>
                </w:tcPr>
                <w:p w14:paraId="52EA9955">
                  <w:pPr>
                    <w:pStyle w:val="47"/>
                    <w:bidi w:val="0"/>
                    <w:rPr>
                      <w:rFonts w:hint="default" w:ascii="Times New Roman" w:hAnsi="Times New Roman" w:cs="Times New Roman"/>
                      <w:color w:val="000000" w:themeColor="text1"/>
                      <w:sz w:val="18"/>
                      <w:szCs w:val="18"/>
                      <w:lang w:val="en-GB"/>
                      <w14:textFill>
                        <w14:solidFill>
                          <w14:schemeClr w14:val="tx1"/>
                        </w14:solidFill>
                      </w14:textFill>
                    </w:rPr>
                  </w:pPr>
                  <w:r>
                    <w:rPr>
                      <w:rFonts w:hint="default" w:ascii="Times New Roman" w:hAnsi="Times New Roman" w:cs="Times New Roman"/>
                      <w:color w:val="000000" w:themeColor="text1"/>
                      <w:sz w:val="18"/>
                      <w:szCs w:val="18"/>
                      <w:lang w:val="en-GB"/>
                      <w14:textFill>
                        <w14:solidFill>
                          <w14:schemeClr w14:val="tx1"/>
                        </w14:solidFill>
                      </w14:textFill>
                    </w:rPr>
                    <w:t>黑色</w:t>
                  </w:r>
                </w:p>
              </w:tc>
            </w:tr>
          </w:tbl>
          <w:p w14:paraId="332EFD53">
            <w:pPr>
              <w:pStyle w:val="43"/>
              <w:bidi w:val="0"/>
              <w:ind w:left="0" w:leftChars="0" w:firstLine="0" w:firstLineChars="0"/>
              <w:rPr>
                <w:rFonts w:hint="default" w:ascii="Times New Roman" w:hAnsi="Times New Roman" w:cs="Times New Roman"/>
                <w:color w:val="000000" w:themeColor="text1"/>
                <w14:textFill>
                  <w14:solidFill>
                    <w14:schemeClr w14:val="tx1"/>
                  </w14:solidFill>
                </w14:textFill>
              </w:rPr>
            </w:pPr>
          </w:p>
        </w:tc>
      </w:tr>
    </w:tbl>
    <w:p w14:paraId="5412A089">
      <w:pPr>
        <w:pStyle w:val="22"/>
        <w:numPr>
          <w:ilvl w:val="0"/>
          <w:numId w:val="6"/>
        </w:numPr>
        <w:jc w:val="center"/>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bookmarkStart w:id="38" w:name="_Toc16019"/>
      <w:bookmarkStart w:id="39" w:name="_Toc26290"/>
      <w:bookmarkStart w:id="40" w:name="_Toc26092"/>
      <w:bookmarkStart w:id="41" w:name="_Toc25126"/>
      <w:r>
        <w:rPr>
          <w:rFonts w:hint="default" w:ascii="Times New Roman" w:hAnsi="Times New Roman" w:cs="Times New Roman"/>
          <w:lang w:eastAsia="zh-CN"/>
        </w:rPr>
        <w:drawing>
          <wp:anchor distT="0" distB="0" distL="114300" distR="114300" simplePos="0" relativeHeight="251674624" behindDoc="0" locked="0" layoutInCell="1" allowOverlap="1">
            <wp:simplePos x="0" y="0"/>
            <wp:positionH relativeFrom="column">
              <wp:posOffset>-963930</wp:posOffset>
            </wp:positionH>
            <wp:positionV relativeFrom="paragraph">
              <wp:posOffset>-1158875</wp:posOffset>
            </wp:positionV>
            <wp:extent cx="7567930" cy="10688955"/>
            <wp:effectExtent l="0" t="0" r="6350" b="9525"/>
            <wp:wrapNone/>
            <wp:docPr id="117" name="图片 117" descr="Scan_15-12-2025_1015_000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Scan_15-12-2025_1015_0003_10"/>
                    <pic:cNvPicPr>
                      <a:picLocks noChangeAspect="1"/>
                    </pic:cNvPicPr>
                  </pic:nvPicPr>
                  <pic:blipFill>
                    <a:blip r:embed="rId30"/>
                    <a:stretch>
                      <a:fillRect/>
                    </a:stretch>
                  </pic:blipFill>
                  <pic:spPr>
                    <a:xfrm>
                      <a:off x="0" y="0"/>
                      <a:ext cx="7567930" cy="10688955"/>
                    </a:xfrm>
                    <a:prstGeom prst="rect">
                      <a:avLst/>
                    </a:prstGeom>
                  </pic:spPr>
                </pic:pic>
              </a:graphicData>
            </a:graphic>
          </wp:anchor>
        </w:drawing>
      </w:r>
      <w:r>
        <w:rPr>
          <w:rFonts w:hint="default" w:ascii="Times New Roman" w:hAnsi="Times New Roman" w:eastAsia="黑体" w:cs="Times New Roman"/>
          <w:snapToGrid w:val="0"/>
          <w:sz w:val="30"/>
          <w:szCs w:val="30"/>
        </w:rPr>
        <w:t>结论</w:t>
      </w:r>
      <w:bookmarkEnd w:id="38"/>
      <w:bookmarkEnd w:id="39"/>
      <w:bookmarkEnd w:id="40"/>
      <w:bookmarkEnd w:id="41"/>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9DA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14:paraId="68FE86C0">
            <w:pPr>
              <w:pStyle w:val="43"/>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color w:val="000000"/>
                <w:lang w:val="en-US" w:eastAsia="zh-CN"/>
              </w:rPr>
            </w:pPr>
            <w:r>
              <w:rPr>
                <w:rFonts w:hint="eastAsia" w:cs="Times New Roman"/>
                <w:color w:val="000000"/>
                <w:szCs w:val="21"/>
                <w:lang w:eastAsia="zh-CN"/>
              </w:rPr>
              <w:t>格拉默车辆内饰（合肥）有限公司福州分公司年加工汽车零部件20万套</w:t>
            </w:r>
            <w:r>
              <w:rPr>
                <w:rFonts w:hint="default" w:ascii="Times New Roman" w:hAnsi="Times New Roman" w:cs="Times New Roman"/>
                <w:color w:val="000000"/>
                <w:szCs w:val="21"/>
                <w:lang w:val="en-US" w:eastAsia="zh-CN"/>
              </w:rPr>
              <w:t>位于</w:t>
            </w:r>
            <w:r>
              <w:rPr>
                <w:rFonts w:hint="eastAsia" w:cs="Times New Roman"/>
                <w:color w:val="000000"/>
                <w:szCs w:val="21"/>
                <w:lang w:val="en-US" w:eastAsia="zh-CN"/>
              </w:rPr>
              <w:t>福建省福州市福清市石竹街道融侨开发区（租赁福州聚德电子有限公司1号厂房三层）</w:t>
            </w:r>
            <w:r>
              <w:rPr>
                <w:rFonts w:hint="default" w:ascii="Times New Roman" w:hAnsi="Times New Roman" w:cs="Times New Roman"/>
                <w:color w:val="000000"/>
                <w:szCs w:val="21"/>
                <w:lang w:val="en-US" w:eastAsia="zh-CN"/>
              </w:rPr>
              <w:t>，项目</w:t>
            </w:r>
            <w:r>
              <w:rPr>
                <w:rFonts w:hint="eastAsia" w:cs="Times New Roman"/>
                <w:color w:val="000000"/>
                <w:szCs w:val="21"/>
                <w:lang w:eastAsia="zh-CN"/>
              </w:rPr>
              <w:t>年加工汽车零部件20万套</w:t>
            </w:r>
            <w:r>
              <w:rPr>
                <w:rFonts w:hint="default" w:ascii="Times New Roman" w:hAnsi="Times New Roman" w:cs="Times New Roman"/>
                <w:color w:val="000000"/>
                <w:szCs w:val="21"/>
                <w:lang w:val="en-US" w:eastAsia="zh-CN"/>
              </w:rPr>
              <w:t>，建设符合国家相关产业政策，符合</w:t>
            </w:r>
            <w:r>
              <w:rPr>
                <w:rFonts w:hint="default" w:ascii="Times New Roman" w:hAnsi="Times New Roman" w:cs="Times New Roman"/>
                <w:color w:val="000000"/>
                <w:lang w:val="en-US" w:eastAsia="zh-CN"/>
              </w:rPr>
              <w:t>《福清融侨经济技术开发区总体规划(2018-2035)环境影响报告书》中的相关要求，其选址合理，总平面布置基本合理，并符合生态分区管控控制要求。通过对本项目的环境影响分析评价，项目运营过程中废水、废气、噪声、固废等污染物，对周围大气环境、水环境、声环境等造成一定不利影响，经采取综合性、积极有效的防治措施并确保污染物达标排放后，可避免或减少这些不利影响，影响均在环境可接受的范围内。</w:t>
            </w:r>
          </w:p>
          <w:p w14:paraId="5B951754">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eastAsia="zh-CN"/>
              </w:rPr>
              <w:t>综上所述，在认真执行建设项目环境保护“三同时”</w:t>
            </w:r>
            <w:r>
              <w:rPr>
                <w:rFonts w:hint="default" w:ascii="Times New Roman" w:hAnsi="Times New Roman" w:cs="Times New Roman"/>
                <w:color w:val="000000"/>
                <w:lang w:val="en-US" w:eastAsia="zh-CN"/>
              </w:rPr>
              <w:t>制度，切实落实各项规划方案的要求，完成本次环境影响评价提出的各项污染防治措施</w:t>
            </w:r>
            <w:r>
              <w:rPr>
                <w:rFonts w:hint="eastAsia" w:cs="Times New Roman"/>
                <w:color w:val="000000"/>
                <w:lang w:val="en-US" w:eastAsia="zh-CN"/>
              </w:rPr>
              <w:t>，在</w:t>
            </w:r>
            <w:r>
              <w:rPr>
                <w:rFonts w:hint="default" w:ascii="Times New Roman" w:hAnsi="Times New Roman" w:cs="Times New Roman"/>
                <w:color w:val="000000"/>
                <w:lang w:val="en-US" w:eastAsia="zh-CN"/>
              </w:rPr>
              <w:t>严格落实各项生态环境保护和污染防治措施和环境管理机构的要求的前提下，确保各污染物达标排放，对周围的环境影响较小。从环境保护角度分析，该项目的建设是可行的。</w:t>
            </w:r>
          </w:p>
          <w:p w14:paraId="1B6D4C82">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cs="Times New Roman"/>
                <w:color w:val="auto"/>
                <w:sz w:val="24"/>
                <w:u w:val="none"/>
              </w:rPr>
            </w:pPr>
          </w:p>
          <w:p w14:paraId="13E15621">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cs="Times New Roman"/>
                <w:color w:val="auto"/>
                <w:sz w:val="24"/>
                <w:u w:val="none"/>
              </w:rPr>
            </w:pPr>
          </w:p>
          <w:p w14:paraId="68471D0F">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u w:val="none"/>
                <w:lang w:val="en-US" w:eastAsia="zh-CN"/>
              </w:rPr>
            </w:pPr>
          </w:p>
          <w:p w14:paraId="1D6E31B9">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color w:val="auto"/>
                <w:sz w:val="24"/>
                <w:u w:val="none"/>
                <w:lang w:val="en-US" w:eastAsia="zh-CN"/>
              </w:rPr>
              <w:t xml:space="preserve">                          </w:t>
            </w:r>
            <w:r>
              <w:rPr>
                <w:rFonts w:hint="default" w:ascii="Times New Roman" w:hAnsi="Times New Roman" w:cs="Times New Roman"/>
                <w:b/>
                <w:bCs/>
                <w:color w:val="auto"/>
                <w:sz w:val="24"/>
                <w:u w:val="none"/>
                <w:lang w:val="en-US" w:eastAsia="zh-CN"/>
              </w:rPr>
              <w:t>编制单位</w:t>
            </w:r>
            <w:r>
              <w:rPr>
                <w:rFonts w:hint="default" w:ascii="Times New Roman" w:hAnsi="Times New Roman" w:eastAsia="宋体" w:cs="Times New Roman"/>
                <w:b/>
                <w:bCs/>
                <w:color w:val="auto"/>
                <w:sz w:val="24"/>
                <w:u w:val="none"/>
                <w:lang w:val="en-US" w:eastAsia="zh-CN"/>
              </w:rPr>
              <w:t>：福建中森亚环保科技有限公司</w:t>
            </w:r>
          </w:p>
          <w:p w14:paraId="0077CFC0">
            <w:pPr>
              <w:pStyle w:val="7"/>
              <w:keepNext w:val="0"/>
              <w:keepLines w:val="0"/>
              <w:pageBreakBefore w:val="0"/>
              <w:widowControl w:val="0"/>
              <w:kinsoku/>
              <w:wordWrap/>
              <w:overflowPunct/>
              <w:topLinePunct w:val="0"/>
              <w:autoSpaceDE w:val="0"/>
              <w:autoSpaceDN w:val="0"/>
              <w:bidi w:val="0"/>
              <w:adjustRightInd w:val="0"/>
              <w:snapToGrid w:val="0"/>
              <w:spacing w:line="360" w:lineRule="auto"/>
              <w:ind w:right="840" w:rightChars="400" w:firstLine="3614" w:firstLineChars="1500"/>
              <w:jc w:val="right"/>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编制时间：202</w:t>
            </w:r>
            <w:r>
              <w:rPr>
                <w:rFonts w:hint="eastAsia" w:ascii="Times New Roman" w:hAnsi="Times New Roman" w:eastAsia="宋体" w:cs="Times New Roman"/>
                <w:b/>
                <w:bCs/>
                <w:color w:val="auto"/>
                <w:sz w:val="24"/>
                <w:u w:val="none"/>
                <w:lang w:val="en-US" w:eastAsia="zh-CN"/>
              </w:rPr>
              <w:t>5</w:t>
            </w:r>
            <w:r>
              <w:rPr>
                <w:rFonts w:hint="default" w:ascii="Times New Roman" w:hAnsi="Times New Roman" w:eastAsia="宋体" w:cs="Times New Roman"/>
                <w:b/>
                <w:bCs/>
                <w:color w:val="auto"/>
                <w:sz w:val="24"/>
                <w:u w:val="none"/>
                <w:lang w:val="en-US" w:eastAsia="zh-CN"/>
              </w:rPr>
              <w:t>年</w:t>
            </w:r>
            <w:r>
              <w:rPr>
                <w:rFonts w:hint="eastAsia" w:cs="Times New Roman"/>
                <w:b/>
                <w:bCs/>
                <w:color w:val="auto"/>
                <w:sz w:val="24"/>
                <w:u w:val="none"/>
                <w:lang w:val="en-US" w:eastAsia="zh-CN"/>
              </w:rPr>
              <w:t>12</w:t>
            </w:r>
            <w:r>
              <w:rPr>
                <w:rFonts w:hint="default" w:ascii="Times New Roman" w:hAnsi="Times New Roman" w:eastAsia="宋体" w:cs="Times New Roman"/>
                <w:b/>
                <w:bCs/>
                <w:color w:val="auto"/>
                <w:sz w:val="24"/>
                <w:u w:val="none"/>
                <w:lang w:val="en-US" w:eastAsia="zh-CN"/>
              </w:rPr>
              <w:t>月</w:t>
            </w:r>
          </w:p>
          <w:p w14:paraId="1BA70407">
            <w:pPr>
              <w:pStyle w:val="43"/>
              <w:bidi w:val="0"/>
              <w:rPr>
                <w:rFonts w:hint="default" w:ascii="Times New Roman" w:hAnsi="Times New Roman" w:cs="Times New Roman"/>
                <w:lang w:eastAsia="zh-CN"/>
              </w:rPr>
            </w:pPr>
          </w:p>
          <w:p w14:paraId="1C68E1D6">
            <w:pPr>
              <w:pStyle w:val="43"/>
              <w:bidi w:val="0"/>
              <w:rPr>
                <w:rFonts w:hint="default" w:ascii="Times New Roman" w:hAnsi="Times New Roman" w:cs="Times New Roman"/>
                <w:lang w:eastAsia="zh-CN"/>
              </w:rPr>
            </w:pPr>
          </w:p>
          <w:p w14:paraId="03824C7C">
            <w:pPr>
              <w:pStyle w:val="43"/>
              <w:bidi w:val="0"/>
              <w:rPr>
                <w:rFonts w:hint="default" w:ascii="Times New Roman" w:hAnsi="Times New Roman" w:cs="Times New Roman"/>
                <w:lang w:eastAsia="zh-CN"/>
              </w:rPr>
            </w:pPr>
          </w:p>
          <w:p w14:paraId="0A13A42B">
            <w:pPr>
              <w:pStyle w:val="43"/>
              <w:bidi w:val="0"/>
              <w:rPr>
                <w:rFonts w:hint="default" w:ascii="Times New Roman" w:hAnsi="Times New Roman" w:cs="Times New Roman"/>
                <w:lang w:eastAsia="zh-CN"/>
              </w:rPr>
            </w:pPr>
          </w:p>
          <w:p w14:paraId="10BF2EFA">
            <w:pPr>
              <w:pStyle w:val="43"/>
              <w:bidi w:val="0"/>
              <w:rPr>
                <w:rFonts w:hint="default" w:ascii="Times New Roman" w:hAnsi="Times New Roman" w:cs="Times New Roman"/>
                <w:lang w:eastAsia="zh-CN"/>
              </w:rPr>
            </w:pPr>
          </w:p>
          <w:p w14:paraId="0960DF8C">
            <w:pPr>
              <w:pStyle w:val="43"/>
              <w:bidi w:val="0"/>
              <w:rPr>
                <w:rFonts w:hint="default" w:ascii="Times New Roman" w:hAnsi="Times New Roman" w:cs="Times New Roman"/>
                <w:lang w:eastAsia="zh-CN"/>
              </w:rPr>
            </w:pPr>
          </w:p>
          <w:p w14:paraId="4406F136">
            <w:pPr>
              <w:pStyle w:val="43"/>
              <w:bidi w:val="0"/>
              <w:rPr>
                <w:rFonts w:hint="default" w:ascii="Times New Roman" w:hAnsi="Times New Roman" w:cs="Times New Roman"/>
                <w:lang w:eastAsia="zh-CN"/>
              </w:rPr>
            </w:pPr>
          </w:p>
          <w:p w14:paraId="04E27721">
            <w:pPr>
              <w:pStyle w:val="2"/>
              <w:jc w:val="both"/>
              <w:outlineLvl w:val="9"/>
              <w:rPr>
                <w:rFonts w:hint="default" w:ascii="Times New Roman" w:hAnsi="Times New Roman" w:cs="Times New Roman"/>
                <w:lang w:eastAsia="zh-CN"/>
              </w:rPr>
            </w:pPr>
          </w:p>
        </w:tc>
      </w:tr>
    </w:tbl>
    <w:p w14:paraId="4274925E">
      <w:pPr>
        <w:pStyle w:val="40"/>
        <w:bidi w:val="0"/>
        <w:ind w:left="0" w:leftChars="0" w:firstLine="0" w:firstLineChars="0"/>
        <w:rPr>
          <w:rFonts w:hint="default" w:ascii="Times New Roman" w:hAnsi="Times New Roman" w:cs="Times New Roman"/>
          <w:lang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6E177F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sz w:val="32"/>
          <w:szCs w:val="32"/>
        </w:rPr>
      </w:pPr>
      <w:bookmarkStart w:id="42" w:name="_Toc3542"/>
      <w:bookmarkStart w:id="43" w:name="_Toc17565"/>
      <w:bookmarkStart w:id="44" w:name="_Toc8877"/>
      <w:bookmarkStart w:id="45" w:name="_Toc19747"/>
      <w:r>
        <w:rPr>
          <w:rFonts w:hint="default" w:ascii="Times New Roman" w:hAnsi="Times New Roman" w:eastAsia="黑体" w:cs="Times New Roman"/>
          <w:snapToGrid w:val="0"/>
          <w:sz w:val="32"/>
          <w:szCs w:val="32"/>
        </w:rPr>
        <w:t>附表</w:t>
      </w:r>
      <w:bookmarkEnd w:id="42"/>
      <w:bookmarkEnd w:id="43"/>
      <w:bookmarkEnd w:id="44"/>
      <w:bookmarkEnd w:id="45"/>
    </w:p>
    <w:p w14:paraId="3AF999E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sz w:val="32"/>
          <w:szCs w:val="32"/>
          <w:lang w:val="en-US" w:eastAsia="zh-CN"/>
        </w:rPr>
      </w:pPr>
      <w:bookmarkStart w:id="46" w:name="_Toc11836"/>
      <w:bookmarkStart w:id="47" w:name="_Toc18403"/>
      <w:bookmarkStart w:id="48" w:name="_Toc16718"/>
      <w:bookmarkStart w:id="49" w:name="_Toc7377"/>
      <w:r>
        <w:rPr>
          <w:rFonts w:hint="default" w:ascii="Times New Roman" w:hAnsi="Times New Roman" w:eastAsia="黑体" w:cs="Times New Roman"/>
          <w:snapToGrid w:val="0"/>
          <w:sz w:val="32"/>
          <w:szCs w:val="32"/>
        </w:rPr>
        <w:t>建设项目污染物排放量汇总表</w:t>
      </w:r>
      <w:bookmarkEnd w:id="46"/>
      <w:bookmarkEnd w:id="47"/>
      <w:bookmarkEnd w:id="48"/>
      <w:bookmarkEnd w:id="49"/>
      <w:r>
        <w:rPr>
          <w:rFonts w:hint="eastAsia" w:ascii="Times New Roman" w:hAnsi="Times New Roman" w:eastAsia="黑体" w:cs="Times New Roman"/>
          <w:snapToGrid w:val="0"/>
          <w:sz w:val="32"/>
          <w:szCs w:val="32"/>
          <w:lang w:eastAsia="zh-CN"/>
        </w:rPr>
        <w:t>，单位：</w:t>
      </w:r>
      <w:r>
        <w:rPr>
          <w:rFonts w:hint="eastAsia" w:ascii="Times New Roman" w:hAnsi="Times New Roman" w:eastAsia="黑体" w:cs="Times New Roman"/>
          <w:snapToGrid w:val="0"/>
          <w:sz w:val="32"/>
          <w:szCs w:val="32"/>
          <w:lang w:val="en-US" w:eastAsia="zh-CN"/>
        </w:rPr>
        <w:t>t/a</w:t>
      </w:r>
    </w:p>
    <w:tbl>
      <w:tblPr>
        <w:tblStyle w:val="2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2082"/>
        <w:gridCol w:w="1469"/>
        <w:gridCol w:w="1276"/>
        <w:gridCol w:w="1701"/>
        <w:gridCol w:w="1559"/>
        <w:gridCol w:w="1640"/>
        <w:gridCol w:w="1545"/>
        <w:gridCol w:w="1361"/>
      </w:tblGrid>
      <w:tr w14:paraId="6F7AC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tcBorders>
              <w:tl2br w:val="single" w:color="auto" w:sz="4" w:space="0"/>
            </w:tcBorders>
            <w:noWrap w:val="0"/>
            <w:tcMar>
              <w:left w:w="28" w:type="dxa"/>
              <w:right w:w="28" w:type="dxa"/>
            </w:tcMar>
            <w:vAlign w:val="center"/>
          </w:tcPr>
          <w:p w14:paraId="1F2EC1BF">
            <w:pPr>
              <w:pStyle w:val="37"/>
              <w:spacing w:beforeLines="0" w:afterLines="0" w:line="240" w:lineRule="auto"/>
              <w:jc w:val="righ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项目</w:t>
            </w:r>
          </w:p>
          <w:p w14:paraId="08D437A6">
            <w:pPr>
              <w:pStyle w:val="37"/>
              <w:spacing w:beforeLines="0" w:afterLines="0" w:line="240" w:lineRule="auto"/>
              <w:jc w:val="left"/>
              <w:rPr>
                <w:rFonts w:hint="default" w:ascii="Times New Roman" w:hAnsi="Times New Roman" w:eastAsia="黑体" w:cs="Times New Roman"/>
                <w:snapToGrid w:val="0"/>
                <w:color w:val="000000"/>
                <w:spacing w:val="-6"/>
                <w:kern w:val="21"/>
                <w:szCs w:val="21"/>
              </w:rPr>
            </w:pPr>
          </w:p>
          <w:p w14:paraId="5572E1EC">
            <w:pPr>
              <w:pStyle w:val="37"/>
              <w:spacing w:beforeLines="0" w:afterLines="0" w:line="240" w:lineRule="auto"/>
              <w:jc w:val="lef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分类</w:t>
            </w:r>
          </w:p>
        </w:tc>
        <w:tc>
          <w:tcPr>
            <w:tcW w:w="2082" w:type="dxa"/>
            <w:noWrap w:val="0"/>
            <w:tcMar>
              <w:left w:w="28" w:type="dxa"/>
              <w:right w:w="28" w:type="dxa"/>
            </w:tcMar>
            <w:vAlign w:val="center"/>
          </w:tcPr>
          <w:p w14:paraId="4CE23D84">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污染物名称</w:t>
            </w:r>
          </w:p>
        </w:tc>
        <w:tc>
          <w:tcPr>
            <w:tcW w:w="1469" w:type="dxa"/>
            <w:noWrap w:val="0"/>
            <w:tcMar>
              <w:left w:w="28" w:type="dxa"/>
              <w:right w:w="28" w:type="dxa"/>
            </w:tcMar>
            <w:vAlign w:val="center"/>
          </w:tcPr>
          <w:p w14:paraId="5387A9EB">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14:paraId="43537BC3">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t>固体废物产生量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1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①</w:t>
            </w:r>
            <w:r>
              <w:rPr>
                <w:rFonts w:hint="default" w:ascii="Times New Roman" w:hAnsi="Times New Roman" w:eastAsia="黑体" w:cs="Times New Roman"/>
                <w:snapToGrid w:val="0"/>
                <w:color w:val="000000"/>
                <w:spacing w:val="-6"/>
                <w:kern w:val="21"/>
                <w:szCs w:val="21"/>
              </w:rPr>
              <w:fldChar w:fldCharType="end"/>
            </w:r>
          </w:p>
        </w:tc>
        <w:tc>
          <w:tcPr>
            <w:tcW w:w="1276" w:type="dxa"/>
            <w:noWrap w:val="0"/>
            <w:tcMar>
              <w:left w:w="28" w:type="dxa"/>
              <w:right w:w="28" w:type="dxa"/>
            </w:tcMar>
            <w:vAlign w:val="center"/>
          </w:tcPr>
          <w:p w14:paraId="05F2BC91">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14:paraId="5B9DEA59">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许可排放量</w:t>
            </w:r>
          </w:p>
          <w:p w14:paraId="6FB0439D">
            <w:pPr>
              <w:pStyle w:val="37"/>
              <w:spacing w:beforeLines="0" w:afterLine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2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snapToGrid w:val="0"/>
                <w:color w:val="000000"/>
                <w:spacing w:val="-6"/>
                <w:kern w:val="21"/>
                <w:szCs w:val="21"/>
              </w:rPr>
              <w:t>②</w:t>
            </w:r>
            <w:r>
              <w:rPr>
                <w:rFonts w:hint="default" w:ascii="Times New Roman" w:hAnsi="Times New Roman" w:eastAsia="黑体" w:cs="Times New Roman"/>
                <w:snapToGrid w:val="0"/>
                <w:color w:val="000000"/>
                <w:spacing w:val="-6"/>
                <w:kern w:val="21"/>
                <w:szCs w:val="21"/>
              </w:rPr>
              <w:fldChar w:fldCharType="end"/>
            </w:r>
          </w:p>
        </w:tc>
        <w:tc>
          <w:tcPr>
            <w:tcW w:w="1701" w:type="dxa"/>
            <w:noWrap w:val="0"/>
            <w:tcMar>
              <w:left w:w="28" w:type="dxa"/>
              <w:right w:w="28" w:type="dxa"/>
            </w:tcMar>
            <w:vAlign w:val="center"/>
          </w:tcPr>
          <w:p w14:paraId="690BB258">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在建工程</w:t>
            </w:r>
          </w:p>
          <w:p w14:paraId="53F72CC1">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t>固体废物产生量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3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③</w:t>
            </w:r>
            <w:r>
              <w:rPr>
                <w:rFonts w:hint="default" w:ascii="Times New Roman" w:hAnsi="Times New Roman" w:eastAsia="黑体" w:cs="Times New Roman"/>
                <w:snapToGrid w:val="0"/>
                <w:color w:val="000000"/>
                <w:spacing w:val="-6"/>
                <w:kern w:val="21"/>
                <w:szCs w:val="21"/>
              </w:rPr>
              <w:fldChar w:fldCharType="end"/>
            </w:r>
          </w:p>
        </w:tc>
        <w:tc>
          <w:tcPr>
            <w:tcW w:w="1559" w:type="dxa"/>
            <w:noWrap w:val="0"/>
            <w:tcMar>
              <w:left w:w="28" w:type="dxa"/>
              <w:right w:w="28" w:type="dxa"/>
            </w:tcMar>
            <w:vAlign w:val="center"/>
          </w:tcPr>
          <w:p w14:paraId="56047DBD">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本项目</w:t>
            </w:r>
          </w:p>
          <w:p w14:paraId="0100DD21">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t>固体废物产生量</w:t>
            </w:r>
            <w:r>
              <w:rPr>
                <w:rFonts w:hint="eastAsia" w:ascii="Times New Roman" w:hAnsi="Times New Roman" w:eastAsia="黑体" w:cs="Times New Roman"/>
                <w:snapToGrid w:val="0"/>
                <w:color w:val="000000"/>
                <w:spacing w:val="-6"/>
                <w:kern w:val="21"/>
                <w:szCs w:val="21"/>
                <w:lang w:eastAsia="zh-CN"/>
              </w:rPr>
              <w:t>)</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4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④</w:t>
            </w:r>
            <w:r>
              <w:rPr>
                <w:rFonts w:hint="default" w:ascii="Times New Roman" w:hAnsi="Times New Roman" w:eastAsia="黑体" w:cs="Times New Roman"/>
                <w:snapToGrid w:val="0"/>
                <w:color w:val="000000"/>
                <w:spacing w:val="-6"/>
                <w:kern w:val="21"/>
                <w:szCs w:val="21"/>
              </w:rPr>
              <w:fldChar w:fldCharType="end"/>
            </w:r>
          </w:p>
        </w:tc>
        <w:tc>
          <w:tcPr>
            <w:tcW w:w="1640" w:type="dxa"/>
            <w:noWrap w:val="0"/>
            <w:tcMar>
              <w:left w:w="28" w:type="dxa"/>
              <w:right w:w="28" w:type="dxa"/>
            </w:tcMar>
            <w:vAlign w:val="center"/>
          </w:tcPr>
          <w:p w14:paraId="362BD5F7">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以新带老削减量</w:t>
            </w:r>
          </w:p>
          <w:p w14:paraId="6EEB76B4">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eastAsia" w:ascii="Times New Roman" w:hAnsi="Times New Roman" w:eastAsia="黑体" w:cs="Times New Roman"/>
                <w:snapToGrid w:val="0"/>
                <w:color w:val="000000"/>
                <w:spacing w:val="-16"/>
                <w:kern w:val="21"/>
                <w:szCs w:val="21"/>
                <w:lang w:eastAsia="zh-CN"/>
              </w:rPr>
              <w:t>(</w:t>
            </w:r>
            <w:r>
              <w:rPr>
                <w:rFonts w:hint="default" w:ascii="Times New Roman" w:hAnsi="Times New Roman" w:eastAsia="黑体" w:cs="Times New Roman"/>
                <w:snapToGrid w:val="0"/>
                <w:color w:val="000000"/>
                <w:spacing w:val="-16"/>
                <w:kern w:val="21"/>
                <w:szCs w:val="21"/>
              </w:rPr>
              <w:t>新建项目不填</w:t>
            </w:r>
            <w:r>
              <w:rPr>
                <w:rFonts w:hint="eastAsia" w:ascii="Times New Roman" w:hAnsi="Times New Roman" w:eastAsia="黑体" w:cs="Times New Roman"/>
                <w:snapToGrid w:val="0"/>
                <w:color w:val="000000"/>
                <w:spacing w:val="-16"/>
                <w:kern w:val="21"/>
                <w:szCs w:val="21"/>
                <w:lang w:eastAsia="zh-CN"/>
              </w:rPr>
              <w:t>)</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5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color w:val="000000"/>
                <w:kern w:val="2"/>
                <w:szCs w:val="21"/>
              </w:rPr>
              <w:t>⑤</w:t>
            </w:r>
            <w:r>
              <w:rPr>
                <w:rFonts w:hint="default" w:ascii="Times New Roman" w:hAnsi="Times New Roman" w:eastAsia="黑体" w:cs="Times New Roman"/>
                <w:snapToGrid w:val="0"/>
                <w:color w:val="000000"/>
                <w:spacing w:val="-16"/>
                <w:kern w:val="21"/>
                <w:szCs w:val="21"/>
              </w:rPr>
              <w:fldChar w:fldCharType="end"/>
            </w:r>
          </w:p>
        </w:tc>
        <w:tc>
          <w:tcPr>
            <w:tcW w:w="1545" w:type="dxa"/>
            <w:noWrap w:val="0"/>
            <w:tcMar>
              <w:left w:w="28" w:type="dxa"/>
              <w:right w:w="28" w:type="dxa"/>
            </w:tcMar>
            <w:vAlign w:val="center"/>
          </w:tcPr>
          <w:p w14:paraId="7970F3FD">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本项目建成后</w:t>
            </w:r>
          </w:p>
          <w:p w14:paraId="0BB78E7D">
            <w:pPr>
              <w:pStyle w:val="37"/>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全厂排放量</w:t>
            </w:r>
            <w:r>
              <w:rPr>
                <w:rFonts w:hint="eastAsia" w:ascii="Times New Roman" w:hAnsi="Times New Roman" w:eastAsia="黑体" w:cs="Times New Roman"/>
                <w:snapToGrid w:val="0"/>
                <w:color w:val="000000"/>
                <w:spacing w:val="-16"/>
                <w:kern w:val="21"/>
                <w:szCs w:val="21"/>
                <w:lang w:eastAsia="zh-CN"/>
              </w:rPr>
              <w:t>(</w:t>
            </w:r>
            <w:r>
              <w:rPr>
                <w:rFonts w:hint="default" w:ascii="Times New Roman" w:hAnsi="Times New Roman" w:eastAsia="黑体" w:cs="Times New Roman"/>
                <w:snapToGrid w:val="0"/>
                <w:color w:val="000000"/>
                <w:spacing w:val="-16"/>
                <w:kern w:val="21"/>
                <w:szCs w:val="21"/>
              </w:rPr>
              <w:t>固体废物产生量</w:t>
            </w:r>
            <w:r>
              <w:rPr>
                <w:rFonts w:hint="eastAsia" w:ascii="Times New Roman" w:hAnsi="Times New Roman" w:eastAsia="黑体" w:cs="Times New Roman"/>
                <w:snapToGrid w:val="0"/>
                <w:color w:val="000000"/>
                <w:spacing w:val="-16"/>
                <w:kern w:val="21"/>
                <w:szCs w:val="21"/>
                <w:lang w:eastAsia="zh-CN"/>
              </w:rPr>
              <w:t>)</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6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color w:val="000000"/>
                <w:kern w:val="2"/>
                <w:szCs w:val="21"/>
              </w:rPr>
              <w:t>⑥</w:t>
            </w:r>
            <w:r>
              <w:rPr>
                <w:rFonts w:hint="default" w:ascii="Times New Roman" w:hAnsi="Times New Roman" w:eastAsia="黑体" w:cs="Times New Roman"/>
                <w:snapToGrid w:val="0"/>
                <w:color w:val="000000"/>
                <w:spacing w:val="-16"/>
                <w:kern w:val="21"/>
                <w:szCs w:val="21"/>
              </w:rPr>
              <w:fldChar w:fldCharType="end"/>
            </w:r>
          </w:p>
        </w:tc>
        <w:tc>
          <w:tcPr>
            <w:tcW w:w="1361" w:type="dxa"/>
            <w:noWrap w:val="0"/>
            <w:tcMar>
              <w:left w:w="28" w:type="dxa"/>
              <w:right w:w="28" w:type="dxa"/>
            </w:tcMar>
            <w:vAlign w:val="center"/>
          </w:tcPr>
          <w:p w14:paraId="0C23C79F">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变化量</w:t>
            </w:r>
          </w:p>
          <w:p w14:paraId="1D262D30">
            <w:pPr>
              <w:pStyle w:val="37"/>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7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⑦</w:t>
            </w:r>
            <w:r>
              <w:rPr>
                <w:rFonts w:hint="default" w:ascii="Times New Roman" w:hAnsi="Times New Roman" w:eastAsia="黑体" w:cs="Times New Roman"/>
                <w:snapToGrid w:val="0"/>
                <w:color w:val="000000"/>
                <w:spacing w:val="-6"/>
                <w:kern w:val="21"/>
                <w:szCs w:val="21"/>
              </w:rPr>
              <w:fldChar w:fldCharType="end"/>
            </w:r>
          </w:p>
        </w:tc>
      </w:tr>
      <w:tr w14:paraId="1C2C0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restart"/>
            <w:noWrap w:val="0"/>
            <w:vAlign w:val="center"/>
          </w:tcPr>
          <w:p w14:paraId="34BA044A">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废气</w:t>
            </w:r>
          </w:p>
        </w:tc>
        <w:tc>
          <w:tcPr>
            <w:tcW w:w="2082" w:type="dxa"/>
            <w:noWrap w:val="0"/>
            <w:vAlign w:val="center"/>
          </w:tcPr>
          <w:p w14:paraId="26C44667">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颗粒物</w:t>
            </w:r>
          </w:p>
        </w:tc>
        <w:tc>
          <w:tcPr>
            <w:tcW w:w="1469" w:type="dxa"/>
            <w:noWrap w:val="0"/>
            <w:vAlign w:val="center"/>
          </w:tcPr>
          <w:p w14:paraId="29A5658A">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79D40963">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307E182A">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1954B082">
            <w:pPr>
              <w:pStyle w:val="37"/>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0.8699</w:t>
            </w:r>
          </w:p>
        </w:tc>
        <w:tc>
          <w:tcPr>
            <w:tcW w:w="1640" w:type="dxa"/>
            <w:noWrap w:val="0"/>
            <w:vAlign w:val="center"/>
          </w:tcPr>
          <w:p w14:paraId="58C4D705">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4407F39D">
            <w:pPr>
              <w:pStyle w:val="37"/>
              <w:spacing w:beforeLines="0" w:afterLines="0" w:line="240" w:lineRule="auto"/>
              <w:rPr>
                <w:rFonts w:hint="default" w:ascii="Times New Roman" w:hAnsi="Times New Roman" w:cs="Times New Roman"/>
                <w:snapToGrid w:val="0"/>
                <w:color w:val="000000"/>
                <w:kern w:val="21"/>
                <w:szCs w:val="21"/>
              </w:rPr>
            </w:pPr>
            <w:r>
              <w:rPr>
                <w:rFonts w:hint="eastAsia" w:ascii="Times New Roman" w:cs="Times New Roman"/>
                <w:snapToGrid w:val="0"/>
                <w:color w:val="000000"/>
                <w:kern w:val="21"/>
                <w:szCs w:val="21"/>
                <w:lang w:val="en-US" w:eastAsia="zh-CN"/>
              </w:rPr>
              <w:t>0.8699</w:t>
            </w:r>
          </w:p>
        </w:tc>
        <w:tc>
          <w:tcPr>
            <w:tcW w:w="1361" w:type="dxa"/>
            <w:noWrap w:val="0"/>
            <w:vAlign w:val="center"/>
          </w:tcPr>
          <w:p w14:paraId="5A2E3BAB">
            <w:pPr>
              <w:pStyle w:val="37"/>
              <w:spacing w:beforeLines="0" w:afterLines="0" w:line="240" w:lineRule="auto"/>
              <w:rPr>
                <w:rFonts w:hint="default" w:ascii="Times New Roman" w:hAnsi="Times New Roman" w:cs="Times New Roman"/>
                <w:snapToGrid w:val="0"/>
                <w:color w:val="000000"/>
                <w:kern w:val="21"/>
                <w:szCs w:val="21"/>
                <w:lang w:val="en-US"/>
              </w:rPr>
            </w:pPr>
            <w:r>
              <w:rPr>
                <w:rFonts w:hint="eastAsia" w:ascii="Times New Roman" w:cs="Times New Roman"/>
                <w:snapToGrid w:val="0"/>
                <w:color w:val="000000"/>
                <w:kern w:val="21"/>
                <w:szCs w:val="21"/>
                <w:lang w:val="en-US" w:eastAsia="zh-CN"/>
              </w:rPr>
              <w:t>+0.8699</w:t>
            </w:r>
          </w:p>
        </w:tc>
      </w:tr>
      <w:tr w14:paraId="7A220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1A0E7A35">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332960BC">
            <w:pPr>
              <w:pStyle w:val="37"/>
              <w:spacing w:beforeLines="0" w:afterLines="0" w:line="240" w:lineRule="auto"/>
              <w:rPr>
                <w:rFonts w:hint="default"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lang w:val="en-US" w:eastAsia="zh-CN"/>
              </w:rPr>
              <w:t>非甲烷总烃</w:t>
            </w:r>
          </w:p>
        </w:tc>
        <w:tc>
          <w:tcPr>
            <w:tcW w:w="1469" w:type="dxa"/>
            <w:noWrap w:val="0"/>
            <w:vAlign w:val="center"/>
          </w:tcPr>
          <w:p w14:paraId="7E79CEC5">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24843DE9">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650DD422">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3F70104C">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0.41</w:t>
            </w:r>
          </w:p>
        </w:tc>
        <w:tc>
          <w:tcPr>
            <w:tcW w:w="1640" w:type="dxa"/>
            <w:noWrap w:val="0"/>
            <w:vAlign w:val="center"/>
          </w:tcPr>
          <w:p w14:paraId="2DEF5955">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32D0C5F3">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0.41</w:t>
            </w:r>
          </w:p>
        </w:tc>
        <w:tc>
          <w:tcPr>
            <w:tcW w:w="1361" w:type="dxa"/>
            <w:noWrap w:val="0"/>
            <w:vAlign w:val="center"/>
          </w:tcPr>
          <w:p w14:paraId="1ADCAC52">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+0.41</w:t>
            </w:r>
          </w:p>
        </w:tc>
      </w:tr>
      <w:tr w14:paraId="6C6AC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restart"/>
            <w:noWrap w:val="0"/>
            <w:vAlign w:val="center"/>
          </w:tcPr>
          <w:p w14:paraId="7B3F8E11">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废水</w:t>
            </w:r>
          </w:p>
        </w:tc>
        <w:tc>
          <w:tcPr>
            <w:tcW w:w="2082" w:type="dxa"/>
            <w:noWrap w:val="0"/>
            <w:vAlign w:val="center"/>
          </w:tcPr>
          <w:p w14:paraId="09E0F05D">
            <w:pPr>
              <w:keepNext w:val="0"/>
              <w:keepLines w:val="0"/>
              <w:pageBreakBefore w:val="0"/>
              <w:kinsoku/>
              <w:wordWrap/>
              <w:overflowPunct/>
              <w:topLinePunct w:val="0"/>
              <w:autoSpaceDE/>
              <w:autoSpaceDN/>
              <w:bidi w:val="0"/>
              <w:spacing w:line="340" w:lineRule="exact"/>
              <w:ind w:left="-105" w:leftChars="-50" w:right="-105" w:rightChars="-50"/>
              <w:jc w:val="center"/>
              <w:textAlignment w:val="auto"/>
              <w:rPr>
                <w:rFonts w:hint="default" w:ascii="Times New Roman" w:hAnsi="Times New Roman" w:cs="Times New Roman"/>
                <w:snapToGrid w:val="0"/>
                <w:color w:val="000000"/>
                <w:kern w:val="21"/>
                <w:szCs w:val="21"/>
              </w:rPr>
            </w:pPr>
            <w:r>
              <w:rPr>
                <w:rFonts w:hint="default" w:ascii="Times New Roman" w:hAnsi="Times New Roman" w:eastAsia="宋体" w:cs="Times New Roman"/>
                <w:color w:val="000000"/>
                <w:kern w:val="2"/>
                <w:sz w:val="21"/>
                <w:szCs w:val="21"/>
                <w:lang w:val="en-US" w:eastAsia="zh-CN" w:bidi="ar-SA"/>
              </w:rPr>
              <w:t>废水量</w:t>
            </w:r>
          </w:p>
        </w:tc>
        <w:tc>
          <w:tcPr>
            <w:tcW w:w="1469" w:type="dxa"/>
            <w:noWrap w:val="0"/>
            <w:vAlign w:val="center"/>
          </w:tcPr>
          <w:p w14:paraId="0FAAE092">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19C2950B">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0A3EA5E1">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373D80DD">
            <w:pPr>
              <w:pStyle w:val="37"/>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931.5</w:t>
            </w:r>
          </w:p>
        </w:tc>
        <w:tc>
          <w:tcPr>
            <w:tcW w:w="1640" w:type="dxa"/>
            <w:noWrap w:val="0"/>
            <w:vAlign w:val="center"/>
          </w:tcPr>
          <w:p w14:paraId="3A487C59">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638FB0CA">
            <w:pPr>
              <w:pStyle w:val="37"/>
              <w:spacing w:beforeLines="0" w:afterLines="0" w:line="240" w:lineRule="auto"/>
              <w:rPr>
                <w:rFonts w:hint="default" w:ascii="Times New Roman" w:hAnsi="Times New Roman" w:cs="Times New Roman"/>
                <w:snapToGrid w:val="0"/>
                <w:color w:val="000000"/>
                <w:kern w:val="21"/>
                <w:szCs w:val="21"/>
              </w:rPr>
            </w:pPr>
            <w:r>
              <w:rPr>
                <w:rFonts w:hint="eastAsia" w:ascii="Times New Roman" w:cs="Times New Roman"/>
                <w:snapToGrid w:val="0"/>
                <w:color w:val="000000"/>
                <w:kern w:val="21"/>
                <w:szCs w:val="21"/>
                <w:lang w:val="en-US" w:eastAsia="zh-CN"/>
              </w:rPr>
              <w:t>931.5</w:t>
            </w:r>
          </w:p>
        </w:tc>
        <w:tc>
          <w:tcPr>
            <w:tcW w:w="1361" w:type="dxa"/>
            <w:noWrap w:val="0"/>
            <w:vAlign w:val="center"/>
          </w:tcPr>
          <w:p w14:paraId="576A94FD">
            <w:pPr>
              <w:pStyle w:val="37"/>
              <w:spacing w:beforeLines="0" w:afterLines="0" w:line="240" w:lineRule="auto"/>
              <w:rPr>
                <w:rFonts w:hint="default" w:ascii="Times New Roman" w:hAnsi="Times New Roman" w:cs="Times New Roman"/>
                <w:snapToGrid w:val="0"/>
                <w:color w:val="000000"/>
                <w:kern w:val="21"/>
                <w:szCs w:val="21"/>
              </w:rPr>
            </w:pPr>
            <w:r>
              <w:rPr>
                <w:rFonts w:hint="eastAsia" w:ascii="Times New Roman" w:cs="Times New Roman"/>
                <w:snapToGrid w:val="0"/>
                <w:color w:val="000000"/>
                <w:kern w:val="21"/>
                <w:szCs w:val="21"/>
                <w:lang w:val="en-US" w:eastAsia="zh-CN"/>
              </w:rPr>
              <w:t>+931.5</w:t>
            </w:r>
          </w:p>
        </w:tc>
      </w:tr>
      <w:tr w14:paraId="5049F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166A25ED">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449B1F1D">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000000"/>
                <w:kern w:val="21"/>
                <w:szCs w:val="21"/>
              </w:rPr>
            </w:pPr>
            <w:r>
              <w:rPr>
                <w:rFonts w:hint="default" w:ascii="Times New Roman" w:hAnsi="Times New Roman" w:eastAsia="宋体" w:cs="Times New Roman"/>
                <w:color w:val="000000"/>
                <w:kern w:val="2"/>
                <w:sz w:val="21"/>
                <w:szCs w:val="21"/>
                <w:lang w:val="en-US" w:eastAsia="zh-CN" w:bidi="ar-SA"/>
              </w:rPr>
              <w:t>COD</w:t>
            </w:r>
          </w:p>
        </w:tc>
        <w:tc>
          <w:tcPr>
            <w:tcW w:w="1469" w:type="dxa"/>
            <w:noWrap w:val="0"/>
            <w:vAlign w:val="center"/>
          </w:tcPr>
          <w:p w14:paraId="7ABE6C8F">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52F311EF">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73067094">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2E879E98">
            <w:pPr>
              <w:adjustRightInd w:val="0"/>
              <w:snapToGrid w:val="0"/>
              <w:jc w:val="center"/>
              <w:rPr>
                <w:rFonts w:hint="default" w:ascii="Times New Roman" w:hAnsi="Times New Roman" w:eastAsia="宋体"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0.256</w:t>
            </w:r>
          </w:p>
        </w:tc>
        <w:tc>
          <w:tcPr>
            <w:tcW w:w="1640" w:type="dxa"/>
            <w:noWrap w:val="0"/>
            <w:vAlign w:val="center"/>
          </w:tcPr>
          <w:p w14:paraId="2DFCF2B8">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600E77C8">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0.256</w:t>
            </w:r>
          </w:p>
        </w:tc>
        <w:tc>
          <w:tcPr>
            <w:tcW w:w="1361" w:type="dxa"/>
            <w:noWrap w:val="0"/>
            <w:vAlign w:val="center"/>
          </w:tcPr>
          <w:p w14:paraId="52B209AB">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+0.256</w:t>
            </w:r>
          </w:p>
        </w:tc>
      </w:tr>
      <w:tr w14:paraId="3720E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1A19B3B0">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2915EA98">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000000"/>
                <w:kern w:val="21"/>
                <w:szCs w:val="21"/>
              </w:rPr>
            </w:pPr>
            <w:r>
              <w:rPr>
                <w:rFonts w:hint="default" w:ascii="Times New Roman" w:hAnsi="Times New Roman" w:eastAsia="宋体" w:cs="Times New Roman"/>
                <w:color w:val="000000"/>
                <w:kern w:val="2"/>
                <w:sz w:val="21"/>
                <w:szCs w:val="21"/>
                <w:lang w:val="en-US" w:eastAsia="zh-CN" w:bidi="ar-SA"/>
              </w:rPr>
              <w:t>BOD</w:t>
            </w:r>
            <w:r>
              <w:rPr>
                <w:rFonts w:hint="default" w:ascii="Times New Roman" w:hAnsi="Times New Roman" w:eastAsia="宋体" w:cs="Times New Roman"/>
                <w:color w:val="000000"/>
                <w:kern w:val="2"/>
                <w:sz w:val="21"/>
                <w:szCs w:val="21"/>
                <w:vertAlign w:val="subscript"/>
                <w:lang w:val="en-US" w:eastAsia="zh-CN" w:bidi="ar-SA"/>
              </w:rPr>
              <w:t>5</w:t>
            </w:r>
          </w:p>
        </w:tc>
        <w:tc>
          <w:tcPr>
            <w:tcW w:w="1469" w:type="dxa"/>
            <w:noWrap w:val="0"/>
            <w:vAlign w:val="center"/>
          </w:tcPr>
          <w:p w14:paraId="7A6B8B67">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5A74DF0A">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07BAA2FB">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0F76A8E7">
            <w:pPr>
              <w:adjustRightInd w:val="0"/>
              <w:snapToGrid w:val="0"/>
              <w:jc w:val="center"/>
              <w:rPr>
                <w:rFonts w:hint="default" w:ascii="Times New Roman" w:hAnsi="Times New Roman" w:eastAsia="宋体"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0.162</w:t>
            </w:r>
          </w:p>
        </w:tc>
        <w:tc>
          <w:tcPr>
            <w:tcW w:w="1640" w:type="dxa"/>
            <w:noWrap w:val="0"/>
            <w:vAlign w:val="center"/>
          </w:tcPr>
          <w:p w14:paraId="29099F30">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161AAB0C">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0.162</w:t>
            </w:r>
          </w:p>
        </w:tc>
        <w:tc>
          <w:tcPr>
            <w:tcW w:w="1361" w:type="dxa"/>
            <w:noWrap w:val="0"/>
            <w:vAlign w:val="center"/>
          </w:tcPr>
          <w:p w14:paraId="1CD711B9">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+0.162</w:t>
            </w:r>
          </w:p>
        </w:tc>
      </w:tr>
      <w:tr w14:paraId="37CFA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7E63DD05">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171D947A">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000000"/>
                <w:kern w:val="21"/>
                <w:szCs w:val="21"/>
              </w:rPr>
            </w:pPr>
            <w:r>
              <w:rPr>
                <w:rFonts w:hint="default" w:ascii="Times New Roman" w:hAnsi="Times New Roman" w:eastAsia="宋体" w:cs="Times New Roman"/>
                <w:color w:val="000000"/>
                <w:kern w:val="2"/>
                <w:sz w:val="21"/>
                <w:szCs w:val="21"/>
                <w:lang w:val="en-US" w:eastAsia="zh-CN" w:bidi="ar-SA"/>
              </w:rPr>
              <w:t>SS</w:t>
            </w:r>
          </w:p>
        </w:tc>
        <w:tc>
          <w:tcPr>
            <w:tcW w:w="1469" w:type="dxa"/>
            <w:noWrap w:val="0"/>
            <w:vAlign w:val="center"/>
          </w:tcPr>
          <w:p w14:paraId="1833C7CF">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4074CA97">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4567F4D4">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2EEA7758">
            <w:pPr>
              <w:adjustRightInd w:val="0"/>
              <w:snapToGrid w:val="0"/>
              <w:jc w:val="center"/>
              <w:rPr>
                <w:rFonts w:hint="default" w:ascii="Times New Roman" w:hAnsi="Times New Roman" w:eastAsia="宋体"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0.082</w:t>
            </w:r>
          </w:p>
        </w:tc>
        <w:tc>
          <w:tcPr>
            <w:tcW w:w="1640" w:type="dxa"/>
            <w:noWrap w:val="0"/>
            <w:vAlign w:val="center"/>
          </w:tcPr>
          <w:p w14:paraId="7340FE92">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4E7735B8">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0.082</w:t>
            </w:r>
          </w:p>
        </w:tc>
        <w:tc>
          <w:tcPr>
            <w:tcW w:w="1361" w:type="dxa"/>
            <w:noWrap w:val="0"/>
            <w:vAlign w:val="center"/>
          </w:tcPr>
          <w:p w14:paraId="1ED62537">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+0.082</w:t>
            </w:r>
          </w:p>
        </w:tc>
      </w:tr>
      <w:tr w14:paraId="6A187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2E4DBE51">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367E76E2">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000000"/>
                <w:kern w:val="21"/>
                <w:szCs w:val="21"/>
                <w:lang w:val="en-US"/>
              </w:rPr>
            </w:pPr>
            <w:r>
              <w:rPr>
                <w:rFonts w:hint="default" w:ascii="Times New Roman" w:hAnsi="Times New Roman" w:eastAsia="宋体" w:cs="Times New Roman"/>
                <w:color w:val="000000"/>
                <w:kern w:val="2"/>
                <w:sz w:val="21"/>
                <w:szCs w:val="21"/>
                <w:lang w:val="en-US" w:eastAsia="zh-CN" w:bidi="ar-SA"/>
              </w:rPr>
              <w:t>NH</w:t>
            </w:r>
            <w:r>
              <w:rPr>
                <w:rFonts w:hint="default" w:ascii="Times New Roman" w:hAnsi="Times New Roman" w:eastAsia="宋体" w:cs="Times New Roman"/>
                <w:color w:val="000000"/>
                <w:kern w:val="2"/>
                <w:sz w:val="21"/>
                <w:szCs w:val="21"/>
                <w:vertAlign w:val="subscript"/>
                <w:lang w:val="en-US" w:eastAsia="zh-CN" w:bidi="ar-SA"/>
              </w:rPr>
              <w:t>3</w:t>
            </w:r>
            <w:r>
              <w:rPr>
                <w:rFonts w:hint="default" w:ascii="Times New Roman" w:hAnsi="Times New Roman" w:eastAsia="宋体" w:cs="Times New Roman"/>
                <w:color w:val="000000"/>
                <w:kern w:val="2"/>
                <w:sz w:val="21"/>
                <w:szCs w:val="21"/>
                <w:lang w:val="en-US" w:eastAsia="zh-CN" w:bidi="ar-SA"/>
              </w:rPr>
              <w:t>-</w:t>
            </w:r>
            <w:r>
              <w:rPr>
                <w:rFonts w:hint="eastAsia" w:cs="Times New Roman"/>
                <w:color w:val="000000"/>
                <w:kern w:val="2"/>
                <w:sz w:val="21"/>
                <w:szCs w:val="21"/>
                <w:lang w:val="en-US" w:eastAsia="zh-CN" w:bidi="ar-SA"/>
              </w:rPr>
              <w:t>N</w:t>
            </w:r>
          </w:p>
        </w:tc>
        <w:tc>
          <w:tcPr>
            <w:tcW w:w="1469" w:type="dxa"/>
            <w:noWrap w:val="0"/>
            <w:vAlign w:val="center"/>
          </w:tcPr>
          <w:p w14:paraId="52E65167">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3151619C">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29A8FE7E">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0BDD6EA3">
            <w:pPr>
              <w:adjustRightInd w:val="0"/>
              <w:snapToGrid w:val="0"/>
              <w:jc w:val="center"/>
              <w:rPr>
                <w:rFonts w:hint="default" w:ascii="Times New Roman" w:hAnsi="Times New Roman" w:eastAsia="宋体"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0.03</w:t>
            </w:r>
          </w:p>
        </w:tc>
        <w:tc>
          <w:tcPr>
            <w:tcW w:w="1640" w:type="dxa"/>
            <w:noWrap w:val="0"/>
            <w:vAlign w:val="center"/>
          </w:tcPr>
          <w:p w14:paraId="06EE42BB">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160AC33E">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0.03</w:t>
            </w:r>
          </w:p>
        </w:tc>
        <w:tc>
          <w:tcPr>
            <w:tcW w:w="1361" w:type="dxa"/>
            <w:noWrap w:val="0"/>
            <w:vAlign w:val="center"/>
          </w:tcPr>
          <w:p w14:paraId="1B0ACF51">
            <w:pPr>
              <w:adjustRightInd w:val="0"/>
              <w:snapToGrid w:val="0"/>
              <w:jc w:val="center"/>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+0.03</w:t>
            </w:r>
          </w:p>
        </w:tc>
      </w:tr>
      <w:tr w14:paraId="69A52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restart"/>
            <w:noWrap w:val="0"/>
            <w:vAlign w:val="center"/>
          </w:tcPr>
          <w:p w14:paraId="6BC118E0">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一般工业固体废物</w:t>
            </w:r>
          </w:p>
        </w:tc>
        <w:tc>
          <w:tcPr>
            <w:tcW w:w="2082" w:type="dxa"/>
            <w:noWrap w:val="0"/>
            <w:vAlign w:val="center"/>
          </w:tcPr>
          <w:p w14:paraId="6B0CCF25">
            <w:pPr>
              <w:pStyle w:val="37"/>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不合格品</w:t>
            </w:r>
          </w:p>
        </w:tc>
        <w:tc>
          <w:tcPr>
            <w:tcW w:w="1469" w:type="dxa"/>
            <w:noWrap w:val="0"/>
            <w:vAlign w:val="center"/>
          </w:tcPr>
          <w:p w14:paraId="70998896">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4EE1E34E">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1A6CD2E7">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3AAD7339">
            <w:pPr>
              <w:pStyle w:val="47"/>
              <w:bidi w:val="0"/>
              <w:ind w:left="0" w:leftChars="0" w:firstLine="0" w:firstLineChars="0"/>
              <w:rPr>
                <w:rFonts w:hint="eastAsia" w:ascii="Times New Roman" w:hAnsi="Times New Roman" w:eastAsia="宋体" w:cs="Times New Roman"/>
                <w:snapToGrid w:val="0"/>
                <w:color w:val="000000"/>
                <w:kern w:val="21"/>
                <w:szCs w:val="21"/>
                <w:lang w:val="en-US" w:eastAsia="zh-CN"/>
              </w:rPr>
            </w:pPr>
            <w:r>
              <w:rPr>
                <w:rFonts w:hint="eastAsia" w:cs="Times New Roman"/>
                <w:snapToGrid w:val="0"/>
                <w:color w:val="000000"/>
                <w:kern w:val="21"/>
                <w:szCs w:val="21"/>
                <w:lang w:val="en-US" w:eastAsia="zh-CN"/>
              </w:rPr>
              <w:t>5</w:t>
            </w:r>
          </w:p>
        </w:tc>
        <w:tc>
          <w:tcPr>
            <w:tcW w:w="1640" w:type="dxa"/>
            <w:noWrap w:val="0"/>
            <w:vAlign w:val="center"/>
          </w:tcPr>
          <w:p w14:paraId="4597972D">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1AF565E2">
            <w:pPr>
              <w:pStyle w:val="47"/>
              <w:bidi w:val="0"/>
              <w:ind w:left="0" w:leftChars="0" w:firstLine="0" w:firstLineChars="0"/>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5</w:t>
            </w:r>
          </w:p>
        </w:tc>
        <w:tc>
          <w:tcPr>
            <w:tcW w:w="1361" w:type="dxa"/>
            <w:noWrap w:val="0"/>
            <w:vAlign w:val="center"/>
          </w:tcPr>
          <w:p w14:paraId="4AEE659B">
            <w:pPr>
              <w:pStyle w:val="47"/>
              <w:bidi w:val="0"/>
              <w:ind w:left="0" w:leftChars="0" w:firstLine="0" w:firstLineChars="0"/>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5</w:t>
            </w:r>
          </w:p>
        </w:tc>
      </w:tr>
      <w:tr w14:paraId="1CA89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3C4CFD4A">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0471A84E">
            <w:pPr>
              <w:pStyle w:val="37"/>
              <w:spacing w:beforeLines="0" w:afterLines="0" w:line="240" w:lineRule="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废包装材料</w:t>
            </w:r>
          </w:p>
        </w:tc>
        <w:tc>
          <w:tcPr>
            <w:tcW w:w="1469" w:type="dxa"/>
            <w:noWrap w:val="0"/>
            <w:vAlign w:val="center"/>
          </w:tcPr>
          <w:p w14:paraId="158D7EDA">
            <w:pPr>
              <w:spacing w:beforeLines="0" w:afterLines="0" w:line="240" w:lineRule="auto"/>
              <w:jc w:val="center"/>
              <w:rPr>
                <w:rFonts w:hint="default" w:ascii="Times New Roman" w:hAnsi="Times New Roman" w:cs="Times New Roman"/>
                <w:snapToGrid w:val="0"/>
                <w:color w:val="000000"/>
                <w:kern w:val="21"/>
                <w:szCs w:val="21"/>
              </w:rPr>
            </w:pPr>
          </w:p>
        </w:tc>
        <w:tc>
          <w:tcPr>
            <w:tcW w:w="1276" w:type="dxa"/>
            <w:noWrap w:val="0"/>
            <w:vAlign w:val="center"/>
          </w:tcPr>
          <w:p w14:paraId="2CEB7C39">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5B992EBF">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0EDF50E6">
            <w:pPr>
              <w:pStyle w:val="47"/>
              <w:bidi w:val="0"/>
              <w:ind w:left="0" w:leftChars="0" w:firstLine="0" w:firstLineChars="0"/>
              <w:rPr>
                <w:rFonts w:hint="eastAsia" w:ascii="Times New Roman" w:hAnsi="Times New Roman" w:eastAsia="宋体" w:cs="Times New Roman"/>
                <w:snapToGrid w:val="0"/>
                <w:color w:val="000000"/>
                <w:kern w:val="21"/>
                <w:szCs w:val="21"/>
                <w:lang w:val="en-US" w:eastAsia="zh-CN"/>
              </w:rPr>
            </w:pPr>
            <w:r>
              <w:rPr>
                <w:rFonts w:hint="eastAsia" w:cs="Times New Roman"/>
                <w:snapToGrid w:val="0"/>
                <w:color w:val="000000"/>
                <w:kern w:val="21"/>
                <w:szCs w:val="21"/>
                <w:lang w:val="en-US" w:eastAsia="zh-CN"/>
              </w:rPr>
              <w:t>1</w:t>
            </w:r>
          </w:p>
        </w:tc>
        <w:tc>
          <w:tcPr>
            <w:tcW w:w="1640" w:type="dxa"/>
            <w:noWrap w:val="0"/>
            <w:vAlign w:val="center"/>
          </w:tcPr>
          <w:p w14:paraId="167A6A9B">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64870160">
            <w:pPr>
              <w:pStyle w:val="47"/>
              <w:bidi w:val="0"/>
              <w:ind w:left="0" w:leftChars="0" w:firstLine="0" w:firstLineChars="0"/>
              <w:rPr>
                <w:rFonts w:hint="default" w:ascii="Times New Roman" w:hAnsi="Times New Roman" w:cs="Times New Roman"/>
                <w:snapToGrid w:val="0"/>
                <w:color w:val="000000"/>
                <w:kern w:val="21"/>
                <w:szCs w:val="21"/>
              </w:rPr>
            </w:pPr>
            <w:r>
              <w:rPr>
                <w:rFonts w:hint="eastAsia" w:cs="Times New Roman"/>
                <w:snapToGrid w:val="0"/>
                <w:color w:val="000000"/>
                <w:kern w:val="21"/>
                <w:szCs w:val="21"/>
                <w:lang w:val="en-US" w:eastAsia="zh-CN"/>
              </w:rPr>
              <w:t>1</w:t>
            </w:r>
          </w:p>
        </w:tc>
        <w:tc>
          <w:tcPr>
            <w:tcW w:w="1361" w:type="dxa"/>
            <w:noWrap w:val="0"/>
            <w:vAlign w:val="center"/>
          </w:tcPr>
          <w:p w14:paraId="2EC2AE53">
            <w:pPr>
              <w:pStyle w:val="47"/>
              <w:bidi w:val="0"/>
              <w:ind w:left="0" w:leftChars="0" w:firstLine="0" w:firstLineChars="0"/>
              <w:rPr>
                <w:rFonts w:hint="default" w:ascii="Times New Roman" w:hAnsi="Times New Roman" w:cs="Times New Roman"/>
                <w:snapToGrid w:val="0"/>
                <w:color w:val="000000"/>
                <w:kern w:val="21"/>
                <w:szCs w:val="21"/>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1</w:t>
            </w:r>
          </w:p>
        </w:tc>
      </w:tr>
      <w:tr w14:paraId="5D93D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restart"/>
            <w:noWrap w:val="0"/>
            <w:vAlign w:val="center"/>
          </w:tcPr>
          <w:p w14:paraId="7D621A8D">
            <w:pPr>
              <w:pStyle w:val="37"/>
              <w:spacing w:beforeLines="0" w:afterLines="0" w:line="240" w:lineRule="auto"/>
              <w:rPr>
                <w:rFonts w:hint="eastAsia" w:ascii="Times New Roman" w:hAnsi="Times New Roman" w:eastAsia="宋体" w:cs="Times New Roman"/>
                <w:snapToGrid w:val="0"/>
                <w:color w:val="000000"/>
                <w:kern w:val="21"/>
                <w:szCs w:val="21"/>
                <w:lang w:eastAsia="zh-CN"/>
              </w:rPr>
            </w:pPr>
            <w:r>
              <w:rPr>
                <w:rFonts w:hint="eastAsia" w:ascii="Times New Roman" w:cs="Times New Roman"/>
                <w:snapToGrid w:val="0"/>
                <w:color w:val="000000"/>
                <w:kern w:val="21"/>
                <w:szCs w:val="21"/>
                <w:lang w:eastAsia="zh-CN"/>
              </w:rPr>
              <w:t>危险废物</w:t>
            </w:r>
          </w:p>
        </w:tc>
        <w:tc>
          <w:tcPr>
            <w:tcW w:w="2082" w:type="dxa"/>
            <w:noWrap w:val="0"/>
            <w:vAlign w:val="center"/>
          </w:tcPr>
          <w:p w14:paraId="37E333FE">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废润滑油</w:t>
            </w:r>
          </w:p>
        </w:tc>
        <w:tc>
          <w:tcPr>
            <w:tcW w:w="1469" w:type="dxa"/>
            <w:noWrap w:val="0"/>
            <w:vAlign w:val="center"/>
          </w:tcPr>
          <w:p w14:paraId="5C06C6B2">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6C5E0BCE">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22F695F8">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15C23EFE">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0.02</w:t>
            </w:r>
          </w:p>
        </w:tc>
        <w:tc>
          <w:tcPr>
            <w:tcW w:w="1640" w:type="dxa"/>
            <w:noWrap w:val="0"/>
            <w:vAlign w:val="center"/>
          </w:tcPr>
          <w:p w14:paraId="5F56F7FA">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131DB65D">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0.02</w:t>
            </w:r>
          </w:p>
        </w:tc>
        <w:tc>
          <w:tcPr>
            <w:tcW w:w="1361" w:type="dxa"/>
            <w:noWrap w:val="0"/>
            <w:vAlign w:val="center"/>
          </w:tcPr>
          <w:p w14:paraId="2E6EB22F">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0.02</w:t>
            </w:r>
          </w:p>
        </w:tc>
      </w:tr>
      <w:tr w14:paraId="2CDC9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33D47EF9">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540F1874">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废润滑油</w:t>
            </w:r>
            <w:r>
              <w:rPr>
                <w:rFonts w:hint="eastAsia" w:ascii="Times New Roman" w:hAnsi="Times New Roman" w:cs="Times New Roman"/>
                <w:snapToGrid w:val="0"/>
                <w:color w:val="000000"/>
                <w:kern w:val="21"/>
                <w:szCs w:val="21"/>
                <w:lang w:val="en-US" w:eastAsia="zh-CN"/>
              </w:rPr>
              <w:t>桶</w:t>
            </w:r>
          </w:p>
        </w:tc>
        <w:tc>
          <w:tcPr>
            <w:tcW w:w="1469" w:type="dxa"/>
            <w:noWrap w:val="0"/>
            <w:vAlign w:val="center"/>
          </w:tcPr>
          <w:p w14:paraId="687FE3F4">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14B1CD27">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01EB7D0F">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451E0056">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0.0025</w:t>
            </w:r>
          </w:p>
        </w:tc>
        <w:tc>
          <w:tcPr>
            <w:tcW w:w="1640" w:type="dxa"/>
            <w:noWrap w:val="0"/>
            <w:vAlign w:val="center"/>
          </w:tcPr>
          <w:p w14:paraId="47D6EB65">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7378A67C">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0.0025</w:t>
            </w:r>
          </w:p>
        </w:tc>
        <w:tc>
          <w:tcPr>
            <w:tcW w:w="1361" w:type="dxa"/>
            <w:noWrap w:val="0"/>
            <w:vAlign w:val="center"/>
          </w:tcPr>
          <w:p w14:paraId="75FC6D44">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0.0025</w:t>
            </w:r>
          </w:p>
        </w:tc>
      </w:tr>
      <w:tr w14:paraId="02CAC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1BE3C1C6">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382A371B">
            <w:pPr>
              <w:pStyle w:val="37"/>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胶渣</w:t>
            </w:r>
          </w:p>
          <w:p w14:paraId="6DB7A7E4">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（含废气治理滤材）</w:t>
            </w:r>
          </w:p>
        </w:tc>
        <w:tc>
          <w:tcPr>
            <w:tcW w:w="1469" w:type="dxa"/>
            <w:noWrap w:val="0"/>
            <w:vAlign w:val="center"/>
          </w:tcPr>
          <w:p w14:paraId="10E87946">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68719004">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0B0D4EE1">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42C5EC52">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3</w:t>
            </w:r>
          </w:p>
        </w:tc>
        <w:tc>
          <w:tcPr>
            <w:tcW w:w="1640" w:type="dxa"/>
            <w:noWrap w:val="0"/>
            <w:vAlign w:val="center"/>
          </w:tcPr>
          <w:p w14:paraId="7B360A5B">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69C90044">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3</w:t>
            </w:r>
          </w:p>
        </w:tc>
        <w:tc>
          <w:tcPr>
            <w:tcW w:w="1361" w:type="dxa"/>
            <w:noWrap w:val="0"/>
            <w:vAlign w:val="center"/>
          </w:tcPr>
          <w:p w14:paraId="23DB6032">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3</w:t>
            </w:r>
          </w:p>
        </w:tc>
      </w:tr>
      <w:tr w14:paraId="520EF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39612C3F">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1868DBE3">
            <w:pPr>
              <w:pStyle w:val="37"/>
              <w:spacing w:beforeLines="0" w:afterLines="0" w:line="240" w:lineRule="auto"/>
              <w:rPr>
                <w:rFonts w:hint="eastAsia" w:asci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废空桶</w:t>
            </w:r>
          </w:p>
          <w:p w14:paraId="2CB28B43">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（胶水、固化剂）</w:t>
            </w:r>
          </w:p>
        </w:tc>
        <w:tc>
          <w:tcPr>
            <w:tcW w:w="1469" w:type="dxa"/>
            <w:noWrap w:val="0"/>
            <w:vAlign w:val="center"/>
          </w:tcPr>
          <w:p w14:paraId="0104A610">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33763571">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701" w:type="dxa"/>
            <w:noWrap w:val="0"/>
            <w:vAlign w:val="center"/>
          </w:tcPr>
          <w:p w14:paraId="0345C18D">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59" w:type="dxa"/>
            <w:noWrap w:val="0"/>
            <w:vAlign w:val="center"/>
          </w:tcPr>
          <w:p w14:paraId="7409E431">
            <w:pPr>
              <w:pStyle w:val="47"/>
              <w:bidi w:val="0"/>
              <w:ind w:left="0" w:leftChars="0" w:firstLine="0" w:firstLineChars="0"/>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0.748</w:t>
            </w:r>
          </w:p>
        </w:tc>
        <w:tc>
          <w:tcPr>
            <w:tcW w:w="1640" w:type="dxa"/>
            <w:noWrap w:val="0"/>
            <w:vAlign w:val="center"/>
          </w:tcPr>
          <w:p w14:paraId="059886E5">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45" w:type="dxa"/>
            <w:noWrap w:val="0"/>
            <w:vAlign w:val="center"/>
          </w:tcPr>
          <w:p w14:paraId="641FD2A7">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0.748</w:t>
            </w:r>
          </w:p>
        </w:tc>
        <w:tc>
          <w:tcPr>
            <w:tcW w:w="1361" w:type="dxa"/>
            <w:noWrap w:val="0"/>
            <w:vAlign w:val="center"/>
          </w:tcPr>
          <w:p w14:paraId="697B99E2">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0.748</w:t>
            </w:r>
          </w:p>
        </w:tc>
      </w:tr>
      <w:tr w14:paraId="585A1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0AFAC332">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03900DD2">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废活性炭</w:t>
            </w:r>
          </w:p>
        </w:tc>
        <w:tc>
          <w:tcPr>
            <w:tcW w:w="1469" w:type="dxa"/>
            <w:noWrap w:val="0"/>
            <w:vAlign w:val="center"/>
          </w:tcPr>
          <w:p w14:paraId="2E4D46A0">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51DBBF29">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701" w:type="dxa"/>
            <w:noWrap w:val="0"/>
            <w:vAlign w:val="center"/>
          </w:tcPr>
          <w:p w14:paraId="7FE1104F">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59" w:type="dxa"/>
            <w:noWrap w:val="0"/>
            <w:vAlign w:val="center"/>
          </w:tcPr>
          <w:p w14:paraId="21BBBEDB">
            <w:pPr>
              <w:pStyle w:val="47"/>
              <w:bidi w:val="0"/>
              <w:ind w:left="0" w:leftChars="0" w:firstLine="0" w:firstLineChars="0"/>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4.275</w:t>
            </w:r>
          </w:p>
        </w:tc>
        <w:tc>
          <w:tcPr>
            <w:tcW w:w="1640" w:type="dxa"/>
            <w:noWrap w:val="0"/>
            <w:vAlign w:val="center"/>
          </w:tcPr>
          <w:p w14:paraId="3630D911">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45" w:type="dxa"/>
            <w:noWrap w:val="0"/>
            <w:vAlign w:val="center"/>
          </w:tcPr>
          <w:p w14:paraId="37B27C78">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4.275</w:t>
            </w:r>
          </w:p>
        </w:tc>
        <w:tc>
          <w:tcPr>
            <w:tcW w:w="1361" w:type="dxa"/>
            <w:noWrap w:val="0"/>
            <w:vAlign w:val="center"/>
          </w:tcPr>
          <w:p w14:paraId="2847588B">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4.275</w:t>
            </w:r>
          </w:p>
        </w:tc>
      </w:tr>
      <w:tr w14:paraId="70A58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vMerge w:val="continue"/>
            <w:noWrap w:val="0"/>
            <w:vAlign w:val="center"/>
          </w:tcPr>
          <w:p w14:paraId="713E62C2">
            <w:pPr>
              <w:pStyle w:val="37"/>
              <w:spacing w:beforeLines="0" w:afterLines="0" w:line="240" w:lineRule="auto"/>
              <w:rPr>
                <w:rFonts w:hint="default" w:ascii="Times New Roman" w:hAnsi="Times New Roman" w:cs="Times New Roman"/>
                <w:snapToGrid w:val="0"/>
                <w:color w:val="000000"/>
                <w:kern w:val="21"/>
                <w:szCs w:val="21"/>
              </w:rPr>
            </w:pPr>
          </w:p>
        </w:tc>
        <w:tc>
          <w:tcPr>
            <w:tcW w:w="2082" w:type="dxa"/>
            <w:noWrap w:val="0"/>
            <w:vAlign w:val="center"/>
          </w:tcPr>
          <w:p w14:paraId="1CDEE8F8">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含胶清洗废水</w:t>
            </w:r>
          </w:p>
        </w:tc>
        <w:tc>
          <w:tcPr>
            <w:tcW w:w="1469" w:type="dxa"/>
            <w:noWrap w:val="0"/>
            <w:vAlign w:val="center"/>
          </w:tcPr>
          <w:p w14:paraId="5153528E">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276" w:type="dxa"/>
            <w:noWrap w:val="0"/>
            <w:vAlign w:val="center"/>
          </w:tcPr>
          <w:p w14:paraId="1DF01F07">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701" w:type="dxa"/>
            <w:noWrap w:val="0"/>
            <w:vAlign w:val="center"/>
          </w:tcPr>
          <w:p w14:paraId="31A1C825">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59" w:type="dxa"/>
            <w:noWrap w:val="0"/>
            <w:vAlign w:val="center"/>
          </w:tcPr>
          <w:p w14:paraId="2C67A914">
            <w:pPr>
              <w:pStyle w:val="47"/>
              <w:bidi w:val="0"/>
              <w:ind w:left="0" w:leftChars="0" w:firstLine="0" w:firstLineChars="0"/>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30</w:t>
            </w:r>
          </w:p>
        </w:tc>
        <w:tc>
          <w:tcPr>
            <w:tcW w:w="1640" w:type="dxa"/>
            <w:noWrap w:val="0"/>
            <w:vAlign w:val="center"/>
          </w:tcPr>
          <w:p w14:paraId="43C2C773">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545" w:type="dxa"/>
            <w:noWrap w:val="0"/>
            <w:vAlign w:val="center"/>
          </w:tcPr>
          <w:p w14:paraId="7998783A">
            <w:pPr>
              <w:pStyle w:val="47"/>
              <w:bidi w:val="0"/>
              <w:ind w:left="0" w:leftChars="0" w:firstLine="0" w:firstLineChars="0"/>
              <w:rPr>
                <w:rFonts w:hint="default" w:cs="Times New Roman"/>
                <w:snapToGrid w:val="0"/>
                <w:color w:val="000000"/>
                <w:kern w:val="21"/>
                <w:szCs w:val="21"/>
                <w:lang w:val="en-US" w:eastAsia="zh-CN"/>
              </w:rPr>
            </w:pPr>
            <w:r>
              <w:rPr>
                <w:rFonts w:hint="eastAsia" w:cs="Times New Roman"/>
                <w:snapToGrid w:val="0"/>
                <w:color w:val="000000"/>
                <w:kern w:val="21"/>
                <w:szCs w:val="21"/>
                <w:lang w:val="en-US" w:eastAsia="zh-CN"/>
              </w:rPr>
              <w:t>30</w:t>
            </w:r>
          </w:p>
        </w:tc>
        <w:tc>
          <w:tcPr>
            <w:tcW w:w="1361" w:type="dxa"/>
            <w:noWrap w:val="0"/>
            <w:vAlign w:val="center"/>
          </w:tcPr>
          <w:p w14:paraId="52BD63FC">
            <w:pPr>
              <w:pStyle w:val="47"/>
              <w:bidi w:val="0"/>
              <w:ind w:left="0" w:leftChars="0" w:firstLine="0" w:firstLineChars="0"/>
              <w:rPr>
                <w:rFonts w:hint="default" w:cs="Times New Roman"/>
                <w:snapToGrid w:val="0"/>
                <w:color w:val="000000"/>
                <w:kern w:val="21"/>
                <w:sz w:val="21"/>
                <w:szCs w:val="21"/>
                <w:lang w:val="en-US" w:eastAsia="zh-CN" w:bidi="ar-SA"/>
              </w:rPr>
            </w:pPr>
            <w:r>
              <w:rPr>
                <w:rFonts w:hint="eastAsia" w:cs="Times New Roman"/>
                <w:snapToGrid w:val="0"/>
                <w:color w:val="000000"/>
                <w:kern w:val="21"/>
                <w:sz w:val="21"/>
                <w:szCs w:val="21"/>
                <w:lang w:val="en-US" w:eastAsia="zh-CN" w:bidi="ar-SA"/>
              </w:rPr>
              <w:t>+30</w:t>
            </w:r>
          </w:p>
        </w:tc>
      </w:tr>
      <w:tr w14:paraId="72C9B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noWrap w:val="0"/>
            <w:vAlign w:val="center"/>
          </w:tcPr>
          <w:p w14:paraId="64CA7792">
            <w:pPr>
              <w:pStyle w:val="37"/>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lang w:val="en-US" w:eastAsia="zh-CN"/>
              </w:rPr>
              <w:t>生活垃圾</w:t>
            </w:r>
          </w:p>
        </w:tc>
        <w:tc>
          <w:tcPr>
            <w:tcW w:w="2082" w:type="dxa"/>
            <w:noWrap w:val="0"/>
            <w:vAlign w:val="center"/>
          </w:tcPr>
          <w:p w14:paraId="6B9EDF54">
            <w:pPr>
              <w:pStyle w:val="37"/>
              <w:spacing w:beforeLines="0" w:afterLines="0" w:line="240" w:lineRule="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color w:val="000000"/>
                <w:szCs w:val="21"/>
                <w:lang w:val="en-US" w:eastAsia="zh-CN"/>
              </w:rPr>
              <w:t>纸屑、塑料等</w:t>
            </w:r>
          </w:p>
        </w:tc>
        <w:tc>
          <w:tcPr>
            <w:tcW w:w="1469" w:type="dxa"/>
            <w:noWrap w:val="0"/>
            <w:vAlign w:val="center"/>
          </w:tcPr>
          <w:p w14:paraId="3BD44816">
            <w:pPr>
              <w:spacing w:beforeLines="0" w:afterLines="0" w:line="240" w:lineRule="auto"/>
              <w:jc w:val="center"/>
              <w:rPr>
                <w:rFonts w:hint="default" w:ascii="Times New Roman" w:hAnsi="Times New Roman" w:cs="Times New Roman"/>
                <w:snapToGrid w:val="0"/>
                <w:color w:val="000000"/>
                <w:kern w:val="21"/>
                <w:szCs w:val="21"/>
                <w:lang w:val="en-US" w:eastAsia="zh-CN"/>
              </w:rPr>
            </w:pPr>
          </w:p>
        </w:tc>
        <w:tc>
          <w:tcPr>
            <w:tcW w:w="1276" w:type="dxa"/>
            <w:noWrap w:val="0"/>
            <w:vAlign w:val="center"/>
          </w:tcPr>
          <w:p w14:paraId="793402F4">
            <w:pPr>
              <w:spacing w:beforeLines="0" w:afterLines="0" w:line="240" w:lineRule="auto"/>
              <w:jc w:val="center"/>
              <w:rPr>
                <w:rFonts w:hint="default" w:ascii="Times New Roman" w:hAnsi="Times New Roman" w:cs="Times New Roman"/>
                <w:snapToGrid w:val="0"/>
                <w:color w:val="000000"/>
                <w:kern w:val="21"/>
                <w:szCs w:val="21"/>
              </w:rPr>
            </w:pPr>
          </w:p>
        </w:tc>
        <w:tc>
          <w:tcPr>
            <w:tcW w:w="1701" w:type="dxa"/>
            <w:noWrap w:val="0"/>
            <w:vAlign w:val="center"/>
          </w:tcPr>
          <w:p w14:paraId="2C523752">
            <w:pPr>
              <w:spacing w:beforeLines="0" w:afterLines="0" w:line="240" w:lineRule="auto"/>
              <w:jc w:val="center"/>
              <w:rPr>
                <w:rFonts w:hint="default" w:ascii="Times New Roman" w:hAnsi="Times New Roman" w:cs="Times New Roman"/>
                <w:snapToGrid w:val="0"/>
                <w:color w:val="000000"/>
                <w:kern w:val="21"/>
                <w:szCs w:val="21"/>
              </w:rPr>
            </w:pPr>
          </w:p>
        </w:tc>
        <w:tc>
          <w:tcPr>
            <w:tcW w:w="1559" w:type="dxa"/>
            <w:noWrap w:val="0"/>
            <w:vAlign w:val="center"/>
          </w:tcPr>
          <w:p w14:paraId="5B18A511">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10.35</w:t>
            </w:r>
          </w:p>
        </w:tc>
        <w:tc>
          <w:tcPr>
            <w:tcW w:w="1640" w:type="dxa"/>
            <w:noWrap w:val="0"/>
            <w:vAlign w:val="center"/>
          </w:tcPr>
          <w:p w14:paraId="15293A52">
            <w:pPr>
              <w:spacing w:beforeLines="0" w:afterLines="0" w:line="240" w:lineRule="auto"/>
              <w:jc w:val="center"/>
              <w:rPr>
                <w:rFonts w:hint="default" w:ascii="Times New Roman" w:hAnsi="Times New Roman" w:cs="Times New Roman"/>
                <w:snapToGrid w:val="0"/>
                <w:color w:val="000000"/>
                <w:kern w:val="21"/>
                <w:szCs w:val="21"/>
              </w:rPr>
            </w:pPr>
          </w:p>
        </w:tc>
        <w:tc>
          <w:tcPr>
            <w:tcW w:w="1545" w:type="dxa"/>
            <w:noWrap w:val="0"/>
            <w:vAlign w:val="center"/>
          </w:tcPr>
          <w:p w14:paraId="1B343218">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Cs w:val="21"/>
                <w:lang w:val="en-US" w:eastAsia="zh-CN"/>
              </w:rPr>
              <w:t>10.35</w:t>
            </w:r>
          </w:p>
        </w:tc>
        <w:tc>
          <w:tcPr>
            <w:tcW w:w="1361" w:type="dxa"/>
            <w:noWrap w:val="0"/>
            <w:vAlign w:val="center"/>
          </w:tcPr>
          <w:p w14:paraId="35F0F3BB">
            <w:pPr>
              <w:pStyle w:val="47"/>
              <w:bidi w:val="0"/>
              <w:ind w:left="0" w:leftChars="0" w:firstLine="0" w:firstLineChars="0"/>
              <w:rPr>
                <w:rFonts w:hint="default" w:ascii="Times New Roman" w:hAnsi="Times New Roman" w:cs="Times New Roman"/>
                <w:snapToGrid w:val="0"/>
                <w:color w:val="000000"/>
                <w:kern w:val="21"/>
                <w:szCs w:val="21"/>
                <w:lang w:val="en-US" w:eastAsia="zh-CN"/>
              </w:rPr>
            </w:pPr>
            <w:r>
              <w:rPr>
                <w:rFonts w:hint="eastAsia" w:cs="Times New Roman"/>
                <w:snapToGrid w:val="0"/>
                <w:color w:val="000000"/>
                <w:kern w:val="21"/>
                <w:sz w:val="21"/>
                <w:szCs w:val="21"/>
                <w:lang w:val="en-US" w:eastAsia="zh-CN" w:bidi="ar-SA"/>
              </w:rPr>
              <w:t>+</w:t>
            </w:r>
            <w:r>
              <w:rPr>
                <w:rFonts w:hint="eastAsia" w:cs="Times New Roman"/>
                <w:snapToGrid w:val="0"/>
                <w:color w:val="000000"/>
                <w:kern w:val="21"/>
                <w:szCs w:val="21"/>
                <w:lang w:val="en-US" w:eastAsia="zh-CN"/>
              </w:rPr>
              <w:t>10.35</w:t>
            </w:r>
          </w:p>
        </w:tc>
      </w:tr>
    </w:tbl>
    <w:p w14:paraId="38BBC38A">
      <w:pPr>
        <w:rPr>
          <w:rFonts w:hint="default" w:ascii="Times New Roman" w:hAnsi="Times New Roman" w:cs="Times New Roman"/>
        </w:rPr>
        <w:sectPr>
          <w:footerReference r:id="rId8" w:type="default"/>
          <w:pgSz w:w="16838" w:h="11906" w:orient="landscape"/>
          <w:pgMar w:top="1134" w:right="1531" w:bottom="1134"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920C4EC">
      <w:pPr>
        <w:pStyle w:val="42"/>
        <w:bidi w:val="0"/>
        <w:rPr>
          <w:rFonts w:hint="default" w:cs="Times New Roman"/>
          <w:lang w:eastAsia="zh-CN"/>
        </w:rPr>
        <w:sectPr>
          <w:footerReference r:id="rId9" w:type="default"/>
          <w:pgSz w:w="11906" w:h="16838"/>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r>
        <w:rPr>
          <w:sz w:val="18"/>
        </w:rPr>
        <mc:AlternateContent>
          <mc:Choice Requires="wps">
            <w:drawing>
              <wp:anchor distT="0" distB="0" distL="114300" distR="114300" simplePos="0" relativeHeight="251671552" behindDoc="0" locked="0" layoutInCell="1" allowOverlap="1">
                <wp:simplePos x="0" y="0"/>
                <wp:positionH relativeFrom="column">
                  <wp:posOffset>12041505</wp:posOffset>
                </wp:positionH>
                <wp:positionV relativeFrom="paragraph">
                  <wp:posOffset>357505</wp:posOffset>
                </wp:positionV>
                <wp:extent cx="940435" cy="410845"/>
                <wp:effectExtent l="0" t="0" r="0" b="0"/>
                <wp:wrapNone/>
                <wp:docPr id="274" name="文本框 1467"/>
                <wp:cNvGraphicFramePr/>
                <a:graphic xmlns:a="http://schemas.openxmlformats.org/drawingml/2006/main">
                  <a:graphicData uri="http://schemas.microsoft.com/office/word/2010/wordprocessingShape">
                    <wps:wsp>
                      <wps:cNvSpPr txBox="1"/>
                      <wps:spPr>
                        <a:xfrm>
                          <a:off x="0" y="0"/>
                          <a:ext cx="940435" cy="410845"/>
                        </a:xfrm>
                        <a:prstGeom prst="rect">
                          <a:avLst/>
                        </a:prstGeom>
                        <a:noFill/>
                        <a:ln w="6350" cap="flat" cmpd="sng">
                          <a:noFill/>
                          <a:prstDash val="solid"/>
                          <a:miter/>
                          <a:headEnd type="none" w="med" len="med"/>
                          <a:tailEnd type="none" w="med" len="med"/>
                        </a:ln>
                      </wps:spPr>
                      <wps:txbx>
                        <w:txbxContent>
                          <w:p w14:paraId="2D24FF11">
                            <w:pPr>
                              <w:jc w:val="center"/>
                              <w:rPr>
                                <w:rFonts w:hint="default" w:eastAsia="宋体"/>
                                <w:sz w:val="32"/>
                                <w:szCs w:val="32"/>
                                <w:lang w:val="en-US" w:eastAsia="zh-CN"/>
                              </w:rPr>
                            </w:pPr>
                            <w:r>
                              <w:rPr>
                                <w:rFonts w:hint="eastAsia"/>
                                <w:sz w:val="32"/>
                                <w:szCs w:val="32"/>
                                <w:lang w:val="en-US" w:eastAsia="zh-CN"/>
                              </w:rPr>
                              <w:t>N</w:t>
                            </w:r>
                          </w:p>
                        </w:txbxContent>
                      </wps:txbx>
                      <wps:bodyPr vert="horz" anchor="ctr" anchorCtr="0" upright="1"/>
                    </wps:wsp>
                  </a:graphicData>
                </a:graphic>
              </wp:anchor>
            </w:drawing>
          </mc:Choice>
          <mc:Fallback>
            <w:pict>
              <v:shape id="文本框 1467" o:spid="_x0000_s1026" o:spt="202" type="#_x0000_t202" style="position:absolute;left:0pt;margin-left:948.15pt;margin-top:28.15pt;height:32.35pt;width:74.05pt;z-index:251671552;v-text-anchor:middle;mso-width-relative:page;mso-height-relative:page;" filled="f" stroked="f" coordsize="21600,21600" o:gfxdata="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wN4dNsAAAAMAQAADwAAAAAAAAAB&#10;ACAAAAAiAAAAZHJzL2Rvd25yZXYueG1sUEsBAhQAFAAAAAgAh07iQDaZOUANAgAADwQAAA4AAAAA&#10;AAAAAQAgAAAAKgEAAGRycy9lMm9Eb2MueG1sUEsFBgAAAAAGAAYAWQEAAKkFAAAAAA==&#10;">
                <v:fill on="f" focussize="0,0"/>
                <v:stroke on="f" weight="0.5pt" joinstyle="miter"/>
                <v:imagedata o:title=""/>
                <o:lock v:ext="edit" aspectratio="f"/>
                <v:textbox>
                  <w:txbxContent>
                    <w:p w14:paraId="2D24FF11">
                      <w:pPr>
                        <w:jc w:val="center"/>
                        <w:rPr>
                          <w:rFonts w:hint="default" w:eastAsia="宋体"/>
                          <w:sz w:val="32"/>
                          <w:szCs w:val="32"/>
                          <w:lang w:val="en-US" w:eastAsia="zh-CN"/>
                        </w:rPr>
                      </w:pPr>
                      <w:r>
                        <w:rPr>
                          <w:rFonts w:hint="eastAsia"/>
                          <w:sz w:val="32"/>
                          <w:szCs w:val="32"/>
                          <w:lang w:val="en-US" w:eastAsia="zh-CN"/>
                        </w:rPr>
                        <w:t>N</w:t>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column">
                  <wp:posOffset>2633345</wp:posOffset>
                </wp:positionH>
                <wp:positionV relativeFrom="paragraph">
                  <wp:posOffset>12274550</wp:posOffset>
                </wp:positionV>
                <wp:extent cx="4274185" cy="317500"/>
                <wp:effectExtent l="0" t="0" r="0" b="0"/>
                <wp:wrapNone/>
                <wp:docPr id="790" name="文本框 1459"/>
                <wp:cNvGraphicFramePr/>
                <a:graphic xmlns:a="http://schemas.openxmlformats.org/drawingml/2006/main">
                  <a:graphicData uri="http://schemas.microsoft.com/office/word/2010/wordprocessingShape">
                    <wps:wsp>
                      <wps:cNvSpPr txBox="1"/>
                      <wps:spPr>
                        <a:xfrm>
                          <a:off x="3605530" y="13616940"/>
                          <a:ext cx="4274185" cy="317500"/>
                        </a:xfrm>
                        <a:prstGeom prst="rect">
                          <a:avLst/>
                        </a:prstGeom>
                        <a:noFill/>
                        <a:ln>
                          <a:noFill/>
                        </a:ln>
                      </wps:spPr>
                      <wps:txbx>
                        <w:txbxContent>
                          <w:p w14:paraId="1231966C">
                            <w:pPr>
                              <w:pStyle w:val="42"/>
                              <w:bidi w:val="0"/>
                              <w:jc w:val="center"/>
                              <w:rPr>
                                <w:sz w:val="32"/>
                                <w:szCs w:val="32"/>
                              </w:rPr>
                            </w:pPr>
                            <w:r>
                              <w:rPr>
                                <w:rFonts w:hint="default" w:ascii="Times New Roman" w:hAnsi="Times New Roman" w:cs="Times New Roman"/>
                                <w:sz w:val="32"/>
                                <w:szCs w:val="32"/>
                                <w:lang w:val="en-US" w:eastAsia="zh-CN"/>
                              </w:rPr>
                              <w:t>附图</w:t>
                            </w:r>
                            <w:r>
                              <w:rPr>
                                <w:rFonts w:hint="eastAsia" w:cs="Times New Roman"/>
                                <w:sz w:val="32"/>
                                <w:szCs w:val="32"/>
                                <w:lang w:val="en-US" w:eastAsia="zh-CN"/>
                              </w:rPr>
                              <w:t>6</w:t>
                            </w:r>
                            <w:r>
                              <w:rPr>
                                <w:rFonts w:hint="default" w:ascii="Times New Roman" w:hAnsi="Times New Roman" w:cs="Times New Roman"/>
                                <w:sz w:val="32"/>
                                <w:szCs w:val="32"/>
                                <w:lang w:val="en-US" w:eastAsia="zh-CN"/>
                              </w:rPr>
                              <w:t xml:space="preserve">  1号厂房</w:t>
                            </w:r>
                            <w:r>
                              <w:rPr>
                                <w:rFonts w:hint="eastAsia" w:cs="Times New Roman"/>
                                <w:sz w:val="32"/>
                                <w:szCs w:val="32"/>
                                <w:lang w:val="en-US" w:eastAsia="zh-CN"/>
                              </w:rPr>
                              <w:t>屋面层</w:t>
                            </w:r>
                            <w:r>
                              <w:rPr>
                                <w:rFonts w:hint="default" w:ascii="Times New Roman" w:hAnsi="Times New Roman" w:cs="Times New Roman"/>
                                <w:sz w:val="32"/>
                                <w:szCs w:val="32"/>
                                <w:lang w:val="en-US" w:eastAsia="zh-CN"/>
                              </w:rPr>
                              <w:t>平面图</w:t>
                            </w:r>
                          </w:p>
                        </w:txbxContent>
                      </wps:txbx>
                      <wps:bodyPr lIns="0" tIns="0" rIns="0" bIns="0" upright="1"/>
                    </wps:wsp>
                  </a:graphicData>
                </a:graphic>
              </wp:anchor>
            </w:drawing>
          </mc:Choice>
          <mc:Fallback>
            <w:pict>
              <v:shape id="文本框 1459" o:spid="_x0000_s1026" o:spt="202" type="#_x0000_t202" style="position:absolute;left:0pt;margin-left:207.35pt;margin-top:966.5pt;height:25pt;width:336.55pt;z-index:251670528;mso-width-relative:page;mso-height-relative:page;" filled="f" stroked="f" coordsize="21600,21600" o:gfxdata="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86wGtoAAAAOAQAADwAAAAAAAAABACAAAAAiAAAA&#10;ZHJzL2Rvd25yZXYueG1sUEsBAhQAFAAAAAgAh07iQK3TlhLMAQAAhAMAAA4AAAAAAAAAAQAgAAAA&#10;KQEAAGRycy9lMm9Eb2MueG1sUEsFBgAAAAAGAAYAWQEAAGcFAAAAAA==&#10;">
                <v:fill on="f" focussize="0,0"/>
                <v:stroke on="f"/>
                <v:imagedata o:title=""/>
                <o:lock v:ext="edit" aspectratio="f"/>
                <v:textbox inset="0mm,0mm,0mm,0mm">
                  <w:txbxContent>
                    <w:p w14:paraId="1231966C">
                      <w:pPr>
                        <w:pStyle w:val="42"/>
                        <w:bidi w:val="0"/>
                        <w:jc w:val="center"/>
                        <w:rPr>
                          <w:sz w:val="32"/>
                          <w:szCs w:val="32"/>
                        </w:rPr>
                      </w:pPr>
                      <w:r>
                        <w:rPr>
                          <w:rFonts w:hint="default" w:ascii="Times New Roman" w:hAnsi="Times New Roman" w:cs="Times New Roman"/>
                          <w:sz w:val="32"/>
                          <w:szCs w:val="32"/>
                          <w:lang w:val="en-US" w:eastAsia="zh-CN"/>
                        </w:rPr>
                        <w:t>附图</w:t>
                      </w:r>
                      <w:r>
                        <w:rPr>
                          <w:rFonts w:hint="eastAsia" w:cs="Times New Roman"/>
                          <w:sz w:val="32"/>
                          <w:szCs w:val="32"/>
                          <w:lang w:val="en-US" w:eastAsia="zh-CN"/>
                        </w:rPr>
                        <w:t>6</w:t>
                      </w:r>
                      <w:r>
                        <w:rPr>
                          <w:rFonts w:hint="default" w:ascii="Times New Roman" w:hAnsi="Times New Roman" w:cs="Times New Roman"/>
                          <w:sz w:val="32"/>
                          <w:szCs w:val="32"/>
                          <w:lang w:val="en-US" w:eastAsia="zh-CN"/>
                        </w:rPr>
                        <w:t xml:space="preserve">  1号厂房</w:t>
                      </w:r>
                      <w:r>
                        <w:rPr>
                          <w:rFonts w:hint="eastAsia" w:cs="Times New Roman"/>
                          <w:sz w:val="32"/>
                          <w:szCs w:val="32"/>
                          <w:lang w:val="en-US" w:eastAsia="zh-CN"/>
                        </w:rPr>
                        <w:t>屋面层</w:t>
                      </w:r>
                      <w:r>
                        <w:rPr>
                          <w:rFonts w:hint="default" w:ascii="Times New Roman" w:hAnsi="Times New Roman" w:cs="Times New Roman"/>
                          <w:sz w:val="32"/>
                          <w:szCs w:val="32"/>
                          <w:lang w:val="en-US" w:eastAsia="zh-CN"/>
                        </w:rPr>
                        <w:t>平面图</w:t>
                      </w:r>
                    </w:p>
                  </w:txbxContent>
                </v:textbox>
              </v:shape>
            </w:pict>
          </mc:Fallback>
        </mc:AlternateContent>
      </w:r>
      <w:r>
        <w:rPr>
          <w:rFonts w:hint="default" w:cs="Times New Roman"/>
          <w:lang w:eastAsia="zh-CN"/>
        </w:rPr>
        <w:drawing>
          <wp:inline distT="0" distB="0" distL="114300" distR="114300">
            <wp:extent cx="6117590" cy="8652510"/>
            <wp:effectExtent l="0" t="0" r="8890" b="3810"/>
            <wp:docPr id="99" name="图片 99" descr="service.information@grammer.com_20251215_094138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service.information@grammer.com_20251215_094138_09"/>
                    <pic:cNvPicPr>
                      <a:picLocks noChangeAspect="1"/>
                    </pic:cNvPicPr>
                  </pic:nvPicPr>
                  <pic:blipFill>
                    <a:blip r:embed="rId31"/>
                    <a:stretch>
                      <a:fillRect/>
                    </a:stretch>
                  </pic:blipFill>
                  <pic:spPr>
                    <a:xfrm>
                      <a:off x="0" y="0"/>
                      <a:ext cx="6117590" cy="8652510"/>
                    </a:xfrm>
                    <a:prstGeom prst="rect">
                      <a:avLst/>
                    </a:prstGeom>
                  </pic:spPr>
                </pic:pic>
              </a:graphicData>
            </a:graphic>
          </wp:inline>
        </w:drawing>
      </w:r>
    </w:p>
    <w:p w14:paraId="59320B6D">
      <w:pPr>
        <w:pStyle w:val="43"/>
        <w:bidi w:val="0"/>
        <w:ind w:left="0" w:leftChars="0" w:firstLine="0" w:firstLineChars="0"/>
        <w:rPr>
          <w:rFonts w:hint="default" w:ascii="Times New Roman" w:hAnsi="Times New Roman" w:eastAsia="宋体" w:cs="Times New Roman"/>
          <w:lang w:eastAsia="zh-CN"/>
        </w:rPr>
      </w:pPr>
    </w:p>
    <w:sectPr>
      <w:pgSz w:w="11906" w:h="16838"/>
      <w:pgMar w:top="1134" w:right="1134" w:bottom="720" w:left="1134"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小标宋简体">
    <w:altName w:val="宋体"/>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F95EE">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FBEE5">
    <w:pPr>
      <w:tabs>
        <w:tab w:val="center" w:pos="4153"/>
        <w:tab w:val="right" w:pos="8306"/>
      </w:tabs>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9D226">
    <w:pPr>
      <w:tabs>
        <w:tab w:val="center" w:pos="4153"/>
        <w:tab w:val="right" w:pos="8306"/>
      </w:tabs>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6"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25256B">
                          <w:pPr>
                            <w:tabs>
                              <w:tab w:val="center" w:pos="4153"/>
                              <w:tab w:val="right" w:pos="8306"/>
                            </w:tabs>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RbZD1M0BAACeAwAADgAAAAAAAAABACAAAAAeAQAAZHJzL2Uy&#10;b0RvYy54bWxQSwUGAAAAAAYABgBZAQAAXQUAAAAA&#10;">
              <v:fill on="f" focussize="0,0"/>
              <v:stroke on="f"/>
              <v:imagedata o:title=""/>
              <o:lock v:ext="edit" aspectratio="f"/>
              <v:textbox inset="0mm,0mm,0mm,0mm" style="mso-fit-shape-to-text:t;">
                <w:txbxContent>
                  <w:p w14:paraId="0525256B">
                    <w:pPr>
                      <w:tabs>
                        <w:tab w:val="center" w:pos="4153"/>
                        <w:tab w:val="right"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5C429">
    <w:pPr>
      <w:tabs>
        <w:tab w:val="center" w:pos="4153"/>
        <w:tab w:val="right" w:pos="8306"/>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3"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F3D047">
                          <w:pPr>
                            <w:tabs>
                              <w:tab w:val="center" w:pos="4153"/>
                              <w:tab w:val="right" w:pos="8306"/>
                            </w:tabs>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CSarjOAQAAngMAAA4AAAAAAAAAAQAgAAAAHgEAAGRycy9l&#10;Mm9Eb2MueG1sUEsFBgAAAAAGAAYAWQEAAF4FAAAAAA==&#10;">
              <v:fill on="f" focussize="0,0"/>
              <v:stroke on="f"/>
              <v:imagedata o:title=""/>
              <o:lock v:ext="edit" aspectratio="f"/>
              <v:textbox inset="0mm,0mm,0mm,0mm" style="mso-fit-shape-to-text:t;">
                <w:txbxContent>
                  <w:p w14:paraId="63F3D047">
                    <w:pPr>
                      <w:tabs>
                        <w:tab w:val="center" w:pos="4153"/>
                        <w:tab w:val="right" w:pos="8306"/>
                      </w:tabs>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B1602">
    <w:pPr>
      <w:tabs>
        <w:tab w:val="center" w:pos="4153"/>
        <w:tab w:val="right" w:pos="8306"/>
      </w:tabs>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4"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F8787D">
                          <w:pPr>
                            <w:tabs>
                              <w:tab w:val="center" w:pos="4153"/>
                              <w:tab w:val="right" w:pos="8306"/>
                            </w:tabs>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JfT1c0BAACeAwAADgAAAAAAAAABACAAAAAeAQAAZHJzL2Uy&#10;b0RvYy54bWxQSwUGAAAAAAYABgBZAQAAXQUAAAAA&#10;">
              <v:fill on="f" focussize="0,0"/>
              <v:stroke on="f"/>
              <v:imagedata o:title=""/>
              <o:lock v:ext="edit" aspectratio="f"/>
              <v:textbox inset="0mm,0mm,0mm,0mm" style="mso-fit-shape-to-text:t;">
                <w:txbxContent>
                  <w:p w14:paraId="44F8787D">
                    <w:pPr>
                      <w:tabs>
                        <w:tab w:val="center" w:pos="4153"/>
                        <w:tab w:val="right" w:pos="8306"/>
                      </w:tabs>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EC2A3">
    <w:pPr>
      <w:tabs>
        <w:tab w:val="center" w:pos="4153"/>
        <w:tab w:val="right" w:pos="8306"/>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5"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B9995F">
                          <w:pPr>
                            <w:tabs>
                              <w:tab w:val="center" w:pos="4153"/>
                              <w:tab w:val="right" w:pos="8306"/>
                            </w:tabs>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FaaSGPOAQAAngMAAA4AAAAAAAAAAQAgAAAAHgEAAGRycy9l&#10;Mm9Eb2MueG1sUEsFBgAAAAAGAAYAWQEAAF4FAAAAAA==&#10;">
              <v:fill on="f" focussize="0,0"/>
              <v:stroke on="f"/>
              <v:imagedata o:title=""/>
              <o:lock v:ext="edit" aspectratio="f"/>
              <v:textbox inset="0mm,0mm,0mm,0mm" style="mso-fit-shape-to-text:t;">
                <w:txbxContent>
                  <w:p w14:paraId="32B9995F">
                    <w:pPr>
                      <w:tabs>
                        <w:tab w:val="center" w:pos="4153"/>
                        <w:tab w:val="right" w:pos="8306"/>
                      </w:tabs>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1F31C">
    <w:pP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F061F"/>
    <w:multiLevelType w:val="singleLevel"/>
    <w:tmpl w:val="911F061F"/>
    <w:lvl w:ilvl="0" w:tentative="0">
      <w:start w:val="1"/>
      <w:numFmt w:val="decimal"/>
      <w:lvlText w:val="(%1)"/>
      <w:lvlJc w:val="left"/>
      <w:pPr>
        <w:tabs>
          <w:tab w:val="left" w:pos="312"/>
        </w:tabs>
      </w:pPr>
    </w:lvl>
  </w:abstractNum>
  <w:abstractNum w:abstractNumId="1">
    <w:nsid w:val="C8F0B0D6"/>
    <w:multiLevelType w:val="singleLevel"/>
    <w:tmpl w:val="C8F0B0D6"/>
    <w:lvl w:ilvl="0" w:tentative="0">
      <w:start w:val="6"/>
      <w:numFmt w:val="decimal"/>
      <w:suff w:val="nothing"/>
      <w:lvlText w:val="%1、"/>
      <w:lvlJc w:val="left"/>
    </w:lvl>
  </w:abstractNum>
  <w:abstractNum w:abstractNumId="2">
    <w:nsid w:val="352D6032"/>
    <w:multiLevelType w:val="singleLevel"/>
    <w:tmpl w:val="352D6032"/>
    <w:lvl w:ilvl="0" w:tentative="0">
      <w:start w:val="6"/>
      <w:numFmt w:val="chineseCounting"/>
      <w:suff w:val="nothing"/>
      <w:lvlText w:val="%1、"/>
      <w:lvlJc w:val="left"/>
      <w:rPr>
        <w:rFonts w:hint="eastAsia"/>
      </w:rPr>
    </w:lvl>
  </w:abstractNum>
  <w:abstractNum w:abstractNumId="3">
    <w:nsid w:val="5A071499"/>
    <w:multiLevelType w:val="singleLevel"/>
    <w:tmpl w:val="5A071499"/>
    <w:lvl w:ilvl="0" w:tentative="0">
      <w:start w:val="2"/>
      <w:numFmt w:val="decimal"/>
      <w:lvlText w:val="(%1)"/>
      <w:lvlJc w:val="left"/>
      <w:pPr>
        <w:tabs>
          <w:tab w:val="left" w:pos="312"/>
        </w:tabs>
      </w:pPr>
    </w:lvl>
  </w:abstractNum>
  <w:abstractNum w:abstractNumId="4">
    <w:nsid w:val="7B937F15"/>
    <w:multiLevelType w:val="multilevel"/>
    <w:tmpl w:val="7B937F15"/>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425"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7F0C3E49"/>
    <w:multiLevelType w:val="multilevel"/>
    <w:tmpl w:val="7F0C3E49"/>
    <w:lvl w:ilvl="0" w:tentative="0">
      <w:start w:val="1"/>
      <w:numFmt w:val="decimal"/>
      <w:pStyle w:val="77"/>
      <w:lvlText w:val="表%1"/>
      <w:lvlJc w:val="left"/>
      <w:pPr>
        <w:ind w:left="1050" w:hanging="420"/>
      </w:pPr>
      <w:rPr>
        <w:rFonts w:hint="eastAsia"/>
        <w:lang w:val="en-US"/>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181"/>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kNThmZjUxOTU1N2YzNDYxZGEyYTVlOTE5ODBlNjM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063A"/>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8B0"/>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460AE"/>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5A71"/>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0240"/>
    <w:rsid w:val="0095155F"/>
    <w:rsid w:val="00954429"/>
    <w:rsid w:val="009563CE"/>
    <w:rsid w:val="009605B5"/>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F6B3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0DF2"/>
    <w:rsid w:val="00B22C5C"/>
    <w:rsid w:val="00B24F30"/>
    <w:rsid w:val="00B31ABF"/>
    <w:rsid w:val="00B33BE3"/>
    <w:rsid w:val="00B53B5D"/>
    <w:rsid w:val="00B6055E"/>
    <w:rsid w:val="00B6317D"/>
    <w:rsid w:val="00B7723F"/>
    <w:rsid w:val="00B80534"/>
    <w:rsid w:val="00B8433C"/>
    <w:rsid w:val="00B87491"/>
    <w:rsid w:val="00BA29E9"/>
    <w:rsid w:val="00BA3803"/>
    <w:rsid w:val="00BA7142"/>
    <w:rsid w:val="00BB237C"/>
    <w:rsid w:val="00BB41A3"/>
    <w:rsid w:val="00BC32DC"/>
    <w:rsid w:val="00BC35B6"/>
    <w:rsid w:val="00BD1B51"/>
    <w:rsid w:val="00BD4596"/>
    <w:rsid w:val="00BE1405"/>
    <w:rsid w:val="00BE312D"/>
    <w:rsid w:val="00BF1C20"/>
    <w:rsid w:val="00C025D1"/>
    <w:rsid w:val="00C10578"/>
    <w:rsid w:val="00C135BC"/>
    <w:rsid w:val="00C15C95"/>
    <w:rsid w:val="00C23D11"/>
    <w:rsid w:val="00C2596A"/>
    <w:rsid w:val="00C27537"/>
    <w:rsid w:val="00C328FE"/>
    <w:rsid w:val="00C33507"/>
    <w:rsid w:val="00C4409D"/>
    <w:rsid w:val="00C44E72"/>
    <w:rsid w:val="00C45A06"/>
    <w:rsid w:val="00C47E5B"/>
    <w:rsid w:val="00C61E4B"/>
    <w:rsid w:val="00C64BFF"/>
    <w:rsid w:val="00C67F96"/>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2119"/>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67081"/>
    <w:rsid w:val="00E72A5A"/>
    <w:rsid w:val="00E73354"/>
    <w:rsid w:val="00E73885"/>
    <w:rsid w:val="00E9242D"/>
    <w:rsid w:val="00EB5255"/>
    <w:rsid w:val="00EB5C47"/>
    <w:rsid w:val="00ED0639"/>
    <w:rsid w:val="00EF4755"/>
    <w:rsid w:val="00EF7135"/>
    <w:rsid w:val="00F027DB"/>
    <w:rsid w:val="00F11E47"/>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E7B94"/>
    <w:rsid w:val="0110572B"/>
    <w:rsid w:val="011078C7"/>
    <w:rsid w:val="011846E5"/>
    <w:rsid w:val="011851E5"/>
    <w:rsid w:val="01290F7E"/>
    <w:rsid w:val="012941E3"/>
    <w:rsid w:val="01300A24"/>
    <w:rsid w:val="01320680"/>
    <w:rsid w:val="01341807"/>
    <w:rsid w:val="0135355E"/>
    <w:rsid w:val="013C246A"/>
    <w:rsid w:val="01401F5A"/>
    <w:rsid w:val="014A4B87"/>
    <w:rsid w:val="0159126E"/>
    <w:rsid w:val="015D1E09"/>
    <w:rsid w:val="016017CC"/>
    <w:rsid w:val="01606B8C"/>
    <w:rsid w:val="01633E9B"/>
    <w:rsid w:val="01924B58"/>
    <w:rsid w:val="01A00C4B"/>
    <w:rsid w:val="01B841E6"/>
    <w:rsid w:val="01D516B4"/>
    <w:rsid w:val="01E3250B"/>
    <w:rsid w:val="01FB382F"/>
    <w:rsid w:val="01FB4D15"/>
    <w:rsid w:val="01FE2BD2"/>
    <w:rsid w:val="020A424E"/>
    <w:rsid w:val="021146F3"/>
    <w:rsid w:val="021C23A2"/>
    <w:rsid w:val="021E0353"/>
    <w:rsid w:val="024331A5"/>
    <w:rsid w:val="02697903"/>
    <w:rsid w:val="028F0CF2"/>
    <w:rsid w:val="029434E3"/>
    <w:rsid w:val="029562D6"/>
    <w:rsid w:val="02B67E74"/>
    <w:rsid w:val="02BF4A34"/>
    <w:rsid w:val="02E86544"/>
    <w:rsid w:val="02F40F19"/>
    <w:rsid w:val="02F96569"/>
    <w:rsid w:val="030E3BD1"/>
    <w:rsid w:val="03157416"/>
    <w:rsid w:val="035E031F"/>
    <w:rsid w:val="036E446E"/>
    <w:rsid w:val="03763FB7"/>
    <w:rsid w:val="038720C2"/>
    <w:rsid w:val="03883658"/>
    <w:rsid w:val="03A24E08"/>
    <w:rsid w:val="03A32C74"/>
    <w:rsid w:val="03B44927"/>
    <w:rsid w:val="03B46C2F"/>
    <w:rsid w:val="03B94CE8"/>
    <w:rsid w:val="03BE2679"/>
    <w:rsid w:val="03D251BA"/>
    <w:rsid w:val="03D556E7"/>
    <w:rsid w:val="03EA7B21"/>
    <w:rsid w:val="03FD5B9C"/>
    <w:rsid w:val="04231864"/>
    <w:rsid w:val="042E298E"/>
    <w:rsid w:val="043A147D"/>
    <w:rsid w:val="04446FC3"/>
    <w:rsid w:val="045B52FD"/>
    <w:rsid w:val="046619FB"/>
    <w:rsid w:val="047343F5"/>
    <w:rsid w:val="04A20E23"/>
    <w:rsid w:val="04B07C20"/>
    <w:rsid w:val="04C82992"/>
    <w:rsid w:val="04D22ADA"/>
    <w:rsid w:val="04F96FF0"/>
    <w:rsid w:val="05111DBD"/>
    <w:rsid w:val="05123C0E"/>
    <w:rsid w:val="051F457C"/>
    <w:rsid w:val="05241B93"/>
    <w:rsid w:val="052964C4"/>
    <w:rsid w:val="05360CCD"/>
    <w:rsid w:val="05487DE8"/>
    <w:rsid w:val="05504736"/>
    <w:rsid w:val="05660244"/>
    <w:rsid w:val="056A6ABC"/>
    <w:rsid w:val="05927718"/>
    <w:rsid w:val="05A056BD"/>
    <w:rsid w:val="05AC22B4"/>
    <w:rsid w:val="05DE11B6"/>
    <w:rsid w:val="05ED3CFD"/>
    <w:rsid w:val="05F4206C"/>
    <w:rsid w:val="05F83EAE"/>
    <w:rsid w:val="060A2B37"/>
    <w:rsid w:val="060F639F"/>
    <w:rsid w:val="061E27BA"/>
    <w:rsid w:val="063C0107"/>
    <w:rsid w:val="063E7D85"/>
    <w:rsid w:val="064F4637"/>
    <w:rsid w:val="067032E2"/>
    <w:rsid w:val="067F5105"/>
    <w:rsid w:val="068A14AE"/>
    <w:rsid w:val="069967A0"/>
    <w:rsid w:val="06A35CE4"/>
    <w:rsid w:val="06BF7DC5"/>
    <w:rsid w:val="06EE618C"/>
    <w:rsid w:val="0703029C"/>
    <w:rsid w:val="07066E6E"/>
    <w:rsid w:val="071B348F"/>
    <w:rsid w:val="07293586"/>
    <w:rsid w:val="07295285"/>
    <w:rsid w:val="072F27F4"/>
    <w:rsid w:val="07343397"/>
    <w:rsid w:val="07382292"/>
    <w:rsid w:val="073D5A96"/>
    <w:rsid w:val="074D1F99"/>
    <w:rsid w:val="075954A1"/>
    <w:rsid w:val="07636392"/>
    <w:rsid w:val="076E3F95"/>
    <w:rsid w:val="07770C56"/>
    <w:rsid w:val="07794418"/>
    <w:rsid w:val="07807554"/>
    <w:rsid w:val="078D2214"/>
    <w:rsid w:val="07A06018"/>
    <w:rsid w:val="07A42D16"/>
    <w:rsid w:val="07AA0018"/>
    <w:rsid w:val="07AB0349"/>
    <w:rsid w:val="07BE62CF"/>
    <w:rsid w:val="07CE6520"/>
    <w:rsid w:val="07F43199"/>
    <w:rsid w:val="07FA4B11"/>
    <w:rsid w:val="080A5070"/>
    <w:rsid w:val="080B2B96"/>
    <w:rsid w:val="08147C9D"/>
    <w:rsid w:val="08471E20"/>
    <w:rsid w:val="087163C7"/>
    <w:rsid w:val="087A532A"/>
    <w:rsid w:val="087B2722"/>
    <w:rsid w:val="088F4974"/>
    <w:rsid w:val="08993201"/>
    <w:rsid w:val="08A26540"/>
    <w:rsid w:val="08AF3557"/>
    <w:rsid w:val="08CA47FF"/>
    <w:rsid w:val="08EF7528"/>
    <w:rsid w:val="09060B0B"/>
    <w:rsid w:val="091107D4"/>
    <w:rsid w:val="09114CB9"/>
    <w:rsid w:val="09137116"/>
    <w:rsid w:val="091E2940"/>
    <w:rsid w:val="09216B15"/>
    <w:rsid w:val="092217DD"/>
    <w:rsid w:val="092B4563"/>
    <w:rsid w:val="093A7294"/>
    <w:rsid w:val="09412D13"/>
    <w:rsid w:val="09581E0B"/>
    <w:rsid w:val="095962AF"/>
    <w:rsid w:val="095E3D9F"/>
    <w:rsid w:val="096814C7"/>
    <w:rsid w:val="09712CBF"/>
    <w:rsid w:val="09804B8B"/>
    <w:rsid w:val="098122DA"/>
    <w:rsid w:val="09901BF8"/>
    <w:rsid w:val="09A0746A"/>
    <w:rsid w:val="09AB2072"/>
    <w:rsid w:val="09B47989"/>
    <w:rsid w:val="09B72FD5"/>
    <w:rsid w:val="09C05105"/>
    <w:rsid w:val="09D07158"/>
    <w:rsid w:val="09D75426"/>
    <w:rsid w:val="09E7242C"/>
    <w:rsid w:val="09EE29F6"/>
    <w:rsid w:val="09EE3807"/>
    <w:rsid w:val="09F44652"/>
    <w:rsid w:val="0A1B7A08"/>
    <w:rsid w:val="0A263993"/>
    <w:rsid w:val="0A2A119D"/>
    <w:rsid w:val="0A2C7ABA"/>
    <w:rsid w:val="0A2D3AC2"/>
    <w:rsid w:val="0A365B04"/>
    <w:rsid w:val="0A5711E0"/>
    <w:rsid w:val="0A5C46A9"/>
    <w:rsid w:val="0A6A4A10"/>
    <w:rsid w:val="0A7315F2"/>
    <w:rsid w:val="0A74039B"/>
    <w:rsid w:val="0A8972B3"/>
    <w:rsid w:val="0A9629D7"/>
    <w:rsid w:val="0AA755DF"/>
    <w:rsid w:val="0AB90ECC"/>
    <w:rsid w:val="0ABD643E"/>
    <w:rsid w:val="0AD876A7"/>
    <w:rsid w:val="0AE0030A"/>
    <w:rsid w:val="0AEC530E"/>
    <w:rsid w:val="0AF576A4"/>
    <w:rsid w:val="0AFF2E86"/>
    <w:rsid w:val="0B0B6616"/>
    <w:rsid w:val="0B120D44"/>
    <w:rsid w:val="0B3A18B4"/>
    <w:rsid w:val="0B417D87"/>
    <w:rsid w:val="0B453C6A"/>
    <w:rsid w:val="0B475D47"/>
    <w:rsid w:val="0B5A00BC"/>
    <w:rsid w:val="0B6B2985"/>
    <w:rsid w:val="0BB72EAA"/>
    <w:rsid w:val="0BC27053"/>
    <w:rsid w:val="0BC41105"/>
    <w:rsid w:val="0BC8432E"/>
    <w:rsid w:val="0BCA3594"/>
    <w:rsid w:val="0BCD77B7"/>
    <w:rsid w:val="0BD27BF6"/>
    <w:rsid w:val="0BE67BA2"/>
    <w:rsid w:val="0BFC56D1"/>
    <w:rsid w:val="0C0824E9"/>
    <w:rsid w:val="0C0D5702"/>
    <w:rsid w:val="0C39331B"/>
    <w:rsid w:val="0C3B3C7D"/>
    <w:rsid w:val="0C3C625D"/>
    <w:rsid w:val="0C547201"/>
    <w:rsid w:val="0C597E35"/>
    <w:rsid w:val="0C5C6B67"/>
    <w:rsid w:val="0C7D22B4"/>
    <w:rsid w:val="0C8D313A"/>
    <w:rsid w:val="0C9161E7"/>
    <w:rsid w:val="0CAB2EAE"/>
    <w:rsid w:val="0CBF6403"/>
    <w:rsid w:val="0CC4006B"/>
    <w:rsid w:val="0CDA1A87"/>
    <w:rsid w:val="0CE02843"/>
    <w:rsid w:val="0CE95B9C"/>
    <w:rsid w:val="0CEC7405"/>
    <w:rsid w:val="0D4440F3"/>
    <w:rsid w:val="0D611BD6"/>
    <w:rsid w:val="0D621C7D"/>
    <w:rsid w:val="0D66316A"/>
    <w:rsid w:val="0D726F4A"/>
    <w:rsid w:val="0D7F69E4"/>
    <w:rsid w:val="0D82583B"/>
    <w:rsid w:val="0D8C6527"/>
    <w:rsid w:val="0DA1229B"/>
    <w:rsid w:val="0DA87805"/>
    <w:rsid w:val="0DCC25D2"/>
    <w:rsid w:val="0DD1574C"/>
    <w:rsid w:val="0DD2515C"/>
    <w:rsid w:val="0DE77D4E"/>
    <w:rsid w:val="0E0266D1"/>
    <w:rsid w:val="0E054F4F"/>
    <w:rsid w:val="0E086300"/>
    <w:rsid w:val="0E260F02"/>
    <w:rsid w:val="0E383161"/>
    <w:rsid w:val="0E3C0711"/>
    <w:rsid w:val="0E4213C1"/>
    <w:rsid w:val="0E73034D"/>
    <w:rsid w:val="0E9438E5"/>
    <w:rsid w:val="0E963B01"/>
    <w:rsid w:val="0E993BB3"/>
    <w:rsid w:val="0E9F0171"/>
    <w:rsid w:val="0EA2797E"/>
    <w:rsid w:val="0EA57424"/>
    <w:rsid w:val="0EB4723A"/>
    <w:rsid w:val="0EC465B3"/>
    <w:rsid w:val="0EE02FCE"/>
    <w:rsid w:val="0EEA1757"/>
    <w:rsid w:val="0EED1247"/>
    <w:rsid w:val="0EFF3205"/>
    <w:rsid w:val="0F026AA1"/>
    <w:rsid w:val="0F13775A"/>
    <w:rsid w:val="0F3155D8"/>
    <w:rsid w:val="0F44530B"/>
    <w:rsid w:val="0F473153"/>
    <w:rsid w:val="0F5F45FE"/>
    <w:rsid w:val="0F693ECA"/>
    <w:rsid w:val="0F7F5530"/>
    <w:rsid w:val="0F7F6343"/>
    <w:rsid w:val="0F916077"/>
    <w:rsid w:val="0F9A112B"/>
    <w:rsid w:val="0F9A13CF"/>
    <w:rsid w:val="0FA605E4"/>
    <w:rsid w:val="0FD15FED"/>
    <w:rsid w:val="0FE10DAC"/>
    <w:rsid w:val="0FEC2887"/>
    <w:rsid w:val="0FFC3E38"/>
    <w:rsid w:val="0FFE1934"/>
    <w:rsid w:val="10010BB1"/>
    <w:rsid w:val="100F5919"/>
    <w:rsid w:val="10204B3F"/>
    <w:rsid w:val="106D2640"/>
    <w:rsid w:val="106D2F64"/>
    <w:rsid w:val="108019BD"/>
    <w:rsid w:val="10863702"/>
    <w:rsid w:val="10A2678D"/>
    <w:rsid w:val="10B63710"/>
    <w:rsid w:val="10C06C14"/>
    <w:rsid w:val="10C201D6"/>
    <w:rsid w:val="10C5422A"/>
    <w:rsid w:val="10DC1574"/>
    <w:rsid w:val="10F10820"/>
    <w:rsid w:val="11001706"/>
    <w:rsid w:val="11063C09"/>
    <w:rsid w:val="111768B2"/>
    <w:rsid w:val="111C2F7A"/>
    <w:rsid w:val="1125116C"/>
    <w:rsid w:val="115F0CF9"/>
    <w:rsid w:val="11665CA1"/>
    <w:rsid w:val="116F4A15"/>
    <w:rsid w:val="117153F0"/>
    <w:rsid w:val="11743571"/>
    <w:rsid w:val="118153B9"/>
    <w:rsid w:val="11956DD3"/>
    <w:rsid w:val="11964CC3"/>
    <w:rsid w:val="119935EA"/>
    <w:rsid w:val="11AD363C"/>
    <w:rsid w:val="11B043F1"/>
    <w:rsid w:val="11B25E30"/>
    <w:rsid w:val="11C6025A"/>
    <w:rsid w:val="11E46932"/>
    <w:rsid w:val="11E76B4D"/>
    <w:rsid w:val="12096398"/>
    <w:rsid w:val="12171673"/>
    <w:rsid w:val="12331667"/>
    <w:rsid w:val="124D1AF6"/>
    <w:rsid w:val="12575356"/>
    <w:rsid w:val="128B14A3"/>
    <w:rsid w:val="12A6008B"/>
    <w:rsid w:val="12B049E2"/>
    <w:rsid w:val="12B32069"/>
    <w:rsid w:val="12D71347"/>
    <w:rsid w:val="12DF60C8"/>
    <w:rsid w:val="12F72695"/>
    <w:rsid w:val="130977F9"/>
    <w:rsid w:val="130C4392"/>
    <w:rsid w:val="13625493"/>
    <w:rsid w:val="138C7166"/>
    <w:rsid w:val="13951726"/>
    <w:rsid w:val="13981A7A"/>
    <w:rsid w:val="13D02F96"/>
    <w:rsid w:val="13F434BA"/>
    <w:rsid w:val="14076CE6"/>
    <w:rsid w:val="14272A04"/>
    <w:rsid w:val="142D0463"/>
    <w:rsid w:val="142D7F65"/>
    <w:rsid w:val="14396509"/>
    <w:rsid w:val="145510A0"/>
    <w:rsid w:val="146124BC"/>
    <w:rsid w:val="14612D13"/>
    <w:rsid w:val="149713EF"/>
    <w:rsid w:val="14AB5241"/>
    <w:rsid w:val="14BD65FB"/>
    <w:rsid w:val="14BF5434"/>
    <w:rsid w:val="14D43B6C"/>
    <w:rsid w:val="14DD2C3C"/>
    <w:rsid w:val="14EE305E"/>
    <w:rsid w:val="15205ED3"/>
    <w:rsid w:val="15333F1E"/>
    <w:rsid w:val="15335608"/>
    <w:rsid w:val="156362C0"/>
    <w:rsid w:val="159D3D43"/>
    <w:rsid w:val="159E5049"/>
    <w:rsid w:val="15A85EC8"/>
    <w:rsid w:val="15A87DA9"/>
    <w:rsid w:val="15BF0252"/>
    <w:rsid w:val="15E405EB"/>
    <w:rsid w:val="15E62AFE"/>
    <w:rsid w:val="15FF2087"/>
    <w:rsid w:val="16034603"/>
    <w:rsid w:val="16087E1D"/>
    <w:rsid w:val="162C3D2D"/>
    <w:rsid w:val="163836F0"/>
    <w:rsid w:val="16447273"/>
    <w:rsid w:val="164B2D7E"/>
    <w:rsid w:val="165A5414"/>
    <w:rsid w:val="16694123"/>
    <w:rsid w:val="16721969"/>
    <w:rsid w:val="168B1866"/>
    <w:rsid w:val="168F1B7D"/>
    <w:rsid w:val="16A00381"/>
    <w:rsid w:val="16A84336"/>
    <w:rsid w:val="16AF4EB2"/>
    <w:rsid w:val="16B32D77"/>
    <w:rsid w:val="16BC0C75"/>
    <w:rsid w:val="16BF171B"/>
    <w:rsid w:val="16D30241"/>
    <w:rsid w:val="16E318AE"/>
    <w:rsid w:val="16E509B8"/>
    <w:rsid w:val="16FE7FF8"/>
    <w:rsid w:val="17066C93"/>
    <w:rsid w:val="170D7F80"/>
    <w:rsid w:val="17140991"/>
    <w:rsid w:val="17202B47"/>
    <w:rsid w:val="17237EFC"/>
    <w:rsid w:val="17454196"/>
    <w:rsid w:val="175D63A1"/>
    <w:rsid w:val="17701D14"/>
    <w:rsid w:val="17726EEA"/>
    <w:rsid w:val="17735226"/>
    <w:rsid w:val="177E6544"/>
    <w:rsid w:val="177F7FB0"/>
    <w:rsid w:val="17966F3F"/>
    <w:rsid w:val="179742AE"/>
    <w:rsid w:val="17AD5A18"/>
    <w:rsid w:val="17B327B1"/>
    <w:rsid w:val="17C74D2B"/>
    <w:rsid w:val="17CA3561"/>
    <w:rsid w:val="17CD1C16"/>
    <w:rsid w:val="180B4E11"/>
    <w:rsid w:val="18112DDC"/>
    <w:rsid w:val="18381785"/>
    <w:rsid w:val="185024E1"/>
    <w:rsid w:val="18502951"/>
    <w:rsid w:val="186F1735"/>
    <w:rsid w:val="18770500"/>
    <w:rsid w:val="189F624C"/>
    <w:rsid w:val="18A20946"/>
    <w:rsid w:val="18A60E53"/>
    <w:rsid w:val="18C46036"/>
    <w:rsid w:val="18CB25F9"/>
    <w:rsid w:val="18D27471"/>
    <w:rsid w:val="18EB7E35"/>
    <w:rsid w:val="18F55160"/>
    <w:rsid w:val="18F63699"/>
    <w:rsid w:val="19074551"/>
    <w:rsid w:val="19137F05"/>
    <w:rsid w:val="194A79C2"/>
    <w:rsid w:val="19600F94"/>
    <w:rsid w:val="19712F14"/>
    <w:rsid w:val="19750605"/>
    <w:rsid w:val="197E00D8"/>
    <w:rsid w:val="19874772"/>
    <w:rsid w:val="19881F8C"/>
    <w:rsid w:val="199925A0"/>
    <w:rsid w:val="19B32D61"/>
    <w:rsid w:val="19B9637D"/>
    <w:rsid w:val="19D379B8"/>
    <w:rsid w:val="19F4695A"/>
    <w:rsid w:val="19FA0C79"/>
    <w:rsid w:val="1A1C14C0"/>
    <w:rsid w:val="1A1C66C0"/>
    <w:rsid w:val="1A321E5E"/>
    <w:rsid w:val="1A3760C8"/>
    <w:rsid w:val="1A3F504D"/>
    <w:rsid w:val="1A42393B"/>
    <w:rsid w:val="1A545AEB"/>
    <w:rsid w:val="1A570C83"/>
    <w:rsid w:val="1A804DDA"/>
    <w:rsid w:val="1A8E5E69"/>
    <w:rsid w:val="1A9133CF"/>
    <w:rsid w:val="1A9B24D8"/>
    <w:rsid w:val="1AA72BF2"/>
    <w:rsid w:val="1AAD45DE"/>
    <w:rsid w:val="1AD35795"/>
    <w:rsid w:val="1AD67640"/>
    <w:rsid w:val="1AF86DF7"/>
    <w:rsid w:val="1B046F80"/>
    <w:rsid w:val="1B1C3B23"/>
    <w:rsid w:val="1B3267B5"/>
    <w:rsid w:val="1B3C2F0E"/>
    <w:rsid w:val="1B40161D"/>
    <w:rsid w:val="1B441859"/>
    <w:rsid w:val="1B5468D6"/>
    <w:rsid w:val="1B5F527B"/>
    <w:rsid w:val="1B6606B1"/>
    <w:rsid w:val="1B692096"/>
    <w:rsid w:val="1B7E5AA8"/>
    <w:rsid w:val="1B9A4616"/>
    <w:rsid w:val="1BBF2ACC"/>
    <w:rsid w:val="1BCA3D65"/>
    <w:rsid w:val="1C0451FB"/>
    <w:rsid w:val="1C076B3F"/>
    <w:rsid w:val="1C5E7925"/>
    <w:rsid w:val="1C7D00AF"/>
    <w:rsid w:val="1C972D18"/>
    <w:rsid w:val="1C974E1B"/>
    <w:rsid w:val="1CAB6F69"/>
    <w:rsid w:val="1CAC6D6A"/>
    <w:rsid w:val="1CB068B0"/>
    <w:rsid w:val="1CDA2E0B"/>
    <w:rsid w:val="1CDF5030"/>
    <w:rsid w:val="1CE840F9"/>
    <w:rsid w:val="1CEF72B2"/>
    <w:rsid w:val="1CEF75CF"/>
    <w:rsid w:val="1CF27542"/>
    <w:rsid w:val="1CF53A0D"/>
    <w:rsid w:val="1CFD070F"/>
    <w:rsid w:val="1D015472"/>
    <w:rsid w:val="1D0C4F8F"/>
    <w:rsid w:val="1D2F4414"/>
    <w:rsid w:val="1D5F6196"/>
    <w:rsid w:val="1D6132A5"/>
    <w:rsid w:val="1D8E56D5"/>
    <w:rsid w:val="1D954F84"/>
    <w:rsid w:val="1D9651D3"/>
    <w:rsid w:val="1D9C4564"/>
    <w:rsid w:val="1D9F3336"/>
    <w:rsid w:val="1DBD587E"/>
    <w:rsid w:val="1DEB2115"/>
    <w:rsid w:val="1E187EE5"/>
    <w:rsid w:val="1E1B5B59"/>
    <w:rsid w:val="1E211968"/>
    <w:rsid w:val="1E285DF8"/>
    <w:rsid w:val="1E4E6E51"/>
    <w:rsid w:val="1E64085F"/>
    <w:rsid w:val="1E7A43DA"/>
    <w:rsid w:val="1EA77665"/>
    <w:rsid w:val="1EA872D7"/>
    <w:rsid w:val="1EC0236C"/>
    <w:rsid w:val="1EC57AEB"/>
    <w:rsid w:val="1EF070B0"/>
    <w:rsid w:val="1EF7527D"/>
    <w:rsid w:val="1EFE0A0D"/>
    <w:rsid w:val="1F0D09C0"/>
    <w:rsid w:val="1F2E1A9E"/>
    <w:rsid w:val="1F2F15DC"/>
    <w:rsid w:val="1F3E056C"/>
    <w:rsid w:val="1F477459"/>
    <w:rsid w:val="1F7D6908"/>
    <w:rsid w:val="1F817287"/>
    <w:rsid w:val="1F8B2AE2"/>
    <w:rsid w:val="1FB359F5"/>
    <w:rsid w:val="1FBE4C66"/>
    <w:rsid w:val="1FCD3D58"/>
    <w:rsid w:val="1FD30AE6"/>
    <w:rsid w:val="1FE36011"/>
    <w:rsid w:val="1FE7539E"/>
    <w:rsid w:val="1FEB342E"/>
    <w:rsid w:val="1FF02C7C"/>
    <w:rsid w:val="1FF33FD6"/>
    <w:rsid w:val="1FF40688"/>
    <w:rsid w:val="200D799B"/>
    <w:rsid w:val="20126D60"/>
    <w:rsid w:val="203F6255"/>
    <w:rsid w:val="20574E59"/>
    <w:rsid w:val="205E1FA5"/>
    <w:rsid w:val="20671BE0"/>
    <w:rsid w:val="20876F28"/>
    <w:rsid w:val="20963CB8"/>
    <w:rsid w:val="20A81A1B"/>
    <w:rsid w:val="20B07FB6"/>
    <w:rsid w:val="20B646FB"/>
    <w:rsid w:val="20BA367F"/>
    <w:rsid w:val="20C0120F"/>
    <w:rsid w:val="20DD736E"/>
    <w:rsid w:val="20DF202D"/>
    <w:rsid w:val="20E215B9"/>
    <w:rsid w:val="20E377E8"/>
    <w:rsid w:val="21050366"/>
    <w:rsid w:val="210D2D10"/>
    <w:rsid w:val="21222FD3"/>
    <w:rsid w:val="21253C7A"/>
    <w:rsid w:val="213B74B1"/>
    <w:rsid w:val="2147369B"/>
    <w:rsid w:val="215A2310"/>
    <w:rsid w:val="216D2ED7"/>
    <w:rsid w:val="216E2DF5"/>
    <w:rsid w:val="2173046A"/>
    <w:rsid w:val="21752F34"/>
    <w:rsid w:val="217655AA"/>
    <w:rsid w:val="21780687"/>
    <w:rsid w:val="21926E87"/>
    <w:rsid w:val="21B509CA"/>
    <w:rsid w:val="21C00B44"/>
    <w:rsid w:val="21C4758D"/>
    <w:rsid w:val="21DE318A"/>
    <w:rsid w:val="21E264AF"/>
    <w:rsid w:val="21EF459D"/>
    <w:rsid w:val="21EF5B80"/>
    <w:rsid w:val="21F9195A"/>
    <w:rsid w:val="22066450"/>
    <w:rsid w:val="22194045"/>
    <w:rsid w:val="223B4420"/>
    <w:rsid w:val="22421B7E"/>
    <w:rsid w:val="224F1B19"/>
    <w:rsid w:val="224F5BA0"/>
    <w:rsid w:val="22576990"/>
    <w:rsid w:val="22576CAC"/>
    <w:rsid w:val="228811F3"/>
    <w:rsid w:val="22AD0711"/>
    <w:rsid w:val="22AD4B1E"/>
    <w:rsid w:val="22C41D8D"/>
    <w:rsid w:val="22F1795A"/>
    <w:rsid w:val="22F47480"/>
    <w:rsid w:val="22F56BF1"/>
    <w:rsid w:val="23187E42"/>
    <w:rsid w:val="232A50B4"/>
    <w:rsid w:val="23337719"/>
    <w:rsid w:val="234F6DEC"/>
    <w:rsid w:val="236478D2"/>
    <w:rsid w:val="23895D44"/>
    <w:rsid w:val="23C86365"/>
    <w:rsid w:val="23D05F5E"/>
    <w:rsid w:val="23D31B3C"/>
    <w:rsid w:val="23DE1C48"/>
    <w:rsid w:val="23ED1676"/>
    <w:rsid w:val="23F30C56"/>
    <w:rsid w:val="240210CD"/>
    <w:rsid w:val="241440AC"/>
    <w:rsid w:val="24170DE9"/>
    <w:rsid w:val="2418629D"/>
    <w:rsid w:val="241F3A3B"/>
    <w:rsid w:val="24464D5F"/>
    <w:rsid w:val="2464066D"/>
    <w:rsid w:val="24A14C74"/>
    <w:rsid w:val="24B73709"/>
    <w:rsid w:val="24B7690C"/>
    <w:rsid w:val="24BE4E48"/>
    <w:rsid w:val="24BF09F7"/>
    <w:rsid w:val="24F667CC"/>
    <w:rsid w:val="25030E1F"/>
    <w:rsid w:val="25252239"/>
    <w:rsid w:val="25257D3B"/>
    <w:rsid w:val="252D53FE"/>
    <w:rsid w:val="253C1877"/>
    <w:rsid w:val="254944BC"/>
    <w:rsid w:val="255527CF"/>
    <w:rsid w:val="25564CEF"/>
    <w:rsid w:val="2598338F"/>
    <w:rsid w:val="259F4BF2"/>
    <w:rsid w:val="25A90170"/>
    <w:rsid w:val="25B84F7B"/>
    <w:rsid w:val="25C0573B"/>
    <w:rsid w:val="25C12DBA"/>
    <w:rsid w:val="25EC2D81"/>
    <w:rsid w:val="25EE433E"/>
    <w:rsid w:val="25FF38E2"/>
    <w:rsid w:val="2608650C"/>
    <w:rsid w:val="261D1FBA"/>
    <w:rsid w:val="26245763"/>
    <w:rsid w:val="26397692"/>
    <w:rsid w:val="263A009E"/>
    <w:rsid w:val="264F7989"/>
    <w:rsid w:val="26AE33EC"/>
    <w:rsid w:val="26B268CE"/>
    <w:rsid w:val="26B26BA7"/>
    <w:rsid w:val="26D238B5"/>
    <w:rsid w:val="26D95710"/>
    <w:rsid w:val="26ED7BDF"/>
    <w:rsid w:val="26F61189"/>
    <w:rsid w:val="26F91BEE"/>
    <w:rsid w:val="270B176D"/>
    <w:rsid w:val="271C58B6"/>
    <w:rsid w:val="277057A2"/>
    <w:rsid w:val="28007EDF"/>
    <w:rsid w:val="280B6A19"/>
    <w:rsid w:val="281D1523"/>
    <w:rsid w:val="28597F9D"/>
    <w:rsid w:val="28855D51"/>
    <w:rsid w:val="288A78B1"/>
    <w:rsid w:val="28E026ED"/>
    <w:rsid w:val="28EF301A"/>
    <w:rsid w:val="28F50017"/>
    <w:rsid w:val="2901626C"/>
    <w:rsid w:val="291538E3"/>
    <w:rsid w:val="29206EB8"/>
    <w:rsid w:val="292257C4"/>
    <w:rsid w:val="292A336C"/>
    <w:rsid w:val="292C1FF8"/>
    <w:rsid w:val="292D5B7C"/>
    <w:rsid w:val="29416329"/>
    <w:rsid w:val="295100D7"/>
    <w:rsid w:val="29573054"/>
    <w:rsid w:val="29595666"/>
    <w:rsid w:val="296E51F2"/>
    <w:rsid w:val="297D539A"/>
    <w:rsid w:val="29874881"/>
    <w:rsid w:val="29886BF7"/>
    <w:rsid w:val="29916F47"/>
    <w:rsid w:val="299A7E6A"/>
    <w:rsid w:val="299F5DEC"/>
    <w:rsid w:val="29AB5192"/>
    <w:rsid w:val="29B84A22"/>
    <w:rsid w:val="29C1404C"/>
    <w:rsid w:val="29E325E0"/>
    <w:rsid w:val="29FB4DC3"/>
    <w:rsid w:val="29FF65A7"/>
    <w:rsid w:val="2A001D22"/>
    <w:rsid w:val="2A01793D"/>
    <w:rsid w:val="2A10648B"/>
    <w:rsid w:val="2A13687A"/>
    <w:rsid w:val="2A2B2EF8"/>
    <w:rsid w:val="2A452503"/>
    <w:rsid w:val="2A533B84"/>
    <w:rsid w:val="2A927854"/>
    <w:rsid w:val="2A9441FD"/>
    <w:rsid w:val="2AA9206F"/>
    <w:rsid w:val="2AAF4BC6"/>
    <w:rsid w:val="2AB92897"/>
    <w:rsid w:val="2AC767EC"/>
    <w:rsid w:val="2AE00186"/>
    <w:rsid w:val="2AE1437E"/>
    <w:rsid w:val="2AF07C9E"/>
    <w:rsid w:val="2AF552B4"/>
    <w:rsid w:val="2B04225C"/>
    <w:rsid w:val="2B280C8B"/>
    <w:rsid w:val="2B29091D"/>
    <w:rsid w:val="2B3E4EAD"/>
    <w:rsid w:val="2B451BC7"/>
    <w:rsid w:val="2B45448D"/>
    <w:rsid w:val="2B617BF9"/>
    <w:rsid w:val="2B631B24"/>
    <w:rsid w:val="2B6F5066"/>
    <w:rsid w:val="2B944ACD"/>
    <w:rsid w:val="2BA03F6F"/>
    <w:rsid w:val="2BA936A8"/>
    <w:rsid w:val="2BAB19AD"/>
    <w:rsid w:val="2BCB4407"/>
    <w:rsid w:val="2BCC4F7A"/>
    <w:rsid w:val="2BDE61D2"/>
    <w:rsid w:val="2C074F97"/>
    <w:rsid w:val="2C097269"/>
    <w:rsid w:val="2C1750FE"/>
    <w:rsid w:val="2C315A5A"/>
    <w:rsid w:val="2C32649C"/>
    <w:rsid w:val="2C4B1C25"/>
    <w:rsid w:val="2C5C1A8E"/>
    <w:rsid w:val="2C601C31"/>
    <w:rsid w:val="2C787BAC"/>
    <w:rsid w:val="2CA43C66"/>
    <w:rsid w:val="2CAD1495"/>
    <w:rsid w:val="2CB156E1"/>
    <w:rsid w:val="2CB216AE"/>
    <w:rsid w:val="2CC66F08"/>
    <w:rsid w:val="2CD40520"/>
    <w:rsid w:val="2CE101E6"/>
    <w:rsid w:val="2CE564A3"/>
    <w:rsid w:val="2CF03F85"/>
    <w:rsid w:val="2CF11DB0"/>
    <w:rsid w:val="2CFF0BAD"/>
    <w:rsid w:val="2D0933FF"/>
    <w:rsid w:val="2D0F0B22"/>
    <w:rsid w:val="2D3338A5"/>
    <w:rsid w:val="2D37238E"/>
    <w:rsid w:val="2D3B5EC4"/>
    <w:rsid w:val="2D426ED6"/>
    <w:rsid w:val="2D5E7618"/>
    <w:rsid w:val="2D6758B6"/>
    <w:rsid w:val="2D8E2DC6"/>
    <w:rsid w:val="2D9B2143"/>
    <w:rsid w:val="2D9E56F5"/>
    <w:rsid w:val="2D9F35FD"/>
    <w:rsid w:val="2DCE14E4"/>
    <w:rsid w:val="2E0877D6"/>
    <w:rsid w:val="2E1B10D1"/>
    <w:rsid w:val="2E30129C"/>
    <w:rsid w:val="2E526BB1"/>
    <w:rsid w:val="2E597998"/>
    <w:rsid w:val="2E667F96"/>
    <w:rsid w:val="2E7A444E"/>
    <w:rsid w:val="2E8226AB"/>
    <w:rsid w:val="2E9632B0"/>
    <w:rsid w:val="2EC241CB"/>
    <w:rsid w:val="2ED424C8"/>
    <w:rsid w:val="2EE023E5"/>
    <w:rsid w:val="2EE30245"/>
    <w:rsid w:val="2EE8164E"/>
    <w:rsid w:val="2EF232EC"/>
    <w:rsid w:val="2F0F21C4"/>
    <w:rsid w:val="2F2D7A0A"/>
    <w:rsid w:val="2F4800A8"/>
    <w:rsid w:val="2F532F24"/>
    <w:rsid w:val="2F601896"/>
    <w:rsid w:val="2F837332"/>
    <w:rsid w:val="2FB944A8"/>
    <w:rsid w:val="2FBA09F1"/>
    <w:rsid w:val="2FC656BB"/>
    <w:rsid w:val="2FD065E6"/>
    <w:rsid w:val="2FD1009E"/>
    <w:rsid w:val="2FD55B5A"/>
    <w:rsid w:val="2FD96870"/>
    <w:rsid w:val="2FDA27A9"/>
    <w:rsid w:val="2FE14CDA"/>
    <w:rsid w:val="2FF31A23"/>
    <w:rsid w:val="2FF5015A"/>
    <w:rsid w:val="30180F16"/>
    <w:rsid w:val="30244B50"/>
    <w:rsid w:val="302F6EBA"/>
    <w:rsid w:val="303A4363"/>
    <w:rsid w:val="30580BC9"/>
    <w:rsid w:val="308610FD"/>
    <w:rsid w:val="3098505F"/>
    <w:rsid w:val="30987D94"/>
    <w:rsid w:val="309A4BB3"/>
    <w:rsid w:val="30A6777C"/>
    <w:rsid w:val="30A703D9"/>
    <w:rsid w:val="30CE4078"/>
    <w:rsid w:val="30D97638"/>
    <w:rsid w:val="310A3E05"/>
    <w:rsid w:val="311748A8"/>
    <w:rsid w:val="311A4260"/>
    <w:rsid w:val="311E2ED7"/>
    <w:rsid w:val="312524A7"/>
    <w:rsid w:val="312D56F3"/>
    <w:rsid w:val="312E7EFF"/>
    <w:rsid w:val="315619EE"/>
    <w:rsid w:val="315B1A32"/>
    <w:rsid w:val="315C449C"/>
    <w:rsid w:val="315F3849"/>
    <w:rsid w:val="316557DF"/>
    <w:rsid w:val="317C1898"/>
    <w:rsid w:val="31912AC0"/>
    <w:rsid w:val="31B6007C"/>
    <w:rsid w:val="31B72662"/>
    <w:rsid w:val="31B82709"/>
    <w:rsid w:val="31D05482"/>
    <w:rsid w:val="31F44517"/>
    <w:rsid w:val="321A13C1"/>
    <w:rsid w:val="322432AA"/>
    <w:rsid w:val="32291DA4"/>
    <w:rsid w:val="32303E83"/>
    <w:rsid w:val="323B0398"/>
    <w:rsid w:val="32400B34"/>
    <w:rsid w:val="32433071"/>
    <w:rsid w:val="324F6872"/>
    <w:rsid w:val="325D20BC"/>
    <w:rsid w:val="3265253D"/>
    <w:rsid w:val="32892B30"/>
    <w:rsid w:val="329E6876"/>
    <w:rsid w:val="32C025A1"/>
    <w:rsid w:val="32D4514E"/>
    <w:rsid w:val="32ED14B2"/>
    <w:rsid w:val="32FA5796"/>
    <w:rsid w:val="33257BBA"/>
    <w:rsid w:val="333015F2"/>
    <w:rsid w:val="333F5C66"/>
    <w:rsid w:val="33435037"/>
    <w:rsid w:val="334B6320"/>
    <w:rsid w:val="334B63B9"/>
    <w:rsid w:val="33633738"/>
    <w:rsid w:val="33774120"/>
    <w:rsid w:val="3386350C"/>
    <w:rsid w:val="3395213A"/>
    <w:rsid w:val="33A517BF"/>
    <w:rsid w:val="33B61840"/>
    <w:rsid w:val="33BA5755"/>
    <w:rsid w:val="33C00F40"/>
    <w:rsid w:val="33C90E64"/>
    <w:rsid w:val="33D47DAE"/>
    <w:rsid w:val="33D934D4"/>
    <w:rsid w:val="33E76EBA"/>
    <w:rsid w:val="33EA0A36"/>
    <w:rsid w:val="33FD75DA"/>
    <w:rsid w:val="33FE2F6A"/>
    <w:rsid w:val="33FF18B6"/>
    <w:rsid w:val="340E07E5"/>
    <w:rsid w:val="34232E92"/>
    <w:rsid w:val="34235BF7"/>
    <w:rsid w:val="342D3D10"/>
    <w:rsid w:val="34321A2F"/>
    <w:rsid w:val="34323899"/>
    <w:rsid w:val="34340CDB"/>
    <w:rsid w:val="34515C51"/>
    <w:rsid w:val="34570B48"/>
    <w:rsid w:val="345F2117"/>
    <w:rsid w:val="34600866"/>
    <w:rsid w:val="34614EE1"/>
    <w:rsid w:val="34842D29"/>
    <w:rsid w:val="348D2752"/>
    <w:rsid w:val="34937296"/>
    <w:rsid w:val="34A60A5E"/>
    <w:rsid w:val="34AD1DA1"/>
    <w:rsid w:val="34B74FB9"/>
    <w:rsid w:val="34C9298A"/>
    <w:rsid w:val="34CD61AA"/>
    <w:rsid w:val="34D50630"/>
    <w:rsid w:val="34D507EF"/>
    <w:rsid w:val="34F739B3"/>
    <w:rsid w:val="34F859FF"/>
    <w:rsid w:val="350A598E"/>
    <w:rsid w:val="35213875"/>
    <w:rsid w:val="3522139B"/>
    <w:rsid w:val="352D221A"/>
    <w:rsid w:val="353C06AF"/>
    <w:rsid w:val="354D6418"/>
    <w:rsid w:val="356A4BC7"/>
    <w:rsid w:val="356F3CE9"/>
    <w:rsid w:val="357652DF"/>
    <w:rsid w:val="357C4F4F"/>
    <w:rsid w:val="357F3457"/>
    <w:rsid w:val="358C5FA8"/>
    <w:rsid w:val="359D0A43"/>
    <w:rsid w:val="35B93AAE"/>
    <w:rsid w:val="35C15DF1"/>
    <w:rsid w:val="35EC6EE5"/>
    <w:rsid w:val="36074A7F"/>
    <w:rsid w:val="36136662"/>
    <w:rsid w:val="363708B7"/>
    <w:rsid w:val="3638092D"/>
    <w:rsid w:val="36484E32"/>
    <w:rsid w:val="36496219"/>
    <w:rsid w:val="366C5143"/>
    <w:rsid w:val="36737888"/>
    <w:rsid w:val="367774C5"/>
    <w:rsid w:val="36785717"/>
    <w:rsid w:val="36923549"/>
    <w:rsid w:val="369D1D15"/>
    <w:rsid w:val="36A84F7B"/>
    <w:rsid w:val="36B75FBF"/>
    <w:rsid w:val="36BD0C45"/>
    <w:rsid w:val="36CC7811"/>
    <w:rsid w:val="36FF3742"/>
    <w:rsid w:val="37147113"/>
    <w:rsid w:val="371D19AD"/>
    <w:rsid w:val="3724008B"/>
    <w:rsid w:val="37A361F3"/>
    <w:rsid w:val="37AC319E"/>
    <w:rsid w:val="37B46665"/>
    <w:rsid w:val="37E00298"/>
    <w:rsid w:val="37E1185C"/>
    <w:rsid w:val="381635F9"/>
    <w:rsid w:val="38196A86"/>
    <w:rsid w:val="382F09B5"/>
    <w:rsid w:val="383513E6"/>
    <w:rsid w:val="38515A60"/>
    <w:rsid w:val="38A96C41"/>
    <w:rsid w:val="38B302F9"/>
    <w:rsid w:val="38CA60F1"/>
    <w:rsid w:val="38CE4018"/>
    <w:rsid w:val="38DD6468"/>
    <w:rsid w:val="38F12CD3"/>
    <w:rsid w:val="38F94775"/>
    <w:rsid w:val="38FB78A0"/>
    <w:rsid w:val="38FF74BB"/>
    <w:rsid w:val="39082E75"/>
    <w:rsid w:val="390B1232"/>
    <w:rsid w:val="390B4BEA"/>
    <w:rsid w:val="390E5EBF"/>
    <w:rsid w:val="392971ED"/>
    <w:rsid w:val="39325651"/>
    <w:rsid w:val="39376E62"/>
    <w:rsid w:val="395E1EC2"/>
    <w:rsid w:val="39697599"/>
    <w:rsid w:val="396E09F4"/>
    <w:rsid w:val="3972239A"/>
    <w:rsid w:val="39902D77"/>
    <w:rsid w:val="39A26005"/>
    <w:rsid w:val="39BC791F"/>
    <w:rsid w:val="39BF3DD9"/>
    <w:rsid w:val="39CC6D7A"/>
    <w:rsid w:val="39FF7EFD"/>
    <w:rsid w:val="3A1103BF"/>
    <w:rsid w:val="3A3F6965"/>
    <w:rsid w:val="3A5F5EAA"/>
    <w:rsid w:val="3A8724CB"/>
    <w:rsid w:val="3A872856"/>
    <w:rsid w:val="3A9E3A84"/>
    <w:rsid w:val="3AD11FA1"/>
    <w:rsid w:val="3AE129CA"/>
    <w:rsid w:val="3AF92329"/>
    <w:rsid w:val="3B0A02FF"/>
    <w:rsid w:val="3B0B6B11"/>
    <w:rsid w:val="3B293484"/>
    <w:rsid w:val="3B2A0D8A"/>
    <w:rsid w:val="3B2F03A0"/>
    <w:rsid w:val="3B3763D1"/>
    <w:rsid w:val="3B3F4FCE"/>
    <w:rsid w:val="3B431832"/>
    <w:rsid w:val="3B497682"/>
    <w:rsid w:val="3B5378D0"/>
    <w:rsid w:val="3B5A11FD"/>
    <w:rsid w:val="3B627216"/>
    <w:rsid w:val="3B627E64"/>
    <w:rsid w:val="3B684DF8"/>
    <w:rsid w:val="3B781D15"/>
    <w:rsid w:val="3B8F66EA"/>
    <w:rsid w:val="3BB41B2C"/>
    <w:rsid w:val="3BC22C4A"/>
    <w:rsid w:val="3BE07B24"/>
    <w:rsid w:val="3BEC625F"/>
    <w:rsid w:val="3BF43FDC"/>
    <w:rsid w:val="3C066AC4"/>
    <w:rsid w:val="3C0A2369"/>
    <w:rsid w:val="3C2F6E1E"/>
    <w:rsid w:val="3C3976F6"/>
    <w:rsid w:val="3C3F7EDE"/>
    <w:rsid w:val="3C405628"/>
    <w:rsid w:val="3C4E425D"/>
    <w:rsid w:val="3C4F64BA"/>
    <w:rsid w:val="3C7915EA"/>
    <w:rsid w:val="3CD90232"/>
    <w:rsid w:val="3CDA245A"/>
    <w:rsid w:val="3CDE6512"/>
    <w:rsid w:val="3CE83350"/>
    <w:rsid w:val="3CE87055"/>
    <w:rsid w:val="3CED5D8C"/>
    <w:rsid w:val="3CEE0E89"/>
    <w:rsid w:val="3D1E06B7"/>
    <w:rsid w:val="3D255001"/>
    <w:rsid w:val="3D314871"/>
    <w:rsid w:val="3D5A71F9"/>
    <w:rsid w:val="3D5B369C"/>
    <w:rsid w:val="3D6C38DF"/>
    <w:rsid w:val="3D8765E7"/>
    <w:rsid w:val="3DA07301"/>
    <w:rsid w:val="3DA26D0E"/>
    <w:rsid w:val="3DBF1E7D"/>
    <w:rsid w:val="3DE44AB9"/>
    <w:rsid w:val="3DE95902"/>
    <w:rsid w:val="3E25233C"/>
    <w:rsid w:val="3E3942CD"/>
    <w:rsid w:val="3E3E52C4"/>
    <w:rsid w:val="3E543F90"/>
    <w:rsid w:val="3E5E5C63"/>
    <w:rsid w:val="3E976956"/>
    <w:rsid w:val="3EA6303D"/>
    <w:rsid w:val="3EBD39DD"/>
    <w:rsid w:val="3ED50CA5"/>
    <w:rsid w:val="3EDA0523"/>
    <w:rsid w:val="3EEA21DF"/>
    <w:rsid w:val="3F0A6FBE"/>
    <w:rsid w:val="3F12422F"/>
    <w:rsid w:val="3F1432D0"/>
    <w:rsid w:val="3F2F1C77"/>
    <w:rsid w:val="3F497DA4"/>
    <w:rsid w:val="3F54550C"/>
    <w:rsid w:val="3F6853D5"/>
    <w:rsid w:val="3F752579"/>
    <w:rsid w:val="3F8243FC"/>
    <w:rsid w:val="3FC574F3"/>
    <w:rsid w:val="3FCD4A0C"/>
    <w:rsid w:val="3FE0432D"/>
    <w:rsid w:val="3FE964DF"/>
    <w:rsid w:val="3FFB7866"/>
    <w:rsid w:val="3FFF4F2D"/>
    <w:rsid w:val="400C2735"/>
    <w:rsid w:val="40434AAB"/>
    <w:rsid w:val="404B1536"/>
    <w:rsid w:val="404B3E9C"/>
    <w:rsid w:val="404E3887"/>
    <w:rsid w:val="405332B2"/>
    <w:rsid w:val="405F5252"/>
    <w:rsid w:val="406C0B0B"/>
    <w:rsid w:val="406F6A92"/>
    <w:rsid w:val="407A6407"/>
    <w:rsid w:val="40AB66E9"/>
    <w:rsid w:val="40B53729"/>
    <w:rsid w:val="40ED2CD2"/>
    <w:rsid w:val="40EF1766"/>
    <w:rsid w:val="40FA4070"/>
    <w:rsid w:val="410F6713"/>
    <w:rsid w:val="412907A1"/>
    <w:rsid w:val="41354774"/>
    <w:rsid w:val="413B1B8C"/>
    <w:rsid w:val="415A055F"/>
    <w:rsid w:val="416751FF"/>
    <w:rsid w:val="416B36A9"/>
    <w:rsid w:val="417717A4"/>
    <w:rsid w:val="41832564"/>
    <w:rsid w:val="41957568"/>
    <w:rsid w:val="419612A6"/>
    <w:rsid w:val="41B46348"/>
    <w:rsid w:val="41C15B36"/>
    <w:rsid w:val="41C77A51"/>
    <w:rsid w:val="41DB2FFE"/>
    <w:rsid w:val="41DF489C"/>
    <w:rsid w:val="41E01DED"/>
    <w:rsid w:val="4200449D"/>
    <w:rsid w:val="420A48B3"/>
    <w:rsid w:val="4212472D"/>
    <w:rsid w:val="422B4B00"/>
    <w:rsid w:val="42312C1E"/>
    <w:rsid w:val="42377E90"/>
    <w:rsid w:val="423A3BCC"/>
    <w:rsid w:val="423F6323"/>
    <w:rsid w:val="424E57D2"/>
    <w:rsid w:val="42552DB0"/>
    <w:rsid w:val="425B5D0E"/>
    <w:rsid w:val="42626F74"/>
    <w:rsid w:val="4267598A"/>
    <w:rsid w:val="42876CE2"/>
    <w:rsid w:val="428D254A"/>
    <w:rsid w:val="42A5317F"/>
    <w:rsid w:val="42AA5FDC"/>
    <w:rsid w:val="42AD52B2"/>
    <w:rsid w:val="42B26C49"/>
    <w:rsid w:val="42B31885"/>
    <w:rsid w:val="42C10446"/>
    <w:rsid w:val="42ED61B2"/>
    <w:rsid w:val="42F371D5"/>
    <w:rsid w:val="430A3B9B"/>
    <w:rsid w:val="432B69F9"/>
    <w:rsid w:val="43387AB7"/>
    <w:rsid w:val="433A6FE6"/>
    <w:rsid w:val="43414C61"/>
    <w:rsid w:val="43480868"/>
    <w:rsid w:val="4350713C"/>
    <w:rsid w:val="435968D0"/>
    <w:rsid w:val="436140B0"/>
    <w:rsid w:val="436653E0"/>
    <w:rsid w:val="43716BAD"/>
    <w:rsid w:val="437D60FB"/>
    <w:rsid w:val="43995487"/>
    <w:rsid w:val="43C4431A"/>
    <w:rsid w:val="43D2655C"/>
    <w:rsid w:val="43D4688E"/>
    <w:rsid w:val="43E563EC"/>
    <w:rsid w:val="43F108B7"/>
    <w:rsid w:val="44046CFA"/>
    <w:rsid w:val="441771B1"/>
    <w:rsid w:val="441D2803"/>
    <w:rsid w:val="44380293"/>
    <w:rsid w:val="448259B3"/>
    <w:rsid w:val="44891866"/>
    <w:rsid w:val="44AD23A9"/>
    <w:rsid w:val="44B951CC"/>
    <w:rsid w:val="44BE2E8F"/>
    <w:rsid w:val="44C22253"/>
    <w:rsid w:val="44C60ED8"/>
    <w:rsid w:val="44CD14E0"/>
    <w:rsid w:val="44CE0BF8"/>
    <w:rsid w:val="44D51F86"/>
    <w:rsid w:val="44F20B0B"/>
    <w:rsid w:val="45232CF2"/>
    <w:rsid w:val="452E5F4C"/>
    <w:rsid w:val="456034B7"/>
    <w:rsid w:val="45612018"/>
    <w:rsid w:val="45790B64"/>
    <w:rsid w:val="45876D52"/>
    <w:rsid w:val="458938B9"/>
    <w:rsid w:val="458946E9"/>
    <w:rsid w:val="459D779E"/>
    <w:rsid w:val="45A47C0E"/>
    <w:rsid w:val="45A671DB"/>
    <w:rsid w:val="45A858ED"/>
    <w:rsid w:val="45AA0B3B"/>
    <w:rsid w:val="45AC5715"/>
    <w:rsid w:val="45BF7899"/>
    <w:rsid w:val="45C94763"/>
    <w:rsid w:val="45DD7F6F"/>
    <w:rsid w:val="45F43EAD"/>
    <w:rsid w:val="45F73DA8"/>
    <w:rsid w:val="45F8203A"/>
    <w:rsid w:val="45FC7AE9"/>
    <w:rsid w:val="460306C3"/>
    <w:rsid w:val="460914F6"/>
    <w:rsid w:val="460D7D0F"/>
    <w:rsid w:val="462113E5"/>
    <w:rsid w:val="462F5277"/>
    <w:rsid w:val="46300F1F"/>
    <w:rsid w:val="463B050F"/>
    <w:rsid w:val="46401681"/>
    <w:rsid w:val="4643132F"/>
    <w:rsid w:val="464644E4"/>
    <w:rsid w:val="46543209"/>
    <w:rsid w:val="46577FD6"/>
    <w:rsid w:val="466B5169"/>
    <w:rsid w:val="46853538"/>
    <w:rsid w:val="46A37657"/>
    <w:rsid w:val="46A460B4"/>
    <w:rsid w:val="46D955A7"/>
    <w:rsid w:val="46DD1C51"/>
    <w:rsid w:val="46F12888"/>
    <w:rsid w:val="46F4259D"/>
    <w:rsid w:val="46F61AB5"/>
    <w:rsid w:val="470A3146"/>
    <w:rsid w:val="47133957"/>
    <w:rsid w:val="472D2716"/>
    <w:rsid w:val="47466FB1"/>
    <w:rsid w:val="474E3710"/>
    <w:rsid w:val="4760055A"/>
    <w:rsid w:val="47610221"/>
    <w:rsid w:val="47941C85"/>
    <w:rsid w:val="47A07E0C"/>
    <w:rsid w:val="47B84B17"/>
    <w:rsid w:val="47C36DA2"/>
    <w:rsid w:val="47CB1434"/>
    <w:rsid w:val="47CC495D"/>
    <w:rsid w:val="47E0136E"/>
    <w:rsid w:val="47F64711"/>
    <w:rsid w:val="47FC5A7C"/>
    <w:rsid w:val="48496F13"/>
    <w:rsid w:val="48657827"/>
    <w:rsid w:val="4870272E"/>
    <w:rsid w:val="487D096B"/>
    <w:rsid w:val="488C1E17"/>
    <w:rsid w:val="48910C9D"/>
    <w:rsid w:val="48E46EF0"/>
    <w:rsid w:val="48E64762"/>
    <w:rsid w:val="491B25CD"/>
    <w:rsid w:val="49583232"/>
    <w:rsid w:val="499F27B5"/>
    <w:rsid w:val="49BE1719"/>
    <w:rsid w:val="49D071C0"/>
    <w:rsid w:val="49D567B9"/>
    <w:rsid w:val="49DC7715"/>
    <w:rsid w:val="49E11D1A"/>
    <w:rsid w:val="49FB0D3C"/>
    <w:rsid w:val="4A0224DE"/>
    <w:rsid w:val="4A023139"/>
    <w:rsid w:val="4A182948"/>
    <w:rsid w:val="4A19280D"/>
    <w:rsid w:val="4A1B043B"/>
    <w:rsid w:val="4A1C7704"/>
    <w:rsid w:val="4A252AD2"/>
    <w:rsid w:val="4A480FB3"/>
    <w:rsid w:val="4A4B00B0"/>
    <w:rsid w:val="4A525E27"/>
    <w:rsid w:val="4A7B576F"/>
    <w:rsid w:val="4A7B57F7"/>
    <w:rsid w:val="4ABD7744"/>
    <w:rsid w:val="4AEA72FD"/>
    <w:rsid w:val="4AF561A9"/>
    <w:rsid w:val="4B272E10"/>
    <w:rsid w:val="4B2F0E5D"/>
    <w:rsid w:val="4B3317B5"/>
    <w:rsid w:val="4B394CFC"/>
    <w:rsid w:val="4B3A6458"/>
    <w:rsid w:val="4B7047B7"/>
    <w:rsid w:val="4B83098E"/>
    <w:rsid w:val="4B9C37FE"/>
    <w:rsid w:val="4BE479CF"/>
    <w:rsid w:val="4BEF1B80"/>
    <w:rsid w:val="4C045C35"/>
    <w:rsid w:val="4C061EC7"/>
    <w:rsid w:val="4C177328"/>
    <w:rsid w:val="4C2E3481"/>
    <w:rsid w:val="4C4A0649"/>
    <w:rsid w:val="4C5A154C"/>
    <w:rsid w:val="4C63431C"/>
    <w:rsid w:val="4C710A86"/>
    <w:rsid w:val="4C787DC7"/>
    <w:rsid w:val="4C7E5ECA"/>
    <w:rsid w:val="4C876AA5"/>
    <w:rsid w:val="4C8F5E61"/>
    <w:rsid w:val="4C960092"/>
    <w:rsid w:val="4C994876"/>
    <w:rsid w:val="4CA61589"/>
    <w:rsid w:val="4CAB6F49"/>
    <w:rsid w:val="4CD369A0"/>
    <w:rsid w:val="4CE10AA7"/>
    <w:rsid w:val="4D0E00FB"/>
    <w:rsid w:val="4D1058DF"/>
    <w:rsid w:val="4D176606"/>
    <w:rsid w:val="4D243AAB"/>
    <w:rsid w:val="4D244E84"/>
    <w:rsid w:val="4D267823"/>
    <w:rsid w:val="4D3958C0"/>
    <w:rsid w:val="4D4F5D33"/>
    <w:rsid w:val="4D8D5933"/>
    <w:rsid w:val="4D9008A2"/>
    <w:rsid w:val="4D982687"/>
    <w:rsid w:val="4D9969C0"/>
    <w:rsid w:val="4DA10EA6"/>
    <w:rsid w:val="4DA738F7"/>
    <w:rsid w:val="4DAA3619"/>
    <w:rsid w:val="4DBA5F0B"/>
    <w:rsid w:val="4DBB316C"/>
    <w:rsid w:val="4DEC4FB0"/>
    <w:rsid w:val="4E0336C0"/>
    <w:rsid w:val="4E064079"/>
    <w:rsid w:val="4E075D8A"/>
    <w:rsid w:val="4E0B4C6B"/>
    <w:rsid w:val="4E0E7E99"/>
    <w:rsid w:val="4E1516BD"/>
    <w:rsid w:val="4E272D7E"/>
    <w:rsid w:val="4E2E3FCE"/>
    <w:rsid w:val="4E3C6BD2"/>
    <w:rsid w:val="4E406CC8"/>
    <w:rsid w:val="4E4A7541"/>
    <w:rsid w:val="4E5C49DB"/>
    <w:rsid w:val="4E7418D9"/>
    <w:rsid w:val="4E766588"/>
    <w:rsid w:val="4E8B1908"/>
    <w:rsid w:val="4EB840AD"/>
    <w:rsid w:val="4EC00FAD"/>
    <w:rsid w:val="4EE45347"/>
    <w:rsid w:val="4EE75F30"/>
    <w:rsid w:val="4EEC23A6"/>
    <w:rsid w:val="4EEF6434"/>
    <w:rsid w:val="4EF86F9D"/>
    <w:rsid w:val="4EFD55F3"/>
    <w:rsid w:val="4F022E0B"/>
    <w:rsid w:val="4F0A0B7D"/>
    <w:rsid w:val="4F0F3CE5"/>
    <w:rsid w:val="4F4B5D7E"/>
    <w:rsid w:val="4F531C6E"/>
    <w:rsid w:val="4F68340D"/>
    <w:rsid w:val="4F764366"/>
    <w:rsid w:val="4F7C3583"/>
    <w:rsid w:val="4F7C3729"/>
    <w:rsid w:val="4F7D0063"/>
    <w:rsid w:val="4F816972"/>
    <w:rsid w:val="4F82475E"/>
    <w:rsid w:val="4F840831"/>
    <w:rsid w:val="4F9843DC"/>
    <w:rsid w:val="4FBB7FCB"/>
    <w:rsid w:val="4FBD1A24"/>
    <w:rsid w:val="4FC5096F"/>
    <w:rsid w:val="4FC62A8C"/>
    <w:rsid w:val="4FC62E46"/>
    <w:rsid w:val="4FDC26BC"/>
    <w:rsid w:val="4FE20F0D"/>
    <w:rsid w:val="4FE51552"/>
    <w:rsid w:val="4FEB5E7E"/>
    <w:rsid w:val="4FFB4DFC"/>
    <w:rsid w:val="5002770D"/>
    <w:rsid w:val="50083136"/>
    <w:rsid w:val="500D71ED"/>
    <w:rsid w:val="50124E67"/>
    <w:rsid w:val="502B5150"/>
    <w:rsid w:val="50504C4B"/>
    <w:rsid w:val="505425EE"/>
    <w:rsid w:val="505A77E4"/>
    <w:rsid w:val="505D18C2"/>
    <w:rsid w:val="50722CD5"/>
    <w:rsid w:val="507B7E86"/>
    <w:rsid w:val="509C6E7C"/>
    <w:rsid w:val="50C16D86"/>
    <w:rsid w:val="50C32400"/>
    <w:rsid w:val="50C650CA"/>
    <w:rsid w:val="50CF01D2"/>
    <w:rsid w:val="50D91050"/>
    <w:rsid w:val="50FF077B"/>
    <w:rsid w:val="515D199D"/>
    <w:rsid w:val="51602997"/>
    <w:rsid w:val="5162104E"/>
    <w:rsid w:val="518906F0"/>
    <w:rsid w:val="51A71B83"/>
    <w:rsid w:val="51AD665B"/>
    <w:rsid w:val="51AE0F7B"/>
    <w:rsid w:val="51B1799A"/>
    <w:rsid w:val="51B45CB8"/>
    <w:rsid w:val="51B560C1"/>
    <w:rsid w:val="51D35071"/>
    <w:rsid w:val="51E453F9"/>
    <w:rsid w:val="51FF229D"/>
    <w:rsid w:val="52045C59"/>
    <w:rsid w:val="52160795"/>
    <w:rsid w:val="521A1F3A"/>
    <w:rsid w:val="521B4F95"/>
    <w:rsid w:val="521B65B1"/>
    <w:rsid w:val="52315051"/>
    <w:rsid w:val="52457A15"/>
    <w:rsid w:val="524F06F0"/>
    <w:rsid w:val="525A1D1D"/>
    <w:rsid w:val="525D16FD"/>
    <w:rsid w:val="525E6503"/>
    <w:rsid w:val="52670327"/>
    <w:rsid w:val="528C0F01"/>
    <w:rsid w:val="52AF3C79"/>
    <w:rsid w:val="52AF54BB"/>
    <w:rsid w:val="52BD0A5E"/>
    <w:rsid w:val="52D675F5"/>
    <w:rsid w:val="52E9110F"/>
    <w:rsid w:val="52FE0912"/>
    <w:rsid w:val="532872E7"/>
    <w:rsid w:val="532D11DF"/>
    <w:rsid w:val="53444035"/>
    <w:rsid w:val="534B14E5"/>
    <w:rsid w:val="53846746"/>
    <w:rsid w:val="539A3E54"/>
    <w:rsid w:val="53A039CC"/>
    <w:rsid w:val="53A1505A"/>
    <w:rsid w:val="53A575CB"/>
    <w:rsid w:val="53CE3C6E"/>
    <w:rsid w:val="53DB0F9E"/>
    <w:rsid w:val="53F90258"/>
    <w:rsid w:val="54063E08"/>
    <w:rsid w:val="54235359"/>
    <w:rsid w:val="542C1497"/>
    <w:rsid w:val="543071D9"/>
    <w:rsid w:val="543437E8"/>
    <w:rsid w:val="544B5D2A"/>
    <w:rsid w:val="54554E92"/>
    <w:rsid w:val="54696209"/>
    <w:rsid w:val="54B631A4"/>
    <w:rsid w:val="54E1477C"/>
    <w:rsid w:val="54E94022"/>
    <w:rsid w:val="54F73313"/>
    <w:rsid w:val="54F80955"/>
    <w:rsid w:val="54F9213F"/>
    <w:rsid w:val="54F94C00"/>
    <w:rsid w:val="550B3B7A"/>
    <w:rsid w:val="551B2554"/>
    <w:rsid w:val="551C039E"/>
    <w:rsid w:val="55432727"/>
    <w:rsid w:val="555170A7"/>
    <w:rsid w:val="557B2A48"/>
    <w:rsid w:val="5587536D"/>
    <w:rsid w:val="559B174B"/>
    <w:rsid w:val="559D4B69"/>
    <w:rsid w:val="55A41882"/>
    <w:rsid w:val="55A721FA"/>
    <w:rsid w:val="55A82D53"/>
    <w:rsid w:val="55BA13B7"/>
    <w:rsid w:val="55BB648A"/>
    <w:rsid w:val="55C5586C"/>
    <w:rsid w:val="55CB762E"/>
    <w:rsid w:val="55CE0CF4"/>
    <w:rsid w:val="55EA1464"/>
    <w:rsid w:val="55F86776"/>
    <w:rsid w:val="56105B8A"/>
    <w:rsid w:val="56261D2F"/>
    <w:rsid w:val="562742A1"/>
    <w:rsid w:val="564F0360"/>
    <w:rsid w:val="56761F3C"/>
    <w:rsid w:val="56783DB8"/>
    <w:rsid w:val="56B17B49"/>
    <w:rsid w:val="56B22A9C"/>
    <w:rsid w:val="56BB34C7"/>
    <w:rsid w:val="56CB744A"/>
    <w:rsid w:val="56D26326"/>
    <w:rsid w:val="56D976B4"/>
    <w:rsid w:val="56DE116E"/>
    <w:rsid w:val="56F118F6"/>
    <w:rsid w:val="570B7A8A"/>
    <w:rsid w:val="57156660"/>
    <w:rsid w:val="57343291"/>
    <w:rsid w:val="57485BAC"/>
    <w:rsid w:val="57550D97"/>
    <w:rsid w:val="57610E99"/>
    <w:rsid w:val="5781798A"/>
    <w:rsid w:val="578512A8"/>
    <w:rsid w:val="578C2978"/>
    <w:rsid w:val="578D48B3"/>
    <w:rsid w:val="578F5A75"/>
    <w:rsid w:val="5798756F"/>
    <w:rsid w:val="57A04676"/>
    <w:rsid w:val="57B72A76"/>
    <w:rsid w:val="57C3426C"/>
    <w:rsid w:val="57C86FC8"/>
    <w:rsid w:val="57CE1F93"/>
    <w:rsid w:val="57D36B15"/>
    <w:rsid w:val="57EA7C48"/>
    <w:rsid w:val="5809717E"/>
    <w:rsid w:val="5833606F"/>
    <w:rsid w:val="588307DF"/>
    <w:rsid w:val="58843559"/>
    <w:rsid w:val="58860F07"/>
    <w:rsid w:val="588743D1"/>
    <w:rsid w:val="5887701A"/>
    <w:rsid w:val="58A9509E"/>
    <w:rsid w:val="58C97BB5"/>
    <w:rsid w:val="58D96750"/>
    <w:rsid w:val="58E10AA2"/>
    <w:rsid w:val="58E97977"/>
    <w:rsid w:val="58EB1921"/>
    <w:rsid w:val="58EE0969"/>
    <w:rsid w:val="58EE4DF0"/>
    <w:rsid w:val="590824D3"/>
    <w:rsid w:val="590B7819"/>
    <w:rsid w:val="590E6AD9"/>
    <w:rsid w:val="59130438"/>
    <w:rsid w:val="5935134A"/>
    <w:rsid w:val="59426081"/>
    <w:rsid w:val="594E4564"/>
    <w:rsid w:val="59522458"/>
    <w:rsid w:val="59576B8C"/>
    <w:rsid w:val="59691CDC"/>
    <w:rsid w:val="597E4CEF"/>
    <w:rsid w:val="59C0439F"/>
    <w:rsid w:val="59CE54CA"/>
    <w:rsid w:val="59D016D0"/>
    <w:rsid w:val="59F667CF"/>
    <w:rsid w:val="5A107ABE"/>
    <w:rsid w:val="5A240FAD"/>
    <w:rsid w:val="5A3572F7"/>
    <w:rsid w:val="5A3626CB"/>
    <w:rsid w:val="5A6634C5"/>
    <w:rsid w:val="5A6809CC"/>
    <w:rsid w:val="5A695002"/>
    <w:rsid w:val="5A766D6B"/>
    <w:rsid w:val="5ABE2233"/>
    <w:rsid w:val="5AC42CC7"/>
    <w:rsid w:val="5AC97A40"/>
    <w:rsid w:val="5ADB156D"/>
    <w:rsid w:val="5AED7CDE"/>
    <w:rsid w:val="5AF61903"/>
    <w:rsid w:val="5AFC7E15"/>
    <w:rsid w:val="5B016320"/>
    <w:rsid w:val="5B0A22C5"/>
    <w:rsid w:val="5B184080"/>
    <w:rsid w:val="5B2B06FA"/>
    <w:rsid w:val="5B3475AF"/>
    <w:rsid w:val="5B540F34"/>
    <w:rsid w:val="5B8852F1"/>
    <w:rsid w:val="5BC052E6"/>
    <w:rsid w:val="5BDF5D95"/>
    <w:rsid w:val="5BFE26BB"/>
    <w:rsid w:val="5BFE7528"/>
    <w:rsid w:val="5C0D5721"/>
    <w:rsid w:val="5C235E4D"/>
    <w:rsid w:val="5C2D29A6"/>
    <w:rsid w:val="5C4B1054"/>
    <w:rsid w:val="5C5D28DF"/>
    <w:rsid w:val="5C7821A0"/>
    <w:rsid w:val="5CE56990"/>
    <w:rsid w:val="5CEC10CA"/>
    <w:rsid w:val="5CEF5082"/>
    <w:rsid w:val="5CFA65D6"/>
    <w:rsid w:val="5D26561D"/>
    <w:rsid w:val="5D291389"/>
    <w:rsid w:val="5D2B2C34"/>
    <w:rsid w:val="5D380EAD"/>
    <w:rsid w:val="5D401795"/>
    <w:rsid w:val="5D632E19"/>
    <w:rsid w:val="5D773D9B"/>
    <w:rsid w:val="5D885190"/>
    <w:rsid w:val="5D9746C2"/>
    <w:rsid w:val="5D9F2742"/>
    <w:rsid w:val="5DA12EF6"/>
    <w:rsid w:val="5DA47174"/>
    <w:rsid w:val="5DD5494D"/>
    <w:rsid w:val="5DE975A6"/>
    <w:rsid w:val="5DF36E39"/>
    <w:rsid w:val="5E023994"/>
    <w:rsid w:val="5E194F75"/>
    <w:rsid w:val="5E1C33FC"/>
    <w:rsid w:val="5E2467F1"/>
    <w:rsid w:val="5E2D4789"/>
    <w:rsid w:val="5E3069E7"/>
    <w:rsid w:val="5E535CE2"/>
    <w:rsid w:val="5E702CD8"/>
    <w:rsid w:val="5E817D2B"/>
    <w:rsid w:val="5E985DFC"/>
    <w:rsid w:val="5EAA515C"/>
    <w:rsid w:val="5EAE6434"/>
    <w:rsid w:val="5EB34C8F"/>
    <w:rsid w:val="5EDD2CB3"/>
    <w:rsid w:val="5F011E9E"/>
    <w:rsid w:val="5F1162B8"/>
    <w:rsid w:val="5F1A2B43"/>
    <w:rsid w:val="5F3A32A7"/>
    <w:rsid w:val="5F4872DE"/>
    <w:rsid w:val="5F5C5FB8"/>
    <w:rsid w:val="5F5F2E5B"/>
    <w:rsid w:val="5F6A3728"/>
    <w:rsid w:val="5F750405"/>
    <w:rsid w:val="5F7C183B"/>
    <w:rsid w:val="5F982F89"/>
    <w:rsid w:val="5F9B218C"/>
    <w:rsid w:val="5FA46AFF"/>
    <w:rsid w:val="5FB837BB"/>
    <w:rsid w:val="5FBC5A2C"/>
    <w:rsid w:val="5FDA73DD"/>
    <w:rsid w:val="5FDF385E"/>
    <w:rsid w:val="5FF253A3"/>
    <w:rsid w:val="60004FA1"/>
    <w:rsid w:val="60054DC8"/>
    <w:rsid w:val="60083C7E"/>
    <w:rsid w:val="601E7123"/>
    <w:rsid w:val="602D281F"/>
    <w:rsid w:val="603958AE"/>
    <w:rsid w:val="603E4CBB"/>
    <w:rsid w:val="60716C29"/>
    <w:rsid w:val="60766B4D"/>
    <w:rsid w:val="60840DC4"/>
    <w:rsid w:val="609169C8"/>
    <w:rsid w:val="609917DB"/>
    <w:rsid w:val="609E371C"/>
    <w:rsid w:val="60A26D69"/>
    <w:rsid w:val="60CA535F"/>
    <w:rsid w:val="60CC405A"/>
    <w:rsid w:val="60DA29A7"/>
    <w:rsid w:val="60E845C2"/>
    <w:rsid w:val="61067C3F"/>
    <w:rsid w:val="611A79C2"/>
    <w:rsid w:val="612F4227"/>
    <w:rsid w:val="61690955"/>
    <w:rsid w:val="61714185"/>
    <w:rsid w:val="61BA6334"/>
    <w:rsid w:val="61BD292C"/>
    <w:rsid w:val="61CB6EAD"/>
    <w:rsid w:val="61D07906"/>
    <w:rsid w:val="61D648EB"/>
    <w:rsid w:val="61DB1490"/>
    <w:rsid w:val="61E06BBF"/>
    <w:rsid w:val="61E215D8"/>
    <w:rsid w:val="61E84F66"/>
    <w:rsid w:val="61EF2482"/>
    <w:rsid w:val="61F31946"/>
    <w:rsid w:val="62091B39"/>
    <w:rsid w:val="621B3775"/>
    <w:rsid w:val="62364782"/>
    <w:rsid w:val="625C18DF"/>
    <w:rsid w:val="62637F98"/>
    <w:rsid w:val="62656EEE"/>
    <w:rsid w:val="626F35C2"/>
    <w:rsid w:val="62757533"/>
    <w:rsid w:val="628030DA"/>
    <w:rsid w:val="628472D5"/>
    <w:rsid w:val="62913B7B"/>
    <w:rsid w:val="62982605"/>
    <w:rsid w:val="62CA4904"/>
    <w:rsid w:val="62CD2097"/>
    <w:rsid w:val="62EE098B"/>
    <w:rsid w:val="62F2210D"/>
    <w:rsid w:val="62F82F7B"/>
    <w:rsid w:val="63146DB2"/>
    <w:rsid w:val="63316ACA"/>
    <w:rsid w:val="63387E58"/>
    <w:rsid w:val="634161B1"/>
    <w:rsid w:val="634520A2"/>
    <w:rsid w:val="634B3D70"/>
    <w:rsid w:val="634E25AE"/>
    <w:rsid w:val="634F6950"/>
    <w:rsid w:val="635602DE"/>
    <w:rsid w:val="63604D7F"/>
    <w:rsid w:val="6367429A"/>
    <w:rsid w:val="63730E90"/>
    <w:rsid w:val="638A1F89"/>
    <w:rsid w:val="638C5AAE"/>
    <w:rsid w:val="63900817"/>
    <w:rsid w:val="6394356A"/>
    <w:rsid w:val="63A46EF2"/>
    <w:rsid w:val="63B7161A"/>
    <w:rsid w:val="63C032B0"/>
    <w:rsid w:val="63C61B2C"/>
    <w:rsid w:val="63CB5FAC"/>
    <w:rsid w:val="63CF0B38"/>
    <w:rsid w:val="63D40BE9"/>
    <w:rsid w:val="63D95197"/>
    <w:rsid w:val="63DD029E"/>
    <w:rsid w:val="63DE6E3B"/>
    <w:rsid w:val="64102431"/>
    <w:rsid w:val="6424218B"/>
    <w:rsid w:val="642B6C95"/>
    <w:rsid w:val="6467184C"/>
    <w:rsid w:val="64671A02"/>
    <w:rsid w:val="64744EC0"/>
    <w:rsid w:val="64835103"/>
    <w:rsid w:val="648D6A8D"/>
    <w:rsid w:val="64A5243A"/>
    <w:rsid w:val="64B768D9"/>
    <w:rsid w:val="64C444E9"/>
    <w:rsid w:val="64D34C7C"/>
    <w:rsid w:val="64DE058B"/>
    <w:rsid w:val="64ED7912"/>
    <w:rsid w:val="64F531DE"/>
    <w:rsid w:val="650C360A"/>
    <w:rsid w:val="6514281F"/>
    <w:rsid w:val="65373578"/>
    <w:rsid w:val="655D12D8"/>
    <w:rsid w:val="655D7702"/>
    <w:rsid w:val="656960A7"/>
    <w:rsid w:val="656B246B"/>
    <w:rsid w:val="65BC4E5D"/>
    <w:rsid w:val="66027A28"/>
    <w:rsid w:val="663A4199"/>
    <w:rsid w:val="664663E8"/>
    <w:rsid w:val="664A2457"/>
    <w:rsid w:val="66507267"/>
    <w:rsid w:val="6664764C"/>
    <w:rsid w:val="66666CA0"/>
    <w:rsid w:val="667508C5"/>
    <w:rsid w:val="66D666DA"/>
    <w:rsid w:val="66EF6A80"/>
    <w:rsid w:val="66FD2344"/>
    <w:rsid w:val="6709466C"/>
    <w:rsid w:val="670E3F2C"/>
    <w:rsid w:val="67186581"/>
    <w:rsid w:val="671D76DA"/>
    <w:rsid w:val="671F124A"/>
    <w:rsid w:val="676B3864"/>
    <w:rsid w:val="677764A4"/>
    <w:rsid w:val="677A33C6"/>
    <w:rsid w:val="67890C82"/>
    <w:rsid w:val="67A658B9"/>
    <w:rsid w:val="67B657F0"/>
    <w:rsid w:val="67BA2A29"/>
    <w:rsid w:val="67C41CBB"/>
    <w:rsid w:val="67C747DA"/>
    <w:rsid w:val="67CB3FD3"/>
    <w:rsid w:val="67CD3358"/>
    <w:rsid w:val="681F6961"/>
    <w:rsid w:val="682D1897"/>
    <w:rsid w:val="68394B99"/>
    <w:rsid w:val="684D3B39"/>
    <w:rsid w:val="68555008"/>
    <w:rsid w:val="68566F7D"/>
    <w:rsid w:val="68610A2F"/>
    <w:rsid w:val="68694610"/>
    <w:rsid w:val="686B482C"/>
    <w:rsid w:val="686D39F6"/>
    <w:rsid w:val="687621D9"/>
    <w:rsid w:val="68790CF7"/>
    <w:rsid w:val="687B58EA"/>
    <w:rsid w:val="687F1367"/>
    <w:rsid w:val="68805514"/>
    <w:rsid w:val="68866F70"/>
    <w:rsid w:val="68B61BDB"/>
    <w:rsid w:val="68D51FA4"/>
    <w:rsid w:val="68E46177"/>
    <w:rsid w:val="68ED5EE2"/>
    <w:rsid w:val="69081287"/>
    <w:rsid w:val="69316E2F"/>
    <w:rsid w:val="694A2693"/>
    <w:rsid w:val="694E2071"/>
    <w:rsid w:val="695E1825"/>
    <w:rsid w:val="696D6542"/>
    <w:rsid w:val="69733998"/>
    <w:rsid w:val="69766163"/>
    <w:rsid w:val="697A3B33"/>
    <w:rsid w:val="698A12AC"/>
    <w:rsid w:val="698B7903"/>
    <w:rsid w:val="69A55B1C"/>
    <w:rsid w:val="69D44760"/>
    <w:rsid w:val="69D878BD"/>
    <w:rsid w:val="69ED7065"/>
    <w:rsid w:val="69EE24D2"/>
    <w:rsid w:val="69F65ECC"/>
    <w:rsid w:val="69FD6D74"/>
    <w:rsid w:val="69FD7706"/>
    <w:rsid w:val="6A113B9D"/>
    <w:rsid w:val="6A182574"/>
    <w:rsid w:val="6A2F7A10"/>
    <w:rsid w:val="6A40377E"/>
    <w:rsid w:val="6A520EC7"/>
    <w:rsid w:val="6A6034B6"/>
    <w:rsid w:val="6A791444"/>
    <w:rsid w:val="6A9516EC"/>
    <w:rsid w:val="6AA933EA"/>
    <w:rsid w:val="6AB4219F"/>
    <w:rsid w:val="6AD83AD4"/>
    <w:rsid w:val="6ADB13C7"/>
    <w:rsid w:val="6AE62060"/>
    <w:rsid w:val="6AEF1B05"/>
    <w:rsid w:val="6AF87E20"/>
    <w:rsid w:val="6AFD14CE"/>
    <w:rsid w:val="6B080C27"/>
    <w:rsid w:val="6B115FEF"/>
    <w:rsid w:val="6B322639"/>
    <w:rsid w:val="6B355FB4"/>
    <w:rsid w:val="6B357E6A"/>
    <w:rsid w:val="6B411055"/>
    <w:rsid w:val="6B427BFC"/>
    <w:rsid w:val="6B6A0DCB"/>
    <w:rsid w:val="6B785296"/>
    <w:rsid w:val="6B7B2004"/>
    <w:rsid w:val="6B8A0241"/>
    <w:rsid w:val="6BA14A94"/>
    <w:rsid w:val="6BA27D09"/>
    <w:rsid w:val="6BC75B44"/>
    <w:rsid w:val="6BD46244"/>
    <w:rsid w:val="6C082F53"/>
    <w:rsid w:val="6C496C32"/>
    <w:rsid w:val="6C601743"/>
    <w:rsid w:val="6C636C38"/>
    <w:rsid w:val="6C7F2654"/>
    <w:rsid w:val="6C8D0009"/>
    <w:rsid w:val="6C9A123C"/>
    <w:rsid w:val="6CAA7353"/>
    <w:rsid w:val="6CAB169B"/>
    <w:rsid w:val="6CCC4204"/>
    <w:rsid w:val="6CD72490"/>
    <w:rsid w:val="6CE77BB1"/>
    <w:rsid w:val="6CF17D92"/>
    <w:rsid w:val="6D401DE3"/>
    <w:rsid w:val="6D461AE4"/>
    <w:rsid w:val="6D6F4477"/>
    <w:rsid w:val="6D87733D"/>
    <w:rsid w:val="6D9E549C"/>
    <w:rsid w:val="6DA44AF1"/>
    <w:rsid w:val="6DB34098"/>
    <w:rsid w:val="6DB545B6"/>
    <w:rsid w:val="6DB63E2B"/>
    <w:rsid w:val="6DDC27CA"/>
    <w:rsid w:val="6DE02FB4"/>
    <w:rsid w:val="6DE74E8C"/>
    <w:rsid w:val="6DED319C"/>
    <w:rsid w:val="6E101FDB"/>
    <w:rsid w:val="6E18388D"/>
    <w:rsid w:val="6E226B2A"/>
    <w:rsid w:val="6E2B6422"/>
    <w:rsid w:val="6E514CED"/>
    <w:rsid w:val="6E57295D"/>
    <w:rsid w:val="6E6E472E"/>
    <w:rsid w:val="6E845800"/>
    <w:rsid w:val="6E872008"/>
    <w:rsid w:val="6EB32A89"/>
    <w:rsid w:val="6EB563D5"/>
    <w:rsid w:val="6EBE69E2"/>
    <w:rsid w:val="6EC74798"/>
    <w:rsid w:val="6EC9405A"/>
    <w:rsid w:val="6ECE0CED"/>
    <w:rsid w:val="6ED92677"/>
    <w:rsid w:val="6EE40E94"/>
    <w:rsid w:val="6EE63285"/>
    <w:rsid w:val="6EF861D2"/>
    <w:rsid w:val="6F064714"/>
    <w:rsid w:val="6F0A08FB"/>
    <w:rsid w:val="6F225983"/>
    <w:rsid w:val="6F3A1611"/>
    <w:rsid w:val="6F463519"/>
    <w:rsid w:val="6F4831D1"/>
    <w:rsid w:val="6F557BD7"/>
    <w:rsid w:val="6F5953DE"/>
    <w:rsid w:val="6F5A12F5"/>
    <w:rsid w:val="6F617DF5"/>
    <w:rsid w:val="6F643D1C"/>
    <w:rsid w:val="6F685E7E"/>
    <w:rsid w:val="6F751AEC"/>
    <w:rsid w:val="6FA55F5F"/>
    <w:rsid w:val="6FB76AD5"/>
    <w:rsid w:val="6FB9298B"/>
    <w:rsid w:val="6FDF129A"/>
    <w:rsid w:val="6FFC5590"/>
    <w:rsid w:val="70441A66"/>
    <w:rsid w:val="704B43FD"/>
    <w:rsid w:val="706D1DD0"/>
    <w:rsid w:val="70741DA4"/>
    <w:rsid w:val="70856B87"/>
    <w:rsid w:val="70950E9C"/>
    <w:rsid w:val="70B0145F"/>
    <w:rsid w:val="70C81488"/>
    <w:rsid w:val="70C920F0"/>
    <w:rsid w:val="70D527EE"/>
    <w:rsid w:val="70EC6FF0"/>
    <w:rsid w:val="710A4683"/>
    <w:rsid w:val="711C265D"/>
    <w:rsid w:val="7131740F"/>
    <w:rsid w:val="713278DA"/>
    <w:rsid w:val="714A0A7B"/>
    <w:rsid w:val="715B5300"/>
    <w:rsid w:val="716A3F22"/>
    <w:rsid w:val="718129CA"/>
    <w:rsid w:val="7183751B"/>
    <w:rsid w:val="718D69A6"/>
    <w:rsid w:val="71AC1ECE"/>
    <w:rsid w:val="71B4755B"/>
    <w:rsid w:val="71B608C6"/>
    <w:rsid w:val="71BB7013"/>
    <w:rsid w:val="71CD6BC8"/>
    <w:rsid w:val="71D27F8A"/>
    <w:rsid w:val="720D2C1E"/>
    <w:rsid w:val="721F3033"/>
    <w:rsid w:val="72391BDA"/>
    <w:rsid w:val="72553024"/>
    <w:rsid w:val="725612B3"/>
    <w:rsid w:val="72715DBD"/>
    <w:rsid w:val="727D4545"/>
    <w:rsid w:val="728B48D9"/>
    <w:rsid w:val="72B73991"/>
    <w:rsid w:val="72FB0BC9"/>
    <w:rsid w:val="73045661"/>
    <w:rsid w:val="73122968"/>
    <w:rsid w:val="731F5D5E"/>
    <w:rsid w:val="731F6991"/>
    <w:rsid w:val="732D7AE3"/>
    <w:rsid w:val="733A1083"/>
    <w:rsid w:val="733F2FE9"/>
    <w:rsid w:val="7358706D"/>
    <w:rsid w:val="73595538"/>
    <w:rsid w:val="735F0AE9"/>
    <w:rsid w:val="738F2485"/>
    <w:rsid w:val="739E54A5"/>
    <w:rsid w:val="73A1148B"/>
    <w:rsid w:val="73A87BE1"/>
    <w:rsid w:val="73AD526A"/>
    <w:rsid w:val="73AF4DE7"/>
    <w:rsid w:val="73BE635A"/>
    <w:rsid w:val="73C51AD5"/>
    <w:rsid w:val="73D37293"/>
    <w:rsid w:val="73D414D7"/>
    <w:rsid w:val="73D4631A"/>
    <w:rsid w:val="73F25E01"/>
    <w:rsid w:val="741E793C"/>
    <w:rsid w:val="741E7BB4"/>
    <w:rsid w:val="74457E7F"/>
    <w:rsid w:val="744F7DE5"/>
    <w:rsid w:val="7451530E"/>
    <w:rsid w:val="745B5755"/>
    <w:rsid w:val="745E3944"/>
    <w:rsid w:val="7473139D"/>
    <w:rsid w:val="748B4E87"/>
    <w:rsid w:val="748C466B"/>
    <w:rsid w:val="74A2153D"/>
    <w:rsid w:val="74A4534E"/>
    <w:rsid w:val="74AC4202"/>
    <w:rsid w:val="74B3733F"/>
    <w:rsid w:val="74BA06CD"/>
    <w:rsid w:val="74D6504F"/>
    <w:rsid w:val="74ED3D4F"/>
    <w:rsid w:val="74F51670"/>
    <w:rsid w:val="74F579BD"/>
    <w:rsid w:val="752A553E"/>
    <w:rsid w:val="753A3AD9"/>
    <w:rsid w:val="753F6142"/>
    <w:rsid w:val="754E0E15"/>
    <w:rsid w:val="75742F72"/>
    <w:rsid w:val="757E6D38"/>
    <w:rsid w:val="75805C64"/>
    <w:rsid w:val="758A3D23"/>
    <w:rsid w:val="759729FB"/>
    <w:rsid w:val="75A71BAC"/>
    <w:rsid w:val="75B43907"/>
    <w:rsid w:val="75BB5FF0"/>
    <w:rsid w:val="75BB69CC"/>
    <w:rsid w:val="75CD0709"/>
    <w:rsid w:val="75ED6B04"/>
    <w:rsid w:val="75F16A6C"/>
    <w:rsid w:val="75F728CA"/>
    <w:rsid w:val="75FA2D4B"/>
    <w:rsid w:val="76024BE0"/>
    <w:rsid w:val="76054C7B"/>
    <w:rsid w:val="76065B94"/>
    <w:rsid w:val="760C3105"/>
    <w:rsid w:val="7612071E"/>
    <w:rsid w:val="761979DD"/>
    <w:rsid w:val="7621477C"/>
    <w:rsid w:val="762E4803"/>
    <w:rsid w:val="7635099D"/>
    <w:rsid w:val="76487F5B"/>
    <w:rsid w:val="76581194"/>
    <w:rsid w:val="765B7D5B"/>
    <w:rsid w:val="767050B1"/>
    <w:rsid w:val="76760624"/>
    <w:rsid w:val="76872831"/>
    <w:rsid w:val="76927701"/>
    <w:rsid w:val="76B92F15"/>
    <w:rsid w:val="76F66DC1"/>
    <w:rsid w:val="773A6B7E"/>
    <w:rsid w:val="77420E4E"/>
    <w:rsid w:val="7760344C"/>
    <w:rsid w:val="77762421"/>
    <w:rsid w:val="77764653"/>
    <w:rsid w:val="777A2396"/>
    <w:rsid w:val="779C055E"/>
    <w:rsid w:val="77A64F39"/>
    <w:rsid w:val="77B56B1F"/>
    <w:rsid w:val="77BD30D6"/>
    <w:rsid w:val="77C61BDD"/>
    <w:rsid w:val="77CC3BA4"/>
    <w:rsid w:val="77CD774B"/>
    <w:rsid w:val="77E35C3E"/>
    <w:rsid w:val="77E9592B"/>
    <w:rsid w:val="77ED0A5E"/>
    <w:rsid w:val="78061E7B"/>
    <w:rsid w:val="780F09F4"/>
    <w:rsid w:val="78265A6D"/>
    <w:rsid w:val="7832784E"/>
    <w:rsid w:val="784C4117"/>
    <w:rsid w:val="7862316B"/>
    <w:rsid w:val="788162C2"/>
    <w:rsid w:val="789629D6"/>
    <w:rsid w:val="78A771BA"/>
    <w:rsid w:val="78A90480"/>
    <w:rsid w:val="78DB6E64"/>
    <w:rsid w:val="78E8332F"/>
    <w:rsid w:val="78EC72C3"/>
    <w:rsid w:val="78EF290F"/>
    <w:rsid w:val="78F820D8"/>
    <w:rsid w:val="791505C8"/>
    <w:rsid w:val="791D598E"/>
    <w:rsid w:val="79282F5E"/>
    <w:rsid w:val="792B71F7"/>
    <w:rsid w:val="7945168D"/>
    <w:rsid w:val="7949029C"/>
    <w:rsid w:val="79802E37"/>
    <w:rsid w:val="79872B48"/>
    <w:rsid w:val="798730A6"/>
    <w:rsid w:val="79A75FA3"/>
    <w:rsid w:val="79B002F1"/>
    <w:rsid w:val="79C36276"/>
    <w:rsid w:val="79CF69AC"/>
    <w:rsid w:val="79EB1543"/>
    <w:rsid w:val="79FE672C"/>
    <w:rsid w:val="7A296296"/>
    <w:rsid w:val="7A320361"/>
    <w:rsid w:val="7A35752F"/>
    <w:rsid w:val="7A364017"/>
    <w:rsid w:val="7A4647B1"/>
    <w:rsid w:val="7A586DB5"/>
    <w:rsid w:val="7A705393"/>
    <w:rsid w:val="7A8048EB"/>
    <w:rsid w:val="7A8265E1"/>
    <w:rsid w:val="7A835199"/>
    <w:rsid w:val="7A9C2623"/>
    <w:rsid w:val="7ACD4972"/>
    <w:rsid w:val="7AE613AA"/>
    <w:rsid w:val="7AED309E"/>
    <w:rsid w:val="7B054C03"/>
    <w:rsid w:val="7B072F82"/>
    <w:rsid w:val="7B1943AE"/>
    <w:rsid w:val="7B2D5DB9"/>
    <w:rsid w:val="7B433A51"/>
    <w:rsid w:val="7B5C2A1C"/>
    <w:rsid w:val="7B686D42"/>
    <w:rsid w:val="7B775618"/>
    <w:rsid w:val="7B7D06A6"/>
    <w:rsid w:val="7B7F6654"/>
    <w:rsid w:val="7B841746"/>
    <w:rsid w:val="7B8A691F"/>
    <w:rsid w:val="7B8E48DC"/>
    <w:rsid w:val="7B933A26"/>
    <w:rsid w:val="7BA719FD"/>
    <w:rsid w:val="7BC57E1C"/>
    <w:rsid w:val="7BC63DFB"/>
    <w:rsid w:val="7BF62F10"/>
    <w:rsid w:val="7BFA5853"/>
    <w:rsid w:val="7BFD3E6C"/>
    <w:rsid w:val="7C02295A"/>
    <w:rsid w:val="7C18758C"/>
    <w:rsid w:val="7C224634"/>
    <w:rsid w:val="7C457B7C"/>
    <w:rsid w:val="7C4C479D"/>
    <w:rsid w:val="7C4D00CF"/>
    <w:rsid w:val="7C5331B5"/>
    <w:rsid w:val="7C6929D9"/>
    <w:rsid w:val="7C6C5AC7"/>
    <w:rsid w:val="7C7A318F"/>
    <w:rsid w:val="7C7D73CB"/>
    <w:rsid w:val="7C883E3E"/>
    <w:rsid w:val="7C940B0C"/>
    <w:rsid w:val="7CAA1027"/>
    <w:rsid w:val="7CC27DD9"/>
    <w:rsid w:val="7CC6544B"/>
    <w:rsid w:val="7CD52E82"/>
    <w:rsid w:val="7CDF770C"/>
    <w:rsid w:val="7CF95B0B"/>
    <w:rsid w:val="7D0239FF"/>
    <w:rsid w:val="7D117E6B"/>
    <w:rsid w:val="7D136E45"/>
    <w:rsid w:val="7D305C1A"/>
    <w:rsid w:val="7D454D96"/>
    <w:rsid w:val="7D4A5365"/>
    <w:rsid w:val="7D5E40CD"/>
    <w:rsid w:val="7D636083"/>
    <w:rsid w:val="7D7D498E"/>
    <w:rsid w:val="7DB02960"/>
    <w:rsid w:val="7DCD56F2"/>
    <w:rsid w:val="7E0724A9"/>
    <w:rsid w:val="7E0806FB"/>
    <w:rsid w:val="7E092149"/>
    <w:rsid w:val="7E1F3167"/>
    <w:rsid w:val="7E2217CC"/>
    <w:rsid w:val="7E2542AE"/>
    <w:rsid w:val="7E3B204C"/>
    <w:rsid w:val="7E7E3544"/>
    <w:rsid w:val="7E861746"/>
    <w:rsid w:val="7E8839FF"/>
    <w:rsid w:val="7EAE6A34"/>
    <w:rsid w:val="7EB63B18"/>
    <w:rsid w:val="7EBC3294"/>
    <w:rsid w:val="7EED4333"/>
    <w:rsid w:val="7EEE3352"/>
    <w:rsid w:val="7F001CE7"/>
    <w:rsid w:val="7F0B6FDD"/>
    <w:rsid w:val="7F165EC3"/>
    <w:rsid w:val="7F2B0C66"/>
    <w:rsid w:val="7F2C0419"/>
    <w:rsid w:val="7F2D7CEE"/>
    <w:rsid w:val="7F4976FB"/>
    <w:rsid w:val="7F4A6A47"/>
    <w:rsid w:val="7F50474F"/>
    <w:rsid w:val="7F610E9C"/>
    <w:rsid w:val="7F737DF6"/>
    <w:rsid w:val="7FA6299A"/>
    <w:rsid w:val="7FC22B2C"/>
    <w:rsid w:val="7FDA5830"/>
    <w:rsid w:val="7FDA628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4"/>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50" w:beforeLines="50" w:after="50" w:afterLines="50" w:line="240" w:lineRule="auto"/>
      <w:ind w:left="0" w:firstLine="0"/>
      <w:jc w:val="center"/>
      <w:outlineLvl w:val="0"/>
    </w:pPr>
    <w:rPr>
      <w:rFonts w:ascii="Times New Roman" w:hAnsi="Times New Roman" w:eastAsia="黑体"/>
      <w:b/>
      <w:bCs/>
      <w:color w:val="000000"/>
      <w:kern w:val="44"/>
      <w:sz w:val="30"/>
      <w:szCs w:val="30"/>
    </w:rPr>
  </w:style>
  <w:style w:type="paragraph" w:styleId="3">
    <w:name w:val="heading 2"/>
    <w:basedOn w:val="1"/>
    <w:next w:val="1"/>
    <w:unhideWhenUsed/>
    <w:qFormat/>
    <w:locked/>
    <w:uiPriority w:val="0"/>
    <w:pPr>
      <w:keepNext/>
      <w:keepLines/>
      <w:spacing w:beforeAutospacing="0" w:afterAutospacing="0" w:line="360" w:lineRule="auto"/>
      <w:outlineLvl w:val="1"/>
    </w:pPr>
    <w:rPr>
      <w:rFonts w:ascii="Times New Roman" w:hAnsi="Times New Roman" w:eastAsia="宋体"/>
      <w:b/>
      <w:sz w:val="28"/>
      <w:szCs w:val="28"/>
    </w:rPr>
  </w:style>
  <w:style w:type="paragraph" w:styleId="4">
    <w:name w:val="heading 3"/>
    <w:basedOn w:val="1"/>
    <w:next w:val="1"/>
    <w:unhideWhenUsed/>
    <w:qFormat/>
    <w:locked/>
    <w:uiPriority w:val="0"/>
    <w:pPr>
      <w:keepNext/>
      <w:keepLines/>
      <w:spacing w:beforeAutospacing="0" w:afterAutospacing="0" w:line="360" w:lineRule="auto"/>
      <w:outlineLvl w:val="2"/>
    </w:pPr>
    <w:rPr>
      <w:rFonts w:ascii="Times New Roman" w:hAnsi="Times New Roman" w:eastAsia="宋体"/>
      <w:b/>
      <w:sz w:val="24"/>
    </w:rPr>
  </w:style>
  <w:style w:type="paragraph" w:styleId="5">
    <w:name w:val="heading 4"/>
    <w:basedOn w:val="1"/>
    <w:next w:val="1"/>
    <w:qFormat/>
    <w:locked/>
    <w:uiPriority w:val="0"/>
    <w:pPr>
      <w:keepNext/>
      <w:keepLines/>
      <w:numPr>
        <w:ilvl w:val="3"/>
        <w:numId w:val="1"/>
      </w:numPr>
      <w:spacing w:line="360" w:lineRule="auto"/>
      <w:jc w:val="left"/>
      <w:outlineLvl w:val="3"/>
    </w:pPr>
    <w:rPr>
      <w:rFonts w:ascii="Times New Roman" w:hAnsi="Times New Roman"/>
      <w:bCs/>
      <w:sz w:val="24"/>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locked/>
    <w:uiPriority w:val="0"/>
    <w:pPr>
      <w:widowControl w:val="0"/>
      <w:jc w:val="center"/>
    </w:pPr>
    <w:rPr>
      <w:rFonts w:ascii="Times New Roman" w:hAnsi="Times New Roman" w:cs="Times New Roman"/>
      <w:kern w:val="2"/>
      <w:sz w:val="21"/>
    </w:rPr>
  </w:style>
  <w:style w:type="paragraph" w:styleId="7">
    <w:name w:val="Normal Indent"/>
    <w:basedOn w:val="1"/>
    <w:next w:val="8"/>
    <w:link w:val="90"/>
    <w:qFormat/>
    <w:locked/>
    <w:uiPriority w:val="0"/>
    <w:pPr>
      <w:ind w:firstLine="420"/>
    </w:pPr>
  </w:style>
  <w:style w:type="paragraph" w:styleId="8">
    <w:name w:val="Body Text First Indent 2"/>
    <w:basedOn w:val="9"/>
    <w:next w:val="1"/>
    <w:qFormat/>
    <w:locked/>
    <w:uiPriority w:val="0"/>
    <w:pPr>
      <w:spacing w:after="120"/>
      <w:ind w:left="420" w:leftChars="200" w:firstLine="210" w:firstLineChars="200"/>
    </w:pPr>
    <w:rPr>
      <w:sz w:val="21"/>
    </w:rPr>
  </w:style>
  <w:style w:type="paragraph" w:styleId="9">
    <w:name w:val="Body Text Indent"/>
    <w:basedOn w:val="1"/>
    <w:next w:val="8"/>
    <w:link w:val="31"/>
    <w:qFormat/>
    <w:uiPriority w:val="0"/>
    <w:pPr>
      <w:spacing w:after="120"/>
      <w:ind w:left="420" w:leftChars="200"/>
    </w:pPr>
    <w:rPr>
      <w:kern w:val="0"/>
      <w:sz w:val="24"/>
      <w:szCs w:val="20"/>
    </w:rPr>
  </w:style>
  <w:style w:type="paragraph" w:styleId="10">
    <w:name w:val="caption"/>
    <w:basedOn w:val="1"/>
    <w:next w:val="1"/>
    <w:unhideWhenUsed/>
    <w:qFormat/>
    <w:locked/>
    <w:uiPriority w:val="0"/>
    <w:rPr>
      <w:rFonts w:ascii="Arial" w:hAnsi="Arial" w:eastAsia="黑体"/>
      <w:sz w:val="20"/>
    </w:rPr>
  </w:style>
  <w:style w:type="paragraph" w:styleId="11">
    <w:name w:val="annotation text"/>
    <w:basedOn w:val="1"/>
    <w:link w:val="32"/>
    <w:semiHidden/>
    <w:qFormat/>
    <w:uiPriority w:val="0"/>
    <w:pPr>
      <w:jc w:val="left"/>
    </w:pPr>
    <w:rPr>
      <w:kern w:val="0"/>
      <w:sz w:val="24"/>
      <w:szCs w:val="20"/>
    </w:rPr>
  </w:style>
  <w:style w:type="paragraph" w:styleId="12">
    <w:name w:val="Salutation"/>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3">
    <w:name w:val="Body Text"/>
    <w:basedOn w:val="1"/>
    <w:link w:val="89"/>
    <w:qFormat/>
    <w:uiPriority w:val="0"/>
    <w:pPr>
      <w:widowControl/>
      <w:snapToGrid w:val="0"/>
      <w:spacing w:before="60" w:after="160" w:line="259" w:lineRule="auto"/>
      <w:ind w:right="113"/>
    </w:pPr>
    <w:rPr>
      <w:kern w:val="0"/>
      <w:sz w:val="18"/>
      <w:szCs w:val="20"/>
    </w:rPr>
  </w:style>
  <w:style w:type="paragraph" w:styleId="14">
    <w:name w:val="index 4"/>
    <w:basedOn w:val="1"/>
    <w:next w:val="1"/>
    <w:qFormat/>
    <w:locked/>
    <w:uiPriority w:val="0"/>
    <w:pPr>
      <w:ind w:left="600" w:leftChars="600"/>
    </w:pPr>
    <w:rPr>
      <w:sz w:val="21"/>
    </w:rPr>
  </w:style>
  <w:style w:type="paragraph" w:styleId="15">
    <w:name w:val="Plain Text"/>
    <w:basedOn w:val="1"/>
    <w:qFormat/>
    <w:locked/>
    <w:uiPriority w:val="0"/>
    <w:pPr>
      <w:ind w:firstLine="0"/>
    </w:pPr>
    <w:rPr>
      <w:rFonts w:ascii="宋体" w:hAnsi="Courier New"/>
      <w:sz w:val="24"/>
    </w:rPr>
  </w:style>
  <w:style w:type="paragraph" w:styleId="16">
    <w:name w:val="Balloon Text"/>
    <w:basedOn w:val="1"/>
    <w:link w:val="33"/>
    <w:semiHidden/>
    <w:qFormat/>
    <w:uiPriority w:val="0"/>
    <w:rPr>
      <w:kern w:val="0"/>
      <w:sz w:val="18"/>
      <w:szCs w:val="20"/>
    </w:rPr>
  </w:style>
  <w:style w:type="paragraph" w:styleId="17">
    <w:name w:val="footer"/>
    <w:basedOn w:val="1"/>
    <w:next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0"/>
  </w:style>
  <w:style w:type="paragraph" w:styleId="20">
    <w:name w:val="List"/>
    <w:basedOn w:val="1"/>
    <w:qFormat/>
    <w:locked/>
    <w:uiPriority w:val="0"/>
    <w:pPr>
      <w:ind w:left="200" w:hanging="200" w:hangingChars="200"/>
    </w:pPr>
  </w:style>
  <w:style w:type="paragraph" w:styleId="21">
    <w:name w:val="Body Text 2"/>
    <w:basedOn w:val="1"/>
    <w:qFormat/>
    <w:locked/>
    <w:uiPriority w:val="0"/>
    <w:pPr>
      <w:spacing w:after="120" w:line="480" w:lineRule="auto"/>
    </w:pPr>
  </w:style>
  <w:style w:type="paragraph" w:styleId="22">
    <w:name w:val="Normal (Web)"/>
    <w:basedOn w:val="1"/>
    <w:link w:val="34"/>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next w:val="1"/>
    <w:qFormat/>
    <w:locked/>
    <w:uiPriority w:val="0"/>
    <w:pPr>
      <w:spacing w:before="240" w:after="60"/>
      <w:jc w:val="center"/>
      <w:outlineLvl w:val="0"/>
    </w:pPr>
    <w:rPr>
      <w:rFonts w:ascii="Cambria" w:hAnsi="Cambria" w:eastAsia="方正小标宋简体"/>
      <w:bCs/>
      <w:spacing w:val="0"/>
      <w:kern w:val="0"/>
      <w:sz w:val="36"/>
      <w:szCs w:val="32"/>
    </w:rPr>
  </w:style>
  <w:style w:type="paragraph" w:styleId="24">
    <w:name w:val="annotation subject"/>
    <w:basedOn w:val="11"/>
    <w:next w:val="11"/>
    <w:link w:val="35"/>
    <w:semiHidden/>
    <w:qFormat/>
    <w:uiPriority w:val="0"/>
    <w:rPr>
      <w:b/>
      <w:sz w:val="24"/>
      <w:szCs w:val="20"/>
    </w:rPr>
  </w:style>
  <w:style w:type="paragraph" w:styleId="25">
    <w:name w:val="Body Text First Indent"/>
    <w:basedOn w:val="13"/>
    <w:next w:val="1"/>
    <w:qFormat/>
    <w:locked/>
    <w:uiPriority w:val="0"/>
    <w:pPr>
      <w:overflowPunct w:val="0"/>
      <w:autoSpaceDE w:val="0"/>
      <w:autoSpaceDN w:val="0"/>
      <w:adjustRightInd w:val="0"/>
      <w:spacing w:line="360" w:lineRule="auto"/>
      <w:ind w:firstLine="539"/>
      <w:textAlignment w:val="baseline"/>
    </w:pPr>
    <w:rPr>
      <w:rFonts w:ascii="Times New Roman" w:hAnsi="Times New Roman" w:eastAsia="宋体" w:cs="Times New Roman"/>
      <w:kern w:val="0"/>
      <w:sz w:val="28"/>
      <w:szCs w:val="20"/>
    </w:r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qFormat/>
    <w:locked/>
    <w:uiPriority w:val="0"/>
    <w:rPr>
      <w:color w:val="0000FF"/>
      <w:u w:val="single"/>
    </w:rPr>
  </w:style>
  <w:style w:type="character" w:styleId="30">
    <w:name w:val="annotation reference"/>
    <w:basedOn w:val="28"/>
    <w:semiHidden/>
    <w:qFormat/>
    <w:uiPriority w:val="0"/>
    <w:rPr>
      <w:sz w:val="21"/>
    </w:rPr>
  </w:style>
  <w:style w:type="character" w:customStyle="1" w:styleId="31">
    <w:name w:val="正文文本缩进 Char"/>
    <w:basedOn w:val="28"/>
    <w:link w:val="9"/>
    <w:semiHidden/>
    <w:qFormat/>
    <w:locked/>
    <w:uiPriority w:val="0"/>
    <w:rPr>
      <w:kern w:val="0"/>
      <w:sz w:val="24"/>
      <w:szCs w:val="20"/>
    </w:rPr>
  </w:style>
  <w:style w:type="character" w:customStyle="1" w:styleId="32">
    <w:name w:val="批注文字 Char"/>
    <w:link w:val="11"/>
    <w:qFormat/>
    <w:locked/>
    <w:uiPriority w:val="0"/>
    <w:rPr>
      <w:rFonts w:ascii="Times New Roman" w:hAnsi="Times New Roman" w:eastAsia="宋体"/>
      <w:sz w:val="24"/>
    </w:rPr>
  </w:style>
  <w:style w:type="character" w:customStyle="1" w:styleId="33">
    <w:name w:val="批注框文本 Char"/>
    <w:link w:val="16"/>
    <w:semiHidden/>
    <w:qFormat/>
    <w:locked/>
    <w:uiPriority w:val="0"/>
    <w:rPr>
      <w:rFonts w:ascii="Times New Roman" w:hAnsi="Times New Roman" w:eastAsia="宋体"/>
      <w:sz w:val="18"/>
    </w:rPr>
  </w:style>
  <w:style w:type="character" w:customStyle="1" w:styleId="34">
    <w:name w:val="普通(网站) Char"/>
    <w:link w:val="22"/>
    <w:qFormat/>
    <w:locked/>
    <w:uiPriority w:val="0"/>
    <w:rPr>
      <w:rFonts w:ascii="宋体" w:hAnsi="宋体" w:eastAsia="宋体"/>
      <w:sz w:val="24"/>
    </w:rPr>
  </w:style>
  <w:style w:type="character" w:customStyle="1" w:styleId="35">
    <w:name w:val="批注主题 Char"/>
    <w:link w:val="24"/>
    <w:semiHidden/>
    <w:qFormat/>
    <w:locked/>
    <w:uiPriority w:val="0"/>
    <w:rPr>
      <w:rFonts w:ascii="Times New Roman" w:hAnsi="Times New Roman" w:eastAsia="宋体"/>
      <w:b/>
      <w:kern w:val="2"/>
      <w:sz w:val="24"/>
    </w:rPr>
  </w:style>
  <w:style w:type="character" w:customStyle="1" w:styleId="36">
    <w:name w:val="表格 Char"/>
    <w:link w:val="37"/>
    <w:qFormat/>
    <w:locked/>
    <w:uiPriority w:val="0"/>
    <w:rPr>
      <w:rFonts w:ascii="宋体"/>
      <w:sz w:val="21"/>
    </w:rPr>
  </w:style>
  <w:style w:type="paragraph" w:customStyle="1" w:styleId="37">
    <w:name w:val="表格"/>
    <w:basedOn w:val="1"/>
    <w:next w:val="1"/>
    <w:link w:val="36"/>
    <w:qFormat/>
    <w:uiPriority w:val="0"/>
    <w:pPr>
      <w:adjustRightInd w:val="0"/>
      <w:snapToGrid w:val="0"/>
      <w:spacing w:beforeLines="10" w:afterLines="10" w:line="259" w:lineRule="auto"/>
      <w:jc w:val="center"/>
    </w:pPr>
    <w:rPr>
      <w:rFonts w:ascii="宋体"/>
      <w:kern w:val="0"/>
      <w:szCs w:val="20"/>
    </w:rPr>
  </w:style>
  <w:style w:type="character" w:customStyle="1" w:styleId="38">
    <w:name w:val="日期 字符"/>
    <w:semiHidden/>
    <w:qFormat/>
    <w:uiPriority w:val="0"/>
    <w:rPr>
      <w:rFonts w:ascii="Times New Roman" w:hAnsi="Times New Roman" w:eastAsia="宋体"/>
      <w:sz w:val="24"/>
    </w:rPr>
  </w:style>
  <w:style w:type="character" w:customStyle="1" w:styleId="39">
    <w:name w:val="批注文字 字符1"/>
    <w:semiHidden/>
    <w:qFormat/>
    <w:uiPriority w:val="0"/>
    <w:rPr>
      <w:rFonts w:ascii="Times New Roman" w:hAnsi="Times New Roman" w:eastAsia="宋体"/>
      <w:sz w:val="24"/>
    </w:rPr>
  </w:style>
  <w:style w:type="paragraph" w:customStyle="1" w:styleId="40">
    <w:name w:val="正文样式-zsy"/>
    <w:basedOn w:val="1"/>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41">
    <w:name w:val="表格样式—zsy"/>
    <w:basedOn w:val="1"/>
    <w:qFormat/>
    <w:uiPriority w:val="0"/>
    <w:pPr>
      <w:keepNext/>
      <w:keepLines/>
      <w:spacing w:line="340" w:lineRule="exact"/>
      <w:ind w:firstLine="0" w:firstLineChars="0"/>
      <w:jc w:val="center"/>
    </w:pPr>
    <w:rPr>
      <w:rFonts w:hint="eastAsia" w:ascii="Times New Roman" w:hAnsi="Times New Roman" w:eastAsia="宋体"/>
    </w:rPr>
  </w:style>
  <w:style w:type="paragraph" w:customStyle="1" w:styleId="42">
    <w:name w:val="附件附图样式"/>
    <w:basedOn w:val="1"/>
    <w:next w:val="43"/>
    <w:link w:val="44"/>
    <w:qFormat/>
    <w:uiPriority w:val="0"/>
    <w:pPr>
      <w:jc w:val="center"/>
      <w:outlineLvl w:val="0"/>
    </w:pPr>
    <w:rPr>
      <w:rFonts w:ascii="Times New Roman" w:hAnsi="Times New Roman" w:eastAsia="黑体"/>
      <w:sz w:val="28"/>
      <w:szCs w:val="52"/>
    </w:rPr>
  </w:style>
  <w:style w:type="paragraph" w:customStyle="1" w:styleId="43">
    <w:name w:val="正文样式"/>
    <w:basedOn w:val="40"/>
    <w:link w:val="45"/>
    <w:qFormat/>
    <w:uiPriority w:val="0"/>
    <w:pPr>
      <w:adjustRightInd w:val="0"/>
      <w:snapToGrid w:val="0"/>
      <w:spacing w:line="360" w:lineRule="auto"/>
      <w:ind w:firstLine="720" w:firstLineChars="200"/>
      <w:jc w:val="both"/>
    </w:pPr>
    <w:rPr>
      <w:rFonts w:cs="Times New Roman"/>
    </w:rPr>
  </w:style>
  <w:style w:type="character" w:customStyle="1" w:styleId="44">
    <w:name w:val="附件附图样式 Char"/>
    <w:link w:val="42"/>
    <w:qFormat/>
    <w:uiPriority w:val="0"/>
    <w:rPr>
      <w:rFonts w:ascii="Times New Roman" w:hAnsi="Times New Roman" w:eastAsia="黑体"/>
      <w:sz w:val="28"/>
      <w:szCs w:val="52"/>
    </w:rPr>
  </w:style>
  <w:style w:type="character" w:customStyle="1" w:styleId="45">
    <w:name w:val="正文样式 Char"/>
    <w:link w:val="43"/>
    <w:qFormat/>
    <w:uiPriority w:val="0"/>
    <w:rPr>
      <w:rFonts w:ascii="Times New Roman" w:hAnsi="Times New Roman" w:eastAsia="宋体" w:cs="Times New Roman"/>
      <w:sz w:val="24"/>
    </w:rPr>
  </w:style>
  <w:style w:type="paragraph" w:customStyle="1" w:styleId="46">
    <w:name w:val="表头"/>
    <w:basedOn w:val="1"/>
    <w:qFormat/>
    <w:uiPriority w:val="0"/>
    <w:pPr>
      <w:spacing w:before="50" w:beforeLines="50"/>
      <w:jc w:val="center"/>
    </w:pPr>
    <w:rPr>
      <w:rFonts w:hint="eastAsia" w:ascii="Times New Roman" w:hAnsi="Times New Roman" w:eastAsia="黑体"/>
      <w:sz w:val="24"/>
    </w:rPr>
  </w:style>
  <w:style w:type="paragraph" w:customStyle="1" w:styleId="47">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48">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 w:val="24"/>
      <w:szCs w:val="21"/>
    </w:rPr>
  </w:style>
  <w:style w:type="paragraph" w:customStyle="1" w:styleId="49">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50">
    <w:name w:val="表格内文字"/>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51">
    <w:name w:val="5段落"/>
    <w:basedOn w:val="1"/>
    <w:qFormat/>
    <w:uiPriority w:val="0"/>
    <w:rPr>
      <w:szCs w:val="28"/>
    </w:rPr>
  </w:style>
  <w:style w:type="paragraph" w:customStyle="1" w:styleId="52">
    <w:name w:val="6表格"/>
    <w:basedOn w:val="1"/>
    <w:qFormat/>
    <w:uiPriority w:val="0"/>
    <w:pPr>
      <w:jc w:val="center"/>
    </w:pPr>
  </w:style>
  <w:style w:type="paragraph" w:customStyle="1" w:styleId="53">
    <w:name w:val="表格固定文字"/>
    <w:basedOn w:val="1"/>
    <w:qFormat/>
    <w:uiPriority w:val="0"/>
    <w:pPr>
      <w:ind w:firstLine="0"/>
    </w:pPr>
    <w:rPr>
      <w:rFonts w:eastAsia="宋体"/>
      <w:sz w:val="21"/>
      <w:szCs w:val="24"/>
    </w:rPr>
  </w:style>
  <w:style w:type="paragraph" w:customStyle="1" w:styleId="54">
    <w:name w:val="正文1"/>
    <w:basedOn w:val="9"/>
    <w:qFormat/>
    <w:uiPriority w:val="0"/>
    <w:pPr>
      <w:ind w:firstLine="200" w:firstLineChars="200"/>
    </w:pPr>
    <w:rPr>
      <w:rFonts w:eastAsia="宋体" w:cs="宋体"/>
      <w:sz w:val="24"/>
    </w:rPr>
  </w:style>
  <w:style w:type="paragraph" w:customStyle="1" w:styleId="55">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56">
    <w:name w:val="表头样式"/>
    <w:basedOn w:val="1"/>
    <w:next w:val="1"/>
    <w:link w:val="57"/>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character" w:customStyle="1" w:styleId="57">
    <w:name w:val="表头样式 Char"/>
    <w:link w:val="56"/>
    <w:qFormat/>
    <w:uiPriority w:val="0"/>
    <w:rPr>
      <w:rFonts w:hint="eastAsia" w:ascii="Times New Roman" w:hAnsi="Times New Roman" w:eastAsia="黑体"/>
      <w:bCs/>
      <w:color w:val="000000"/>
      <w:kern w:val="44"/>
      <w:sz w:val="24"/>
    </w:rPr>
  </w:style>
  <w:style w:type="table" w:customStyle="1" w:styleId="58">
    <w:name w:val="Table Normal"/>
    <w:unhideWhenUsed/>
    <w:qFormat/>
    <w:uiPriority w:val="0"/>
    <w:tblPr>
      <w:tblCellMar>
        <w:top w:w="0" w:type="dxa"/>
        <w:left w:w="0" w:type="dxa"/>
        <w:bottom w:w="0" w:type="dxa"/>
        <w:right w:w="0" w:type="dxa"/>
      </w:tblCellMar>
    </w:tblPr>
  </w:style>
  <w:style w:type="paragraph" w:customStyle="1" w:styleId="59">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60">
    <w:name w:val="颜表格文字"/>
    <w:basedOn w:val="1"/>
    <w:qFormat/>
    <w:uiPriority w:val="0"/>
    <w:pPr>
      <w:adjustRightInd w:val="0"/>
      <w:snapToGrid w:val="0"/>
      <w:spacing w:line="240" w:lineRule="auto"/>
      <w:ind w:firstLine="0" w:firstLineChars="0"/>
      <w:jc w:val="center"/>
    </w:pPr>
    <w:rPr>
      <w:sz w:val="21"/>
    </w:rPr>
  </w:style>
  <w:style w:type="paragraph" w:customStyle="1" w:styleId="61">
    <w:name w:val="表名"/>
    <w:basedOn w:val="1"/>
    <w:qFormat/>
    <w:uiPriority w:val="0"/>
    <w:pPr>
      <w:ind w:firstLine="0" w:firstLineChars="0"/>
      <w:jc w:val="center"/>
    </w:pPr>
    <w:rPr>
      <w:b/>
      <w:bCs/>
      <w:sz w:val="24"/>
    </w:rPr>
  </w:style>
  <w:style w:type="paragraph" w:customStyle="1" w:styleId="62">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63">
    <w:name w:val="表格名称1"/>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64">
    <w:name w:val="表格内容"/>
    <w:basedOn w:val="20"/>
    <w:qFormat/>
    <w:uiPriority w:val="0"/>
    <w:pPr>
      <w:spacing w:line="340" w:lineRule="exact"/>
      <w:ind w:left="0" w:firstLine="0" w:firstLineChars="0"/>
      <w:jc w:val="center"/>
    </w:pPr>
    <w:rPr>
      <w:rFonts w:ascii="Times New Roman" w:hAnsi="Times New Roman" w:eastAsia="宋体"/>
      <w:iCs/>
      <w:szCs w:val="21"/>
    </w:rPr>
  </w:style>
  <w:style w:type="paragraph" w:customStyle="1" w:styleId="65">
    <w:name w:val="C正文"/>
    <w:next w:val="18"/>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66">
    <w:name w:val="报告正文"/>
    <w:qFormat/>
    <w:uiPriority w:val="0"/>
    <w:pPr>
      <w:spacing w:line="360" w:lineRule="auto"/>
      <w:ind w:firstLine="200" w:firstLineChars="200"/>
    </w:pPr>
    <w:rPr>
      <w:rFonts w:ascii="Times New Roman" w:hAnsi="Times New Roman" w:eastAsia="宋体" w:cs="Times New Roman"/>
      <w:snapToGrid w:val="0"/>
      <w:kern w:val="2"/>
      <w:sz w:val="24"/>
      <w:lang w:val="en-US" w:eastAsia="zh-CN" w:bidi="ar-SA"/>
    </w:rPr>
  </w:style>
  <w:style w:type="paragraph" w:customStyle="1" w:styleId="67">
    <w:name w:val="样式 宋体 两端对齐 首行缩进:  2 字符"/>
    <w:basedOn w:val="1"/>
    <w:qFormat/>
    <w:uiPriority w:val="0"/>
    <w:pPr>
      <w:spacing w:line="360" w:lineRule="auto"/>
      <w:ind w:firstLine="480" w:firstLineChars="200"/>
    </w:pPr>
    <w:rPr>
      <w:rFonts w:ascii="宋体" w:hAnsi="宋体" w:eastAsia="宋体" w:cs="宋体"/>
      <w:sz w:val="24"/>
    </w:rPr>
  </w:style>
  <w:style w:type="character" w:customStyle="1" w:styleId="68">
    <w:name w:val="样式 zhang正文 + 宋体 小四 Char"/>
    <w:link w:val="69"/>
    <w:qFormat/>
    <w:uiPriority w:val="0"/>
    <w:rPr>
      <w:rFonts w:ascii="宋体" w:hAnsi="宋体" w:eastAsia="宋体"/>
      <w:sz w:val="24"/>
    </w:rPr>
  </w:style>
  <w:style w:type="paragraph" w:customStyle="1" w:styleId="69">
    <w:name w:val="样式 zhang正文 + 宋体 小四"/>
    <w:link w:val="68"/>
    <w:qFormat/>
    <w:uiPriority w:val="0"/>
    <w:rPr>
      <w:rFonts w:ascii="宋体" w:hAnsi="宋体" w:eastAsia="宋体" w:cs="Times New Roman"/>
      <w:sz w:val="24"/>
    </w:rPr>
  </w:style>
  <w:style w:type="paragraph" w:customStyle="1" w:styleId="7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71">
    <w:name w:val="a表格"/>
    <w:basedOn w:val="1"/>
    <w:qFormat/>
    <w:uiPriority w:val="0"/>
    <w:pPr>
      <w:snapToGrid w:val="0"/>
      <w:ind w:firstLine="0"/>
      <w:jc w:val="center"/>
    </w:pPr>
    <w:rPr>
      <w:rFonts w:eastAsia="宋体"/>
      <w:sz w:val="21"/>
      <w:szCs w:val="24"/>
    </w:rPr>
  </w:style>
  <w:style w:type="paragraph" w:customStyle="1" w:styleId="72">
    <w:name w:val="7表格(治)"/>
    <w:qFormat/>
    <w:uiPriority w:val="0"/>
    <w:pPr>
      <w:jc w:val="center"/>
    </w:pPr>
    <w:rPr>
      <w:rFonts w:ascii="Calibri" w:hAnsi="Calibri" w:eastAsia="宋体" w:cs="Times New Roman"/>
      <w:sz w:val="21"/>
      <w:lang w:val="en-US" w:eastAsia="zh-CN" w:bidi="ar-SA"/>
    </w:rPr>
  </w:style>
  <w:style w:type="paragraph" w:customStyle="1" w:styleId="73">
    <w:name w:val="5文章"/>
    <w:basedOn w:val="1"/>
    <w:qFormat/>
    <w:uiPriority w:val="0"/>
    <w:pPr>
      <w:ind w:firstLine="560"/>
    </w:pPr>
    <w:rPr>
      <w:rFonts w:ascii="Calibri" w:hAnsi="Calibri" w:eastAsia="宋体" w:cs="Times New Roman"/>
      <w:szCs w:val="28"/>
    </w:rPr>
  </w:style>
  <w:style w:type="paragraph" w:customStyle="1" w:styleId="74">
    <w:name w:val="2表内正文CM"/>
    <w:basedOn w:val="1"/>
    <w:next w:val="1"/>
    <w:qFormat/>
    <w:uiPriority w:val="0"/>
    <w:pPr>
      <w:adjustRightInd w:val="0"/>
      <w:snapToGrid w:val="0"/>
      <w:jc w:val="center"/>
    </w:pPr>
    <w:rPr>
      <w:rFonts w:ascii="Times New Roman" w:hAnsi="Times New Roman"/>
      <w:kern w:val="2"/>
      <w:sz w:val="21"/>
      <w:szCs w:val="24"/>
    </w:rPr>
  </w:style>
  <w:style w:type="paragraph" w:customStyle="1" w:styleId="75">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6">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77">
    <w:name w:val="表格标题"/>
    <w:basedOn w:val="1"/>
    <w:qFormat/>
    <w:uiPriority w:val="0"/>
    <w:pPr>
      <w:numPr>
        <w:ilvl w:val="0"/>
        <w:numId w:val="2"/>
      </w:numPr>
      <w:spacing w:line="360" w:lineRule="auto"/>
      <w:ind w:left="0" w:firstLine="0"/>
      <w:jc w:val="center"/>
      <w:outlineLvl w:val="4"/>
    </w:pPr>
    <w:rPr>
      <w:b/>
      <w:kern w:val="0"/>
      <w:sz w:val="24"/>
    </w:rPr>
  </w:style>
  <w:style w:type="table" w:customStyle="1" w:styleId="78">
    <w:name w:val="样式6"/>
    <w:basedOn w:val="26"/>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79">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80">
    <w:name w:val="正文(首行缩进)"/>
    <w:basedOn w:val="1"/>
    <w:qFormat/>
    <w:uiPriority w:val="0"/>
    <w:pPr>
      <w:adjustRightInd w:val="0"/>
      <w:snapToGrid w:val="0"/>
      <w:ind w:firstLine="200" w:firstLineChars="200"/>
    </w:pPr>
    <w:rPr>
      <w:szCs w:val="24"/>
    </w:rPr>
  </w:style>
  <w:style w:type="paragraph" w:customStyle="1" w:styleId="81">
    <w:name w:val="表的标题"/>
    <w:basedOn w:val="1"/>
    <w:qFormat/>
    <w:uiPriority w:val="0"/>
    <w:pPr>
      <w:adjustRightInd w:val="0"/>
      <w:snapToGrid w:val="0"/>
      <w:spacing w:before="50" w:beforeLines="50"/>
      <w:jc w:val="center"/>
    </w:pPr>
    <w:rPr>
      <w:rFonts w:eastAsia="黑体" w:cs="宋体"/>
      <w:sz w:val="24"/>
      <w:szCs w:val="20"/>
    </w:rPr>
  </w:style>
  <w:style w:type="paragraph" w:customStyle="1" w:styleId="82">
    <w:name w:val="表中正文"/>
    <w:basedOn w:val="1"/>
    <w:semiHidden/>
    <w:qFormat/>
    <w:uiPriority w:val="0"/>
    <w:pPr>
      <w:autoSpaceDE w:val="0"/>
      <w:autoSpaceDN w:val="0"/>
      <w:adjustRightInd w:val="0"/>
      <w:snapToGrid w:val="0"/>
      <w:spacing w:line="300" w:lineRule="exact"/>
      <w:ind w:firstLine="0" w:firstLineChars="0"/>
      <w:jc w:val="center"/>
    </w:pPr>
    <w:rPr>
      <w:rFonts w:ascii="Times New Roman" w:hAnsi="Times New Roman" w:eastAsia="宋体"/>
      <w:kern w:val="0"/>
      <w:szCs w:val="21"/>
    </w:rPr>
  </w:style>
  <w:style w:type="paragraph" w:customStyle="1" w:styleId="83">
    <w:name w:val="1.表格标题CM"/>
    <w:basedOn w:val="1"/>
    <w:qFormat/>
    <w:uiPriority w:val="0"/>
    <w:pPr>
      <w:widowControl w:val="0"/>
      <w:adjustRightInd w:val="0"/>
      <w:snapToGrid w:val="0"/>
      <w:spacing w:before="30" w:beforeLines="30" w:line="360" w:lineRule="auto"/>
      <w:jc w:val="center"/>
      <w:outlineLvl w:val="6"/>
    </w:pPr>
    <w:rPr>
      <w:rFonts w:ascii="Times New Roman" w:hAnsi="Times New Roman" w:eastAsia="黑体"/>
      <w:b/>
      <w:kern w:val="2"/>
      <w:sz w:val="24"/>
      <w:szCs w:val="24"/>
      <w:lang w:val="zh-CN" w:eastAsia="zh-CN"/>
    </w:rPr>
  </w:style>
  <w:style w:type="paragraph" w:customStyle="1" w:styleId="84">
    <w:name w:val="表格内正文1"/>
    <w:basedOn w:val="1"/>
    <w:next w:val="1"/>
    <w:qFormat/>
    <w:uiPriority w:val="0"/>
    <w:pPr>
      <w:adjustRightInd w:val="0"/>
      <w:snapToGrid w:val="0"/>
      <w:jc w:val="center"/>
    </w:pPr>
    <w:rPr>
      <w:rFonts w:ascii="Times New Roman" w:hAnsi="Times New Roman"/>
      <w:sz w:val="21"/>
    </w:rPr>
  </w:style>
  <w:style w:type="paragraph" w:customStyle="1" w:styleId="85">
    <w:name w:val="样式2"/>
    <w:basedOn w:val="14"/>
    <w:next w:val="5"/>
    <w:qFormat/>
    <w:uiPriority w:val="0"/>
    <w:pPr>
      <w:spacing w:line="360" w:lineRule="auto"/>
      <w:ind w:firstLine="482" w:firstLineChars="200"/>
    </w:pPr>
    <w:rPr>
      <w:b/>
      <w:sz w:val="24"/>
    </w:rPr>
  </w:style>
  <w:style w:type="paragraph" w:customStyle="1" w:styleId="86">
    <w:name w:val="WPSOffice手动目录 1"/>
    <w:qFormat/>
    <w:uiPriority w:val="0"/>
    <w:pPr>
      <w:ind w:leftChars="0"/>
    </w:pPr>
    <w:rPr>
      <w:rFonts w:ascii="Times New Roman" w:hAnsi="Times New Roman" w:eastAsia="宋体" w:cs="Times New Roman"/>
      <w:sz w:val="20"/>
      <w:szCs w:val="20"/>
    </w:rPr>
  </w:style>
  <w:style w:type="paragraph" w:customStyle="1" w:styleId="87">
    <w:name w:val="表内容"/>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hint="default" w:ascii="Times New Roman" w:hAnsi="Times New Roman" w:cs="Times New Roman"/>
      <w:snapToGrid/>
      <w:kern w:val="2"/>
      <w:sz w:val="21"/>
      <w:szCs w:val="21"/>
      <w:lang w:val="en-US" w:eastAsia="zh-CN" w:bidi="ar"/>
    </w:rPr>
  </w:style>
  <w:style w:type="paragraph" w:customStyle="1" w:styleId="88">
    <w:name w:val="4正文"/>
    <w:basedOn w:val="1"/>
    <w:qFormat/>
    <w:uiPriority w:val="0"/>
    <w:pPr>
      <w:adjustRightInd w:val="0"/>
      <w:snapToGrid w:val="0"/>
      <w:spacing w:line="360" w:lineRule="auto"/>
      <w:ind w:firstLine="480" w:firstLineChars="200"/>
    </w:pPr>
    <w:rPr>
      <w:rFonts w:eastAsia="宋体" w:cs="宋体"/>
      <w:sz w:val="24"/>
    </w:rPr>
  </w:style>
  <w:style w:type="character" w:customStyle="1" w:styleId="89">
    <w:name w:val="正文文本 Char"/>
    <w:link w:val="13"/>
    <w:qFormat/>
    <w:uiPriority w:val="0"/>
    <w:rPr>
      <w:kern w:val="0"/>
      <w:sz w:val="18"/>
      <w:szCs w:val="20"/>
    </w:rPr>
  </w:style>
  <w:style w:type="character" w:customStyle="1" w:styleId="90">
    <w:name w:val="正文缩进 Char"/>
    <w:link w:val="7"/>
    <w:qFormat/>
    <w:uiPriority w:val="0"/>
  </w:style>
  <w:style w:type="paragraph" w:customStyle="1" w:styleId="91">
    <w:name w:val="表格文本（居中）"/>
    <w:basedOn w:val="1"/>
    <w:semiHidden/>
    <w:qFormat/>
    <w:uiPriority w:val="0"/>
    <w:pPr>
      <w:spacing w:line="340" w:lineRule="exact"/>
      <w:ind w:firstLine="0" w:firstLineChars="0"/>
      <w:jc w:val="center"/>
    </w:pPr>
    <w:rPr>
      <w:rFonts w:cs="宋体"/>
      <w:szCs w:val="20"/>
    </w:rPr>
  </w:style>
  <w:style w:type="paragraph" w:customStyle="1" w:styleId="92">
    <w:name w:val="表格文本（左对齐）"/>
    <w:basedOn w:val="91"/>
    <w:qFormat/>
    <w:uiPriority w:val="0"/>
    <w:pPr>
      <w:kinsoku/>
      <w:topLinePunct/>
      <w:autoSpaceDE/>
      <w:autoSpaceDN/>
      <w:jc w:val="both"/>
    </w:pPr>
  </w:style>
  <w:style w:type="paragraph" w:customStyle="1" w:styleId="93">
    <w:name w:val="表内文字（居中）"/>
    <w:basedOn w:val="1"/>
    <w:qFormat/>
    <w:uiPriority w:val="0"/>
    <w:pPr>
      <w:widowControl/>
      <w:adjustRightInd w:val="0"/>
      <w:snapToGrid w:val="0"/>
      <w:spacing w:line="340" w:lineRule="exact"/>
      <w:jc w:val="center"/>
    </w:pPr>
    <w:rPr>
      <w:rFonts w:ascii="Times New Roman" w:hAnsi="Times New Roman" w:eastAsia="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emf"/><Relationship Id="rId22" Type="http://schemas.openxmlformats.org/officeDocument/2006/relationships/image" Target="media/image12.png"/><Relationship Id="rId21" Type="http://schemas.openxmlformats.org/officeDocument/2006/relationships/image" Target="media/image11.emf"/><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image" Target="media/image8.wmf"/><Relationship Id="rId17" Type="http://schemas.openxmlformats.org/officeDocument/2006/relationships/image" Target="media/image7.wmf"/><Relationship Id="rId16" Type="http://schemas.openxmlformats.org/officeDocument/2006/relationships/image" Target="media/image6.jpeg"/><Relationship Id="rId15" Type="http://schemas.openxmlformats.org/officeDocument/2006/relationships/image" Target="media/image5.wmf"/><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73</Pages>
  <Words>5098</Words>
  <Characters>5601</Characters>
  <Lines>13</Lines>
  <Paragraphs>3</Paragraphs>
  <TotalTime>3</TotalTime>
  <ScaleCrop>false</ScaleCrop>
  <LinksUpToDate>false</LinksUpToDate>
  <CharactersWithSpaces>5747</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2025-12-15T02:08:00Z</cp:lastPrinted>
  <dcterms:modified xsi:type="dcterms:W3CDTF">2025-12-18T09:09:05Z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3B4ED2623F1D4EE9BE6ECD94D63C5A68_13</vt:lpwstr>
  </property>
  <property fmtid="{D5CDD505-2E9C-101B-9397-08002B2CF9AE}" pid="4" name="KSOTemplateDocerSaveRecord">
    <vt:lpwstr>eyJoZGlkIjoiMmYzNDEyZjhiNDkzNDFkOGM5YzU4ZmY4ZTJlODU1YzgiLCJ1c2VySWQiOiIxMjc3MDc0NTQ1In0=</vt:lpwstr>
  </property>
</Properties>
</file>